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ind w:firstLine="0" w:firstLineChars="0"/>
        <w:outlineLvl w:val="0"/>
        <w:rPr>
          <w:rFonts w:ascii="黑体" w:hAnsi="黑体" w:eastAsia="黑体"/>
          <w:kern w:val="0"/>
          <w:sz w:val="32"/>
          <w:szCs w:val="32"/>
        </w:rPr>
      </w:pPr>
      <w:bookmarkStart w:id="0" w:name="_Toc28718"/>
      <w:bookmarkStart w:id="1" w:name="_Toc55679007"/>
      <w:r>
        <w:rPr>
          <w:rFonts w:ascii="黑体" w:hAnsi="黑体" w:eastAsia="黑体"/>
          <w:kern w:val="0"/>
          <w:sz w:val="32"/>
          <w:szCs w:val="32"/>
        </w:rPr>
        <w:t>附件一</w:t>
      </w:r>
      <w:bookmarkEnd w:id="0"/>
    </w:p>
    <w:p>
      <w:pPr>
        <w:keepNext w:val="0"/>
        <w:keepLines w:val="0"/>
        <w:pageBreakBefore w:val="0"/>
        <w:widowControl w:val="0"/>
        <w:kinsoku/>
        <w:wordWrap/>
        <w:overflowPunct/>
        <w:topLinePunct w:val="0"/>
        <w:autoSpaceDE/>
        <w:autoSpaceDN/>
        <w:bidi w:val="0"/>
        <w:adjustRightInd/>
        <w:snapToGrid/>
        <w:spacing w:before="219" w:beforeLines="50" w:after="219" w:afterLines="50" w:line="640" w:lineRule="exact"/>
        <w:ind w:firstLine="0" w:firstLineChars="0"/>
        <w:jc w:val="center"/>
        <w:textAlignment w:val="auto"/>
        <w:outlineLvl w:val="0"/>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pPr>
      <w:bookmarkStart w:id="2" w:name="_Toc13486"/>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兰州新区绿色项目分类目录</w:t>
      </w:r>
      <w:bookmarkEnd w:id="1"/>
      <w:bookmarkEnd w:id="2"/>
    </w:p>
    <w:p>
      <w:pPr>
        <w:ind w:firstLine="600"/>
      </w:pPr>
    </w:p>
    <w:tbl>
      <w:tblPr>
        <w:tblStyle w:val="10"/>
        <w:tblW w:w="4934" w:type="pct"/>
        <w:tblInd w:w="20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8"/>
        <w:gridCol w:w="1064"/>
        <w:gridCol w:w="2043"/>
        <w:gridCol w:w="3712"/>
        <w:gridCol w:w="3603"/>
        <w:gridCol w:w="734"/>
        <w:gridCol w:w="1061"/>
        <w:gridCol w:w="934"/>
        <w:gridCol w:w="11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trPr>
        <w:tc>
          <w:tcPr>
            <w:tcW w:w="362" w:type="pct"/>
            <w:vMerge w:val="restart"/>
            <w:shd w:val="clear" w:color="auto" w:fill="auto"/>
            <w:vAlign w:val="center"/>
          </w:tcPr>
          <w:p>
            <w:pPr>
              <w:widowControl/>
              <w:spacing w:line="240" w:lineRule="auto"/>
              <w:ind w:firstLine="0" w:firstLineChars="0"/>
              <w:jc w:val="center"/>
              <w:rPr>
                <w:rFonts w:eastAsia="仿宋_GB2312"/>
                <w:b/>
                <w:bCs/>
                <w:color w:val="000000"/>
                <w:kern w:val="0"/>
                <w:sz w:val="21"/>
                <w:szCs w:val="21"/>
              </w:rPr>
            </w:pPr>
            <w:r>
              <w:rPr>
                <w:rFonts w:eastAsia="仿宋_GB2312"/>
                <w:b/>
                <w:bCs/>
                <w:color w:val="000000"/>
                <w:kern w:val="0"/>
                <w:sz w:val="21"/>
                <w:szCs w:val="21"/>
              </w:rPr>
              <w:t>一级分类</w:t>
            </w:r>
          </w:p>
        </w:tc>
        <w:tc>
          <w:tcPr>
            <w:tcW w:w="345" w:type="pct"/>
            <w:vMerge w:val="restart"/>
            <w:shd w:val="clear" w:color="auto" w:fill="auto"/>
            <w:vAlign w:val="center"/>
          </w:tcPr>
          <w:p>
            <w:pPr>
              <w:widowControl/>
              <w:spacing w:line="240" w:lineRule="auto"/>
              <w:ind w:firstLine="0" w:firstLineChars="0"/>
              <w:jc w:val="center"/>
              <w:rPr>
                <w:rFonts w:eastAsia="仿宋_GB2312"/>
                <w:b/>
                <w:bCs/>
                <w:color w:val="000000"/>
                <w:kern w:val="0"/>
                <w:sz w:val="21"/>
                <w:szCs w:val="21"/>
              </w:rPr>
            </w:pPr>
            <w:r>
              <w:rPr>
                <w:rFonts w:eastAsia="仿宋_GB2312"/>
                <w:b/>
                <w:bCs/>
                <w:color w:val="000000"/>
                <w:kern w:val="0"/>
                <w:sz w:val="21"/>
                <w:szCs w:val="21"/>
              </w:rPr>
              <w:t>二级分类</w:t>
            </w:r>
          </w:p>
        </w:tc>
        <w:tc>
          <w:tcPr>
            <w:tcW w:w="662" w:type="pct"/>
            <w:vMerge w:val="restart"/>
            <w:shd w:val="clear" w:color="auto" w:fill="auto"/>
            <w:vAlign w:val="center"/>
          </w:tcPr>
          <w:p>
            <w:pPr>
              <w:widowControl/>
              <w:spacing w:line="240" w:lineRule="auto"/>
              <w:ind w:firstLine="0" w:firstLineChars="0"/>
              <w:jc w:val="center"/>
              <w:rPr>
                <w:rFonts w:eastAsia="仿宋_GB2312"/>
                <w:b/>
                <w:bCs/>
                <w:color w:val="000000"/>
                <w:kern w:val="0"/>
                <w:sz w:val="21"/>
                <w:szCs w:val="21"/>
              </w:rPr>
            </w:pPr>
            <w:r>
              <w:rPr>
                <w:rFonts w:eastAsia="仿宋_GB2312"/>
                <w:b/>
                <w:bCs/>
                <w:color w:val="000000"/>
                <w:kern w:val="0"/>
                <w:sz w:val="21"/>
                <w:szCs w:val="21"/>
              </w:rPr>
              <w:t>三级分类</w:t>
            </w:r>
          </w:p>
        </w:tc>
        <w:tc>
          <w:tcPr>
            <w:tcW w:w="1204" w:type="pct"/>
            <w:vMerge w:val="restart"/>
            <w:shd w:val="clear" w:color="auto" w:fill="auto"/>
            <w:vAlign w:val="center"/>
          </w:tcPr>
          <w:p>
            <w:pPr>
              <w:widowControl/>
              <w:spacing w:line="240" w:lineRule="auto"/>
              <w:ind w:firstLine="0" w:firstLineChars="0"/>
              <w:jc w:val="center"/>
              <w:rPr>
                <w:rFonts w:eastAsia="仿宋_GB2312"/>
                <w:b/>
                <w:bCs/>
                <w:color w:val="000000"/>
                <w:kern w:val="0"/>
                <w:sz w:val="21"/>
                <w:szCs w:val="21"/>
              </w:rPr>
            </w:pPr>
            <w:r>
              <w:rPr>
                <w:rFonts w:eastAsia="仿宋_GB2312"/>
                <w:b/>
                <w:bCs/>
                <w:color w:val="000000"/>
                <w:kern w:val="0"/>
                <w:sz w:val="21"/>
                <w:szCs w:val="21"/>
              </w:rPr>
              <w:t>主要范围</w:t>
            </w:r>
          </w:p>
        </w:tc>
        <w:tc>
          <w:tcPr>
            <w:tcW w:w="1169" w:type="pct"/>
            <w:vMerge w:val="restart"/>
            <w:shd w:val="clear" w:color="auto" w:fill="auto"/>
            <w:vAlign w:val="center"/>
          </w:tcPr>
          <w:p>
            <w:pPr>
              <w:widowControl/>
              <w:spacing w:line="240" w:lineRule="auto"/>
              <w:ind w:firstLine="0" w:firstLineChars="0"/>
              <w:jc w:val="center"/>
              <w:rPr>
                <w:rFonts w:eastAsia="仿宋_GB2312"/>
                <w:b/>
                <w:bCs/>
                <w:color w:val="000000"/>
                <w:kern w:val="0"/>
                <w:sz w:val="21"/>
                <w:szCs w:val="21"/>
              </w:rPr>
            </w:pPr>
            <w:r>
              <w:rPr>
                <w:rFonts w:eastAsia="仿宋_GB2312"/>
                <w:b/>
                <w:bCs/>
                <w:color w:val="000000"/>
                <w:kern w:val="0"/>
                <w:sz w:val="21"/>
                <w:szCs w:val="21"/>
              </w:rPr>
              <w:t>技术要求</w:t>
            </w:r>
          </w:p>
        </w:tc>
        <w:tc>
          <w:tcPr>
            <w:tcW w:w="238" w:type="pct"/>
            <w:vMerge w:val="restart"/>
            <w:shd w:val="clear" w:color="auto" w:fill="auto"/>
            <w:vAlign w:val="center"/>
          </w:tcPr>
          <w:p>
            <w:pPr>
              <w:widowControl/>
              <w:spacing w:line="240" w:lineRule="auto"/>
              <w:ind w:firstLine="0" w:firstLineChars="0"/>
              <w:jc w:val="center"/>
              <w:rPr>
                <w:rFonts w:eastAsia="仿宋_GB2312"/>
                <w:b/>
                <w:bCs/>
                <w:color w:val="000000"/>
                <w:kern w:val="0"/>
                <w:sz w:val="21"/>
                <w:szCs w:val="21"/>
              </w:rPr>
            </w:pPr>
            <w:r>
              <w:rPr>
                <w:rFonts w:eastAsia="仿宋_GB2312"/>
                <w:b/>
                <w:bCs/>
                <w:color w:val="000000"/>
                <w:kern w:val="0"/>
                <w:sz w:val="21"/>
                <w:szCs w:val="21"/>
              </w:rPr>
              <w:t>绿色评级</w:t>
            </w:r>
          </w:p>
        </w:tc>
        <w:tc>
          <w:tcPr>
            <w:tcW w:w="1017" w:type="pct"/>
            <w:gridSpan w:val="3"/>
            <w:shd w:val="clear" w:color="auto" w:fill="auto"/>
            <w:vAlign w:val="center"/>
          </w:tcPr>
          <w:p>
            <w:pPr>
              <w:widowControl/>
              <w:spacing w:line="240" w:lineRule="auto"/>
              <w:ind w:firstLine="0" w:firstLineChars="0"/>
              <w:jc w:val="center"/>
              <w:rPr>
                <w:rFonts w:eastAsia="仿宋_GB2312"/>
                <w:b/>
                <w:bCs/>
                <w:color w:val="000000"/>
                <w:kern w:val="0"/>
                <w:sz w:val="21"/>
                <w:szCs w:val="21"/>
              </w:rPr>
            </w:pPr>
            <w:r>
              <w:rPr>
                <w:rFonts w:eastAsia="仿宋_GB2312"/>
                <w:b/>
                <w:bCs/>
                <w:color w:val="000000"/>
                <w:kern w:val="0"/>
                <w:sz w:val="21"/>
                <w:szCs w:val="21"/>
              </w:rPr>
              <w:t>国内标准对标（</w:t>
            </w:r>
            <w:r>
              <w:rPr>
                <w:rFonts w:hint="eastAsia" w:eastAsia="仿宋_GB2312"/>
                <w:b/>
                <w:bCs/>
                <w:color w:val="000000"/>
                <w:kern w:val="0"/>
                <w:sz w:val="21"/>
                <w:szCs w:val="21"/>
              </w:rPr>
              <w:t>指标编号</w:t>
            </w:r>
            <w:r>
              <w:rPr>
                <w:rFonts w:eastAsia="仿宋_GB2312"/>
                <w:b/>
                <w:bCs/>
                <w:color w:val="000000"/>
                <w:kern w:val="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trPr>
        <w:tc>
          <w:tcPr>
            <w:tcW w:w="362" w:type="pct"/>
            <w:vMerge w:val="continue"/>
            <w:vAlign w:val="center"/>
          </w:tcPr>
          <w:p>
            <w:pPr>
              <w:widowControl/>
              <w:spacing w:line="240" w:lineRule="auto"/>
              <w:ind w:firstLine="0" w:firstLineChars="0"/>
              <w:jc w:val="left"/>
              <w:rPr>
                <w:rFonts w:eastAsia="仿宋_GB2312"/>
                <w:b/>
                <w:bCs/>
                <w:color w:val="000000"/>
                <w:kern w:val="0"/>
                <w:sz w:val="21"/>
                <w:szCs w:val="21"/>
              </w:rPr>
            </w:pPr>
          </w:p>
        </w:tc>
        <w:tc>
          <w:tcPr>
            <w:tcW w:w="345" w:type="pct"/>
            <w:vMerge w:val="continue"/>
            <w:vAlign w:val="center"/>
          </w:tcPr>
          <w:p>
            <w:pPr>
              <w:widowControl/>
              <w:spacing w:line="240" w:lineRule="auto"/>
              <w:ind w:firstLine="0" w:firstLineChars="0"/>
              <w:jc w:val="left"/>
              <w:rPr>
                <w:rFonts w:eastAsia="仿宋_GB2312"/>
                <w:b/>
                <w:bCs/>
                <w:color w:val="000000"/>
                <w:kern w:val="0"/>
                <w:sz w:val="21"/>
                <w:szCs w:val="21"/>
              </w:rPr>
            </w:pPr>
          </w:p>
        </w:tc>
        <w:tc>
          <w:tcPr>
            <w:tcW w:w="662" w:type="pct"/>
            <w:vMerge w:val="continue"/>
            <w:vAlign w:val="center"/>
          </w:tcPr>
          <w:p>
            <w:pPr>
              <w:widowControl/>
              <w:spacing w:line="240" w:lineRule="auto"/>
              <w:ind w:firstLine="0" w:firstLineChars="0"/>
              <w:jc w:val="left"/>
              <w:rPr>
                <w:rFonts w:eastAsia="仿宋_GB2312"/>
                <w:b/>
                <w:bCs/>
                <w:color w:val="000000"/>
                <w:kern w:val="0"/>
                <w:sz w:val="21"/>
                <w:szCs w:val="21"/>
              </w:rPr>
            </w:pPr>
          </w:p>
        </w:tc>
        <w:tc>
          <w:tcPr>
            <w:tcW w:w="1204" w:type="pct"/>
            <w:vMerge w:val="continue"/>
            <w:vAlign w:val="center"/>
          </w:tcPr>
          <w:p>
            <w:pPr>
              <w:widowControl/>
              <w:spacing w:line="240" w:lineRule="auto"/>
              <w:ind w:firstLine="0" w:firstLineChars="0"/>
              <w:jc w:val="left"/>
              <w:rPr>
                <w:rFonts w:eastAsia="仿宋_GB2312"/>
                <w:b/>
                <w:bCs/>
                <w:color w:val="000000"/>
                <w:kern w:val="0"/>
                <w:sz w:val="21"/>
                <w:szCs w:val="21"/>
              </w:rPr>
            </w:pPr>
          </w:p>
        </w:tc>
        <w:tc>
          <w:tcPr>
            <w:tcW w:w="1169" w:type="pct"/>
            <w:vMerge w:val="continue"/>
            <w:vAlign w:val="center"/>
          </w:tcPr>
          <w:p>
            <w:pPr>
              <w:widowControl/>
              <w:spacing w:line="240" w:lineRule="auto"/>
              <w:ind w:firstLine="0" w:firstLineChars="0"/>
              <w:jc w:val="left"/>
              <w:rPr>
                <w:rFonts w:eastAsia="仿宋_GB2312"/>
                <w:b/>
                <w:bCs/>
                <w:color w:val="000000"/>
                <w:kern w:val="0"/>
                <w:sz w:val="21"/>
                <w:szCs w:val="21"/>
              </w:rPr>
            </w:pPr>
          </w:p>
        </w:tc>
        <w:tc>
          <w:tcPr>
            <w:tcW w:w="238" w:type="pct"/>
            <w:vMerge w:val="continue"/>
            <w:vAlign w:val="center"/>
          </w:tcPr>
          <w:p>
            <w:pPr>
              <w:widowControl/>
              <w:spacing w:line="240" w:lineRule="auto"/>
              <w:ind w:firstLine="0" w:firstLineChars="0"/>
              <w:jc w:val="left"/>
              <w:rPr>
                <w:rFonts w:eastAsia="仿宋_GB2312"/>
                <w:b/>
                <w:bCs/>
                <w:color w:val="000000"/>
                <w:kern w:val="0"/>
                <w:sz w:val="21"/>
                <w:szCs w:val="21"/>
              </w:rPr>
            </w:pPr>
          </w:p>
        </w:tc>
        <w:tc>
          <w:tcPr>
            <w:tcW w:w="344" w:type="pct"/>
            <w:shd w:val="clear" w:color="auto" w:fill="auto"/>
            <w:vAlign w:val="center"/>
          </w:tcPr>
          <w:p>
            <w:pPr>
              <w:widowControl/>
              <w:spacing w:line="240" w:lineRule="auto"/>
              <w:ind w:firstLine="0" w:firstLineChars="0"/>
              <w:jc w:val="center"/>
              <w:rPr>
                <w:rFonts w:eastAsia="仿宋_GB2312"/>
                <w:b/>
                <w:bCs/>
                <w:color w:val="000000"/>
                <w:kern w:val="0"/>
                <w:sz w:val="21"/>
                <w:szCs w:val="21"/>
              </w:rPr>
            </w:pPr>
            <w:r>
              <w:rPr>
                <w:rFonts w:hint="eastAsia" w:eastAsia="仿宋_GB2312"/>
                <w:b/>
                <w:bCs/>
                <w:color w:val="000000"/>
                <w:kern w:val="0"/>
                <w:sz w:val="21"/>
                <w:szCs w:val="21"/>
              </w:rPr>
              <w:t>产业指导目录</w:t>
            </w:r>
          </w:p>
        </w:tc>
        <w:tc>
          <w:tcPr>
            <w:tcW w:w="303" w:type="pct"/>
            <w:shd w:val="clear" w:color="auto" w:fill="auto"/>
            <w:vAlign w:val="center"/>
          </w:tcPr>
          <w:p>
            <w:pPr>
              <w:widowControl/>
              <w:spacing w:line="240" w:lineRule="auto"/>
              <w:ind w:firstLine="0" w:firstLineChars="0"/>
              <w:jc w:val="center"/>
              <w:rPr>
                <w:rFonts w:eastAsia="仿宋_GB2312"/>
                <w:b/>
                <w:bCs/>
                <w:color w:val="000000"/>
                <w:kern w:val="0"/>
                <w:sz w:val="21"/>
                <w:szCs w:val="21"/>
              </w:rPr>
            </w:pPr>
            <w:r>
              <w:rPr>
                <w:rFonts w:hint="eastAsia" w:eastAsia="仿宋_GB2312"/>
                <w:b/>
                <w:bCs/>
                <w:color w:val="000000"/>
                <w:kern w:val="0"/>
                <w:sz w:val="21"/>
                <w:szCs w:val="21"/>
              </w:rPr>
              <w:t>绿色债券目录</w:t>
            </w:r>
          </w:p>
        </w:tc>
        <w:tc>
          <w:tcPr>
            <w:tcW w:w="369" w:type="pct"/>
            <w:shd w:val="clear" w:color="auto" w:fill="auto"/>
            <w:vAlign w:val="center"/>
          </w:tcPr>
          <w:p>
            <w:pPr>
              <w:widowControl/>
              <w:spacing w:line="240" w:lineRule="auto"/>
              <w:ind w:firstLine="0" w:firstLineChars="0"/>
              <w:jc w:val="center"/>
              <w:rPr>
                <w:rFonts w:eastAsia="仿宋_GB2312"/>
                <w:b/>
                <w:bCs/>
                <w:color w:val="000000"/>
                <w:kern w:val="0"/>
                <w:sz w:val="21"/>
                <w:szCs w:val="21"/>
              </w:rPr>
            </w:pPr>
            <w:r>
              <w:rPr>
                <w:rFonts w:hint="eastAsia" w:eastAsia="仿宋_GB2312"/>
                <w:b/>
                <w:bCs/>
                <w:color w:val="000000"/>
                <w:kern w:val="0"/>
                <w:sz w:val="21"/>
                <w:szCs w:val="21"/>
              </w:rPr>
              <w:t>绿色融资统计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3" w:hRule="atLeast"/>
        </w:trPr>
        <w:tc>
          <w:tcPr>
            <w:tcW w:w="362" w:type="pct"/>
            <w:vMerge w:val="restart"/>
            <w:shd w:val="clear" w:color="auto" w:fill="auto"/>
            <w:vAlign w:val="center"/>
          </w:tcPr>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1 节能环保装备制造产业</w:t>
            </w: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1 节能环保装备制造产业</w:t>
            </w: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1 节能环保装备制造产业</w:t>
            </w:r>
          </w:p>
        </w:tc>
        <w:tc>
          <w:tcPr>
            <w:tcW w:w="345" w:type="pct"/>
            <w:vMerge w:val="restar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1.1 节能</w:t>
            </w:r>
            <w:r>
              <w:rPr>
                <w:rFonts w:hint="eastAsia" w:eastAsia="仿宋_GB2312"/>
                <w:color w:val="000000"/>
                <w:kern w:val="0"/>
                <w:sz w:val="21"/>
                <w:szCs w:val="21"/>
              </w:rPr>
              <w:t>装备制造</w:t>
            </w:r>
            <w:r>
              <w:rPr>
                <w:rFonts w:eastAsia="仿宋_GB2312"/>
                <w:color w:val="000000"/>
                <w:kern w:val="0"/>
                <w:sz w:val="21"/>
                <w:szCs w:val="21"/>
              </w:rPr>
              <w:t>产业</w:t>
            </w:r>
          </w:p>
        </w:tc>
        <w:tc>
          <w:tcPr>
            <w:tcW w:w="662"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both"/>
              <w:textAlignment w:val="auto"/>
              <w:rPr>
                <w:rFonts w:eastAsia="仿宋_GB2312"/>
                <w:color w:val="000000"/>
                <w:kern w:val="0"/>
                <w:sz w:val="21"/>
                <w:szCs w:val="21"/>
              </w:rPr>
            </w:pPr>
            <w:r>
              <w:rPr>
                <w:rFonts w:eastAsia="仿宋_GB2312"/>
                <w:color w:val="000000"/>
                <w:kern w:val="0"/>
                <w:sz w:val="21"/>
                <w:szCs w:val="21"/>
              </w:rPr>
              <w:t>1.1.1节能型泵及真空设备制造</w:t>
            </w:r>
          </w:p>
        </w:tc>
        <w:tc>
          <w:tcPr>
            <w:tcW w:w="1204"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both"/>
              <w:textAlignment w:val="auto"/>
              <w:rPr>
                <w:rFonts w:eastAsia="仿宋_GB2312"/>
                <w:color w:val="000000"/>
                <w:kern w:val="0"/>
                <w:sz w:val="21"/>
                <w:szCs w:val="21"/>
              </w:rPr>
            </w:pPr>
            <w:r>
              <w:rPr>
                <w:rFonts w:eastAsia="仿宋_GB2312"/>
                <w:color w:val="000000"/>
                <w:kern w:val="0"/>
                <w:sz w:val="21"/>
                <w:szCs w:val="21"/>
              </w:rPr>
              <w:t>包括节能泵、节能型真空干燥设备、节能型真空炉等设备制造及贸易活动。</w:t>
            </w:r>
          </w:p>
        </w:tc>
        <w:tc>
          <w:tcPr>
            <w:tcW w:w="1169"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both"/>
              <w:textAlignment w:val="auto"/>
              <w:rPr>
                <w:rFonts w:eastAsia="仿宋_GB2312"/>
                <w:color w:val="000000"/>
                <w:kern w:val="0"/>
                <w:sz w:val="21"/>
                <w:szCs w:val="21"/>
              </w:rPr>
            </w:pPr>
            <w:r>
              <w:rPr>
                <w:rFonts w:eastAsia="仿宋_GB2312"/>
                <w:color w:val="000000"/>
                <w:kern w:val="0"/>
                <w:sz w:val="21"/>
                <w:szCs w:val="21"/>
              </w:rPr>
              <w:t>设备及产品能耗水平应优于相应设备、产品能效限定值及能效等级标准1级能效指标。</w:t>
            </w: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G3</w:t>
            </w: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1.1.3</w:t>
            </w: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1.1.1.3</w:t>
            </w: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4"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662"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both"/>
              <w:textAlignment w:val="auto"/>
              <w:rPr>
                <w:rFonts w:eastAsia="仿宋_GB2312"/>
                <w:color w:val="000000"/>
                <w:kern w:val="0"/>
                <w:sz w:val="21"/>
                <w:szCs w:val="21"/>
              </w:rPr>
            </w:pPr>
            <w:r>
              <w:rPr>
                <w:rFonts w:eastAsia="仿宋_GB2312"/>
                <w:color w:val="000000"/>
                <w:kern w:val="0"/>
                <w:sz w:val="21"/>
                <w:szCs w:val="21"/>
              </w:rPr>
              <w:t>1.1.2节能电机制造</w:t>
            </w:r>
          </w:p>
        </w:tc>
        <w:tc>
          <w:tcPr>
            <w:tcW w:w="1204"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both"/>
              <w:textAlignment w:val="auto"/>
              <w:rPr>
                <w:rFonts w:eastAsia="仿宋_GB2312"/>
                <w:color w:val="000000"/>
                <w:kern w:val="0"/>
                <w:sz w:val="21"/>
                <w:szCs w:val="21"/>
              </w:rPr>
            </w:pPr>
            <w:r>
              <w:rPr>
                <w:rFonts w:eastAsia="仿宋_GB2312"/>
                <w:color w:val="000000"/>
                <w:kern w:val="0"/>
                <w:sz w:val="21"/>
                <w:szCs w:val="21"/>
              </w:rPr>
              <w:t>包括节能型直流电动机、节能型交流电动机、节能型交直流两用电动机、节能型小功率电动机、节能型微电机、稀土永磁电机等设备制造及贸易活动。</w:t>
            </w:r>
          </w:p>
        </w:tc>
        <w:tc>
          <w:tcPr>
            <w:tcW w:w="1169"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both"/>
              <w:textAlignment w:val="auto"/>
              <w:rPr>
                <w:rFonts w:eastAsia="仿宋_GB2312"/>
                <w:color w:val="000000"/>
                <w:kern w:val="0"/>
                <w:sz w:val="21"/>
                <w:szCs w:val="21"/>
              </w:rPr>
            </w:pPr>
            <w:r>
              <w:rPr>
                <w:rFonts w:eastAsia="仿宋_GB2312"/>
                <w:color w:val="000000"/>
                <w:kern w:val="0"/>
                <w:sz w:val="21"/>
                <w:szCs w:val="21"/>
              </w:rPr>
              <w:t>设备及产品能耗水平应优于相应设备、产品能效限定值及能效等级标准1级能效指标。</w:t>
            </w: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G3</w:t>
            </w: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1.1.8</w:t>
            </w: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1.1.8</w:t>
            </w: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662"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both"/>
              <w:textAlignment w:val="auto"/>
              <w:rPr>
                <w:rFonts w:eastAsia="仿宋_GB2312"/>
                <w:color w:val="000000"/>
                <w:kern w:val="0"/>
                <w:sz w:val="21"/>
                <w:szCs w:val="21"/>
              </w:rPr>
            </w:pPr>
            <w:r>
              <w:rPr>
                <w:rFonts w:eastAsia="仿宋_GB2312"/>
                <w:color w:val="000000"/>
                <w:kern w:val="0"/>
                <w:sz w:val="21"/>
                <w:szCs w:val="21"/>
              </w:rPr>
              <w:t>1.1.3余热余压余气利用设备制造</w:t>
            </w:r>
          </w:p>
        </w:tc>
        <w:tc>
          <w:tcPr>
            <w:tcW w:w="1204"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both"/>
              <w:textAlignment w:val="auto"/>
              <w:rPr>
                <w:rFonts w:eastAsia="仿宋_GB2312"/>
                <w:color w:val="000000"/>
                <w:kern w:val="0"/>
                <w:sz w:val="21"/>
                <w:szCs w:val="21"/>
              </w:rPr>
            </w:pPr>
            <w:r>
              <w:rPr>
                <w:rFonts w:eastAsia="仿宋_GB2312"/>
                <w:color w:val="000000"/>
                <w:kern w:val="0"/>
                <w:sz w:val="21"/>
                <w:szCs w:val="21"/>
              </w:rPr>
              <w:t>包括低温烟气余热深度回收装置、窑炉余热利用装置、基于热泵技术的循环水及乏汽余热回收集中供热装置、高效换热器、高效蓄能器、高效冷凝器等余热余压余气利用设备制造及贸易活动。</w:t>
            </w:r>
          </w:p>
        </w:tc>
        <w:tc>
          <w:tcPr>
            <w:tcW w:w="1169"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both"/>
              <w:textAlignment w:val="auto"/>
              <w:rPr>
                <w:rFonts w:eastAsia="仿宋_GB2312"/>
                <w:color w:val="000000"/>
                <w:kern w:val="0"/>
                <w:sz w:val="21"/>
                <w:szCs w:val="21"/>
              </w:rPr>
            </w:pPr>
            <w:r>
              <w:rPr>
                <w:rFonts w:eastAsia="仿宋_GB2312"/>
                <w:color w:val="000000"/>
                <w:kern w:val="0"/>
                <w:sz w:val="21"/>
                <w:szCs w:val="21"/>
              </w:rPr>
              <w:t>热交换器能效等级达到《热交换器能效测试与评价规则》（TSG R0010）中的目标值要求。</w:t>
            </w: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G3</w:t>
            </w: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1.1.10</w:t>
            </w: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1.1.1.10</w:t>
            </w: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7"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662"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both"/>
              <w:textAlignment w:val="auto"/>
              <w:rPr>
                <w:rFonts w:eastAsia="仿宋_GB2312"/>
                <w:color w:val="000000"/>
                <w:kern w:val="0"/>
                <w:sz w:val="21"/>
                <w:szCs w:val="21"/>
              </w:rPr>
            </w:pPr>
            <w:r>
              <w:rPr>
                <w:rFonts w:eastAsia="仿宋_GB2312"/>
                <w:color w:val="000000"/>
                <w:kern w:val="0"/>
                <w:sz w:val="21"/>
                <w:szCs w:val="21"/>
              </w:rPr>
              <w:t>1.1.4绿色建筑材料制造</w:t>
            </w:r>
          </w:p>
        </w:tc>
        <w:tc>
          <w:tcPr>
            <w:tcW w:w="1204"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both"/>
              <w:textAlignment w:val="auto"/>
              <w:rPr>
                <w:rFonts w:eastAsia="仿宋_GB2312"/>
                <w:color w:val="000000"/>
                <w:kern w:val="0"/>
                <w:sz w:val="21"/>
                <w:szCs w:val="21"/>
              </w:rPr>
            </w:pPr>
            <w:r>
              <w:rPr>
                <w:rFonts w:eastAsia="仿宋_GB2312"/>
                <w:color w:val="000000"/>
                <w:kern w:val="0"/>
                <w:sz w:val="21"/>
                <w:szCs w:val="21"/>
              </w:rPr>
              <w:t>包括节能墙体材料、外墙保温材料、节能玻璃、装配式建筑部品部件、预拌混凝土、预拌砂浆等绿色建材产品制造。</w:t>
            </w:r>
          </w:p>
        </w:tc>
        <w:tc>
          <w:tcPr>
            <w:tcW w:w="1169"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both"/>
              <w:textAlignment w:val="auto"/>
              <w:rPr>
                <w:rFonts w:eastAsia="仿宋_GB2312"/>
                <w:color w:val="000000"/>
                <w:kern w:val="0"/>
                <w:sz w:val="21"/>
                <w:szCs w:val="21"/>
              </w:rPr>
            </w:pPr>
            <w:r>
              <w:rPr>
                <w:rFonts w:eastAsia="仿宋_GB2312"/>
                <w:color w:val="000000"/>
                <w:kern w:val="0"/>
                <w:sz w:val="21"/>
                <w:szCs w:val="21"/>
              </w:rPr>
              <w:t>绿色建材产品应通过绿色产品评价国家标准认证，并纳入绿色建材产品认证目录；绿色建材应符合《绿色建材</w:t>
            </w:r>
          </w:p>
          <w:p>
            <w:pPr>
              <w:keepNext w:val="0"/>
              <w:keepLines w:val="0"/>
              <w:pageBreakBefore w:val="0"/>
              <w:widowControl/>
              <w:kinsoku/>
              <w:wordWrap/>
              <w:overflowPunct/>
              <w:topLinePunct w:val="0"/>
              <w:autoSpaceDE/>
              <w:autoSpaceDN/>
              <w:bidi w:val="0"/>
              <w:adjustRightInd/>
              <w:snapToGrid/>
              <w:spacing w:line="360" w:lineRule="exact"/>
              <w:ind w:firstLine="0" w:firstLineChars="0"/>
              <w:jc w:val="both"/>
              <w:textAlignment w:val="auto"/>
              <w:rPr>
                <w:rFonts w:eastAsia="仿宋_GB2312"/>
                <w:color w:val="000000"/>
                <w:kern w:val="0"/>
                <w:sz w:val="21"/>
                <w:szCs w:val="21"/>
              </w:rPr>
            </w:pPr>
            <w:r>
              <w:rPr>
                <w:rFonts w:eastAsia="仿宋_GB2312"/>
                <w:color w:val="000000"/>
                <w:kern w:val="0"/>
                <w:sz w:val="21"/>
                <w:szCs w:val="21"/>
              </w:rPr>
              <w:t>评价技术导则（试行）》（第一版）目标值要求，并获得绿色建材标识。</w:t>
            </w: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G3</w:t>
            </w: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1.1.14</w:t>
            </w: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1.2.1.1</w:t>
            </w: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vMerge w:val="restart"/>
            <w:shd w:val="clear" w:color="auto" w:fill="auto"/>
            <w:vAlign w:val="center"/>
          </w:tcPr>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1.2 环保</w:t>
            </w:r>
            <w:r>
              <w:rPr>
                <w:rFonts w:hint="eastAsia" w:eastAsia="仿宋_GB2312"/>
                <w:color w:val="000000"/>
                <w:kern w:val="0"/>
                <w:sz w:val="21"/>
                <w:szCs w:val="21"/>
              </w:rPr>
              <w:t>装备制造</w:t>
            </w:r>
            <w:r>
              <w:rPr>
                <w:rFonts w:eastAsia="仿宋_GB2312"/>
                <w:color w:val="000000"/>
                <w:kern w:val="0"/>
                <w:sz w:val="21"/>
                <w:szCs w:val="21"/>
              </w:rPr>
              <w:t>产业</w:t>
            </w: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1.2.1水污染防治装备制造</w:t>
            </w: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包括城镇、农村生活污水、工业废水处理与再生利用、回用装备，地表水、地下水污染防控治理与修复装备，清淤机械、排水管网维护检测装备、海绵城市建设配套装备、城镇雨水收集与处理装备，饮用水安全保障及漏损控制装备等装备制造及贸易活动。</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装备技术指标应达到或优于有效期内《环境保护重点设备目录》《国家鼓励发展的重大环保装备技术目录》等技术政策或标准的要求。</w:t>
            </w: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G3</w:t>
            </w: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1.2.1</w:t>
            </w: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1.3.1.1</w:t>
            </w: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1.2.2大气污染防治装备制造</w:t>
            </w: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包括烟气除尘、脱硫脱硝，挥发性有机污染物（VOCs）处理、机动车尾气后处理、食品业油烟净化等装备制造及贸易活动。</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装备技术指标应达到或优于有效期内《环境保护重点设备名录》《国家鼓励发展的重大环保装备技术目录》等技术政策或标准的要求。</w:t>
            </w: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G3</w:t>
            </w: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1.2.2</w:t>
            </w: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1.3.1.2</w:t>
            </w: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1.2.3土壤污染治理与修复装备制造</w:t>
            </w: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包括农用地土壤污染修复装备、污染地块治理与修复装备等装备制造及贸易活动。</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装备技术指标鼓励达到有效期内《土壤污染防治先进技术装备目录》《国家鼓励发展的重大环保装备技术目录》等的相关技术标准要求。</w:t>
            </w: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G3</w:t>
            </w: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1.2.3</w:t>
            </w: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1.3.1.3</w:t>
            </w: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9"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1.2.4环境污染处理药剂、材料制造</w:t>
            </w: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包括除磷药剂、杀菌灭藻剂、絮凝剂等环保药剂和袋式除尘滤料及纤维、袋除尘用大口径脉冲阀、无膜片高压低能耗脉冲阀、膜材料和膜组件等设备、零部件制造及贸易活动。</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药剂与材料达到有效期内《国家鼓励发展的重大环保装备技术目录》相关技术标准要求。</w:t>
            </w: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G3</w:t>
            </w: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1.2.7</w:t>
            </w: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1.3.1.7</w:t>
            </w: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vMerge w:val="restar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1.3资源循环利用</w:t>
            </w:r>
            <w:r>
              <w:rPr>
                <w:rFonts w:hint="eastAsia" w:eastAsia="仿宋_GB2312"/>
                <w:color w:val="000000"/>
                <w:kern w:val="0"/>
                <w:sz w:val="21"/>
                <w:szCs w:val="21"/>
              </w:rPr>
              <w:t>装备制造产业</w:t>
            </w: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1.3.1汽车零部件及机电产品再制造装备制造</w:t>
            </w: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利用废旧汽车零部件、废旧机电产品材料，再生生产汽车零部件、机电产品的生产装备制造及贸易活动。如废旧汽车零部件、废旧机电产品的拆解清洗装备，电镀、熔覆、成型一体化等装备的制造及贸易活动。</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G3</w:t>
            </w: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　</w:t>
            </w: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1.5.1.5</w:t>
            </w: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1.3.2汽车零部件及机电产品再制造</w:t>
            </w: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包括汽车零部件及机电产品的回收、分拣、拆解、再加工等设施建设运营。</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工艺、产品等需符合《汽车零部件再制造分类》（GB</w:t>
            </w:r>
            <w:r>
              <w:rPr>
                <w:rFonts w:eastAsia="微软雅黑"/>
                <w:color w:val="000000"/>
                <w:kern w:val="0"/>
                <w:sz w:val="21"/>
                <w:szCs w:val="21"/>
              </w:rPr>
              <w:t>∕</w:t>
            </w:r>
            <w:r>
              <w:rPr>
                <w:rFonts w:eastAsia="仿宋_GB2312"/>
                <w:color w:val="000000"/>
                <w:kern w:val="0"/>
                <w:sz w:val="21"/>
                <w:szCs w:val="21"/>
              </w:rPr>
              <w:t>T 28676）、《汽车零部件再制造拆解》（GB</w:t>
            </w:r>
            <w:r>
              <w:rPr>
                <w:rFonts w:eastAsia="微软雅黑"/>
                <w:color w:val="000000"/>
                <w:kern w:val="0"/>
                <w:sz w:val="21"/>
                <w:szCs w:val="21"/>
              </w:rPr>
              <w:t>∕</w:t>
            </w:r>
            <w:r>
              <w:rPr>
                <w:rFonts w:eastAsia="仿宋_GB2312"/>
                <w:color w:val="000000"/>
                <w:kern w:val="0"/>
                <w:sz w:val="21"/>
                <w:szCs w:val="21"/>
              </w:rPr>
              <w:t>T 28675）、《汽车零部件再制造产品技术规范起动机》（GB/T 28673）、《汽车零部件再制造产品技术规范 交流发电机》（GB</w:t>
            </w:r>
            <w:r>
              <w:rPr>
                <w:rFonts w:eastAsia="微软雅黑"/>
                <w:color w:val="000000"/>
                <w:kern w:val="0"/>
                <w:sz w:val="21"/>
                <w:szCs w:val="21"/>
              </w:rPr>
              <w:t>∕</w:t>
            </w:r>
            <w:r>
              <w:rPr>
                <w:rFonts w:eastAsia="仿宋_GB2312"/>
                <w:color w:val="000000"/>
                <w:kern w:val="0"/>
                <w:sz w:val="21"/>
                <w:szCs w:val="21"/>
              </w:rPr>
              <w:t>T 28672）、《再制造内燃机通用技术条件》（GB/T 32222）等国家标准。</w:t>
            </w: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G3</w:t>
            </w: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1.3.5</w:t>
            </w: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1.5.2.2</w:t>
            </w: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62" w:type="pct"/>
            <w:vMerge w:val="restart"/>
            <w:shd w:val="clear" w:color="auto" w:fill="auto"/>
            <w:vAlign w:val="center"/>
          </w:tcPr>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2 产业园区绿色升级</w:t>
            </w: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2 产业园区绿色升级</w:t>
            </w: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tc>
        <w:tc>
          <w:tcPr>
            <w:tcW w:w="345" w:type="pct"/>
            <w:vMerge w:val="restart"/>
            <w:shd w:val="clear" w:color="auto" w:fill="auto"/>
            <w:vAlign w:val="center"/>
          </w:tcPr>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2.1园区循环化改造</w:t>
            </w: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2.1.1园区产业链接循环化改造</w:t>
            </w: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包括电力、钢铁、有色金属、石油石化、化学工业、建材行业、造纸行业、纺织行业、农牧业等行业，以本行业企业为基础建立跨行业产业链接，实现最大化的废弃物资源接续利用，实现废弃物循环利用，或能源梯级利用的技术改造活动。</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需符合《工业园区循环经济管理通则》（GB/T 31088）、《工业园区循环经济评价规范》（GB/T 33567）、《工业企业和园区循环经济标准体系编制通则》（GB/T 33751）等标准。</w:t>
            </w: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G1</w:t>
            </w: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2.1.1</w:t>
            </w: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2.3.2.1</w:t>
            </w: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2.1.1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4"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2.1.2园区资源利用高效化改造</w:t>
            </w: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包括园区内废弃物资源，尾矿、伴生矿等资源利用项目引进和建设，以及为提升园区整体资源利用效率和园区企业资源利用效率而进行的园区专项或系统化改造，包括园区产业链补链企业引进、改造和建设，既有企业资源高效利用改造等。</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　</w:t>
            </w: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G1</w:t>
            </w: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2.1.2</w:t>
            </w: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2.3.2.2</w:t>
            </w: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2.1.1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shd w:val="clear" w:color="auto" w:fill="auto"/>
            <w:vAlign w:val="center"/>
          </w:tcPr>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2.2园区清洁生产</w:t>
            </w: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2.2.1园区重点行业清洁生产改造</w:t>
            </w: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包括钢铁园区清洁生产改造、化工园区清洁生产改造、石油石化园区清洁生产改造、有色金属园区等高污染重点行业企业及园区清洁生产改造。</w:t>
            </w:r>
          </w:p>
          <w:p>
            <w:pPr>
              <w:widowControl/>
              <w:spacing w:line="240" w:lineRule="auto"/>
              <w:ind w:firstLine="0" w:firstLineChars="0"/>
              <w:jc w:val="both"/>
              <w:rPr>
                <w:rFonts w:eastAsia="仿宋_GB2312"/>
                <w:color w:val="000000"/>
                <w:kern w:val="0"/>
                <w:sz w:val="21"/>
                <w:szCs w:val="21"/>
              </w:rPr>
            </w:pP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需符合《钢铁行业清洁生产评价指标体系》《氮肥行业清洁生产评价指标体系（试行）》《烧碱/聚氯乙烯行业清洁生产评价指标体系（试行）》《铝行业清洁生产评价指标体系（试行）》《铅锌行业清洁生产评价指标体系（试行）》等国家标准要求。</w:t>
            </w: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G1</w:t>
            </w: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2.1.4</w:t>
            </w: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2.1.3.2</w:t>
            </w: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2.1.2</w:t>
            </w: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2.3园区污染防治</w:t>
            </w: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2.3.1园区污染治理集中化改造</w:t>
            </w: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包括工业园区、企业集群集中污染治理设施、集中喷涂设施建设和运营及升级改造，废弃可再生资源（如废钢铁、废有色金属、废塑料、废橡胶等）集中拆解处理和集中污染治理设施建设运营，以及工业园区、企业集群公共基础设施（如供水、供电、供热、道路、通信等）建设和技术改造。</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需符合《城镇污水处理厂污染物排放标准》(GB 18918)和当地生态环境保护主管部门制定的地方标准。</w:t>
            </w: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G1</w:t>
            </w: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2.1.3</w:t>
            </w: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2.1.3.1</w:t>
            </w: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2.1.2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0"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vMerge w:val="restart"/>
            <w:shd w:val="clear" w:color="auto" w:fill="auto"/>
            <w:vAlign w:val="center"/>
          </w:tcPr>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2.4园区智慧管理</w:t>
            </w: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2.4.1能源管理中心</w:t>
            </w: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采用自动化、信息化技术和集中管理模式，对企业能源系统生产、输配和消耗各环节（不限定包含所有环节）实施集中扁平化动态监控和数字化管理，改进和优化能源平衡，实现系统性节能降耗的能源管理管控一体化系统。包括系统硬件设施设备购置安装和配套软件系统开发运用。</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G2</w:t>
            </w: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4"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2.4.2智慧物流仓储</w:t>
            </w: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通过智能硬件、物联网、大数据等智慧化技术与手段，提高物流系统分析决策和智能执行的能力，提升区域物流系统的智能化、自动化水平。</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G2</w:t>
            </w: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7"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2.4.3园区智慧管理中心</w:t>
            </w: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建立统一的事件综合协调平台，利用集中的信息资源和应用系统，实现对事件的快速分发和分级响应；整合视频监控、传感测量等物联网数据和业务运行管理数据，实现对园区各平台系统和基础设施的在线管理。</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G2</w:t>
            </w: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2.4.4工业互联网建设运营</w:t>
            </w: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包括工业互联网平台体系和网络的建设和运营等。</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需符合《工业互联网平台建设及推广指南》《工业互联网平台评价方法》《工业互联网网络建设及推广指南》的相关要求。</w:t>
            </w: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G2</w:t>
            </w: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trPr>
        <w:tc>
          <w:tcPr>
            <w:tcW w:w="362" w:type="pct"/>
            <w:vMerge w:val="restart"/>
            <w:shd w:val="clear" w:color="auto" w:fill="auto"/>
            <w:vAlign w:val="center"/>
          </w:tcPr>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3 工业绿色化改造升级</w:t>
            </w: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3 工业绿色化改造升级</w:t>
            </w: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3 工业绿色化改造升级</w:t>
            </w: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3 工业绿色化改造升级</w:t>
            </w: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3 工业绿色化改造升级</w:t>
            </w:r>
          </w:p>
        </w:tc>
        <w:tc>
          <w:tcPr>
            <w:tcW w:w="345" w:type="pct"/>
            <w:vMerge w:val="restart"/>
            <w:shd w:val="clear" w:color="auto" w:fill="auto"/>
            <w:vAlign w:val="center"/>
          </w:tcPr>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3.1生产过程能源高效利用</w:t>
            </w: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3.1生产过程能源高效利用</w:t>
            </w: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3.1.1工业设备系统能效提升</w:t>
            </w: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包括以实现锅炉（窑炉）能效提升为目的，采用设备、装备替代更新、技术改造、燃料优化、燃烧调整优化等技术手段，对锅炉（窑炉）实施的节能技术改造，以及使用清洁低碳能源和工厂余热、电厂热力替代以煤、石油焦、渣油、重油等燃料锅炉（窑炉）的节能技术改造活动；以实现电机系统能效提升为目的，采用设备更新、技术改造、控制系统优化等技术手段，对电机系统（含系统内风机、水泵、压缩机、变压器等设备）实施的设备或综合性系统节能改造。</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鼓励采用设备及技术指标达到或优于有效期内的《国家鼓励发展的重大环保技术装备目录》《国家重点节能低碳技术推广目录》。</w:t>
            </w: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G1</w:t>
            </w: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1.5.1/1.5.2/1.5.6</w:t>
            </w: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1.1.2.1/1.1.2.2</w:t>
            </w: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3.1.2产品、工艺能效提升</w:t>
            </w: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按照能源高效利用的原则，优化工艺流程、技术方案、用能系统等，综合提升项目能效水平，使产品能耗或工序能耗优于国家或甘肃省单位产品能源消耗限额标准先进值。</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改造后能效水平满足（工序）下列标准之一：《全国工业能效指南（2014年版）》第4节重点行业产品和工序能效附表4重点行业主要产品（工序）能效表；装置/设施产品能耗或工序能耗≤国家或甘肃省单位产品能源消耗限额标准先进值。鼓励采用设备及技术指标达到或优于有效期内的《国家鼓励发展的重大环保技术装备目录》。</w:t>
            </w: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G1</w:t>
            </w: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1.5.4</w:t>
            </w: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3.1.3余热余压利用</w:t>
            </w: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采用饱和蒸汽发电技术、烟气余热回收利用等技术，回收工业生产过程低品位余热余压等能源资源用于发电、工业供热、居民供暖或生产工艺再利用的设施建设或技术改造活动。</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b/>
                <w:bCs/>
                <w:color w:val="000000"/>
                <w:kern w:val="0"/>
                <w:sz w:val="21"/>
                <w:szCs w:val="21"/>
              </w:rPr>
            </w:pPr>
            <w:r>
              <w:rPr>
                <w:rFonts w:eastAsia="仿宋_GB2312"/>
                <w:color w:val="000000"/>
                <w:kern w:val="0"/>
                <w:sz w:val="21"/>
                <w:szCs w:val="21"/>
              </w:rPr>
              <w:t>热交换器能效等级达到《热交换器能效测试与评价规则》中的目标值要求。</w:t>
            </w:r>
          </w:p>
        </w:tc>
        <w:tc>
          <w:tcPr>
            <w:tcW w:w="238" w:type="pct"/>
            <w:shd w:val="clear" w:color="auto" w:fill="auto"/>
            <w:vAlign w:val="center"/>
          </w:tcPr>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G1</w:t>
            </w: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1.5.3</w:t>
            </w: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1.1.2.3</w:t>
            </w: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1.5</w:t>
            </w: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3.1.4能源系统高效运行</w:t>
            </w: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包括高效储能设施建设和运营、天然气输送及储运调峰设施建设和运营等。</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高效储能设施建设和运营需符合《电化学储能电站设计规范》（GB 51048）、《储能用铅酸蓄电池》（GB/T 22473）等国家标准；天然气输送储运调峰设施建设和运营需符合《城镇燃气设计规范》（GB 50028）、《城镇燃气规划规范》（GB/T 51098）、《液态天然气（LNG）生产、储存和装运》（GB/T 20368）等国家标准。</w:t>
            </w: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G1</w:t>
            </w: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3.4.2/3.4.4/3.4.5</w:t>
            </w: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3.2.3.2/3.2.3.3</w:t>
            </w: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8"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3.1.5绿色照明改造</w:t>
            </w: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采用LED、高/低压钠灯、金属卤化物灯、三基色双端直管荧光灯(T8、T5 型)等高能效照明产品，以及利用自然光光源，在室内外各类场所进行的照明设施节能技术改造。</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G1</w:t>
            </w: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1.5.5</w:t>
            </w: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1.1.3.1</w:t>
            </w: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4"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vMerge w:val="restart"/>
            <w:shd w:val="clear" w:color="auto" w:fill="auto"/>
            <w:vAlign w:val="center"/>
          </w:tcPr>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3.2生产过程污染防治</w:t>
            </w: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3.2生产过程污染防治</w:t>
            </w: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3.2.1工业脱硫脱硝除尘改造</w:t>
            </w: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工业锅炉脱硫脱硝除尘技术改造、钢铁行业烧结机脱硫技术改造、水泥行业脱硝技术改造、废气重金属治理升级改造等。</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满足国家、地方及行业大气污染物排放标准。</w:t>
            </w: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G1</w:t>
            </w: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2.3.1</w:t>
            </w: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2.1.1.1</w:t>
            </w: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2.3.1</w:t>
            </w: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3.2.2重点行业水污染治理</w:t>
            </w: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造纸、焦化、氮肥、有色金属、印染、农副食品加工、原料药制造、制革、农药、电镀等水污染物产生重点行业的清洁化技术改造，以及工业污水处理设施等水污染治理设施建设运营。例如，磷矿、磷化工、磷石膏库整治及磷石膏综合利用及产品贸易，含磷农药等行业生产废水设施建设、运营等。</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满足国家、地方及行业水污染物排放标准。</w:t>
            </w: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G1</w:t>
            </w: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2.4.2</w:t>
            </w: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2.1.2.1</w:t>
            </w: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2.4.1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3.2.3危险废物处理处置</w:t>
            </w: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列入有效期内《国家危险废物名录》的危险废物、医疗废物的减量化、无害化处理处置设施建设和运营。</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需符合《危险废物贮存污染控制标准》（GB 18597）、《危险废物焚烧污染控制标准》（GB 18484）、《危险废物填埋污染控制标准》（GB 18598）、《含氰废水处理处置规范》（GB/T 32123）、《危险废物处置工程技术导则》（HJ 2042）等国家标准和行业标准。</w:t>
            </w: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G1</w:t>
            </w: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2.2.2</w:t>
            </w: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2.1.4.2</w:t>
            </w: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0"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3.2.4危险废物运输</w:t>
            </w: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列入有效期内《国家危险废物名录》所涉及危险废物的运输运营活动。</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运输过程需符合《危险货物运输包装通用技术条件》（GB 12463）、《危险废物收集、贮存、运输技术规范》（HJ 2025）等国家标准和行业标准。</w:t>
            </w: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G1</w:t>
            </w: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2.2.3</w:t>
            </w: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2.1.4.3</w:t>
            </w: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3.2.5挥发性有机物综合整治</w:t>
            </w: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包括石化、有机化工、医药、工业涂装和包装等产业挥发性有机物治理设施（含工业园区内企业及园区综合整治）及油气运输储备系统（如加油站、油罐车、储油库）油气回收设施等挥发性有机物综合治理设施建设运营，以及以挥发性有机物整治为目的的企业生产工艺、生产装备技术改造。</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 xml:space="preserve">需符合国家和地方有关挥发性有机物的排放标准。 </w:t>
            </w: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G1</w:t>
            </w: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2.3.3</w:t>
            </w: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2.1.1.2</w:t>
            </w: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2.3.1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3.2.6无毒无害原料生产与替代使用</w:t>
            </w: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在电器电子、汽车、涂料、家具、印刷、汽车制造涂装、橡胶制品、皮革、制鞋等重点行业使用无毒无害或低毒低害原料对含重金属或有机污染物、消耗臭氧层物质等有毒有害物质原料进行替代的技术改造或新工艺生产设施建设。</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符合有效期内《国家鼓励的有毒有害原料(产品)替代品目录》所列替代品的生产设施建设或替代使用技术改造，及《关于消耗臭氧层物质的蒙特利尔议定书》及其各修正案受控物质进行替代的技术改造或新工艺生产设施建设。</w:t>
            </w: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G2</w:t>
            </w: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2.2.1</w:t>
            </w: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2.1.4.1</w:t>
            </w: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8"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vMerge w:val="restar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3.3资源节约与循环利用</w:t>
            </w: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3.3.1生产过程节水和水资源高效利用</w:t>
            </w: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工业冷却用水节水改造、热力和工艺用水节水改造、洗涤用水节水改造、蒸汽冷凝水回收再利用、外排废水回收处理再利用、非常规水资源利用设施建设等工业节水设施建设和技术改造。</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需符合《节水型产品通用技术条件》（GB/T 18870）、《节水型卫生洁具》（GB/T 31436）、《钢铁企业节水设计规范》（GB 50506）、《节水型企业评价通则》（GB/T 29725）、《节水灌溉工程技术规范》（GB/T 50363）等国家标准。</w:t>
            </w: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G1</w:t>
            </w: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2.4.1</w:t>
            </w: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2.4.1.1</w:t>
            </w: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2.4.2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7"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3.3.2工业和建筑固废资源综合利用</w:t>
            </w: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包括工业固体废弃物的回收、无害化处理和再利用设施建设和运营，包括尾矿、煤矸石、粉煤灰、工业副产石膏、冶炼渣等；建筑废弃材料无害化利用设施建设和运营，包括建筑废物、废旧路面材料、废旧沥青混凝土等。</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煤矸石发电项目的煤矸石使用量不低于入炉燃料的60%（重量比），且入炉煤收到基低位发热量不低于5020千焦（1200千卡）/千克，不高于12550千焦（3000千卡）/千克。</w:t>
            </w: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G1</w:t>
            </w: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2.5.1/1.7.3部分</w:t>
            </w: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1.5.1.2/1.5.1.3</w:t>
            </w: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2.5.2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3" w:hRule="atLeast"/>
        </w:trPr>
        <w:tc>
          <w:tcPr>
            <w:tcW w:w="362" w:type="pct"/>
            <w:vMerge w:val="restart"/>
            <w:shd w:val="clear" w:color="auto" w:fill="auto"/>
            <w:vAlign w:val="center"/>
          </w:tcPr>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4 新能源与清洁能源产业</w:t>
            </w: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4 新能源与清洁能源产业</w:t>
            </w: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4 新能源与清洁能源产业</w:t>
            </w: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tc>
        <w:tc>
          <w:tcPr>
            <w:tcW w:w="345" w:type="pct"/>
            <w:vMerge w:val="restart"/>
            <w:shd w:val="clear" w:color="auto" w:fill="auto"/>
            <w:vAlign w:val="center"/>
          </w:tcPr>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4.1 新能源汽车制造</w:t>
            </w: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4.1 新能源汽车制造</w:t>
            </w: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4.1.1新能源汽车关键零部件制造和产业化</w:t>
            </w: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包括新能源汽车电池、电机及其控制系统、电附件、插电式混合动力专用发动机、机电耦合系统及能量回收系统等新能源汽车关键核心零部件装备制造和产业化设施建设运营，及新能源汽车和清洁能源汽车的贸易活动和购置消费。</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G3</w:t>
            </w: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1.4.1</w:t>
            </w: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1.6.1.1</w:t>
            </w: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4.1.2充电、换电及加氢设施制造</w:t>
            </w: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包括分布式交流充电桩、集中式快速充电站、换电设施、站用加氢及储氢设施等设备制造、设施建设和运营。</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分布式交流充电桩符合国家标准《电动汽车传导充电系统第1部分:通用要求》（GB/T18487．1）、《电动汽车传导充电系统第3部分：电动车辆交流直流充电机（站）》（GB/T 18487．3）与行业标准《电动汽车充电设备检验试验规范第2部分:交流充电桩》（NB/T33008．2）、《电动汽车交流充电桩技术条件》（NB/T33002）；集中式快速充电站《电动汽车充电站设计规范》为国家标准，需符合《电动汽车充电站设计规范》（GB 50966）；换电设施符合《电动汽车充换电设施建设技术导则》（NB/T 33009）；站用加氢及储氢设施等设施制造符合《加氢站技术规范》（GB 50516）等。</w:t>
            </w: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G3</w:t>
            </w: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1.4.2</w:t>
            </w: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1.6.1.2</w:t>
            </w: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vMerge w:val="restart"/>
            <w:shd w:val="clear" w:color="auto" w:fill="auto"/>
            <w:vAlign w:val="center"/>
          </w:tcPr>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4.2 新能源与清洁能源装备</w:t>
            </w:r>
            <w:r>
              <w:rPr>
                <w:rFonts w:hint="eastAsia" w:eastAsia="仿宋_GB2312"/>
                <w:color w:val="000000"/>
                <w:kern w:val="0"/>
                <w:sz w:val="21"/>
                <w:szCs w:val="21"/>
                <w:lang w:val="en-US" w:eastAsia="zh-CN"/>
              </w:rPr>
              <w:t>制造</w:t>
            </w: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hint="eastAsia" w:eastAsia="仿宋_GB2312"/>
                <w:color w:val="000000"/>
                <w:kern w:val="0"/>
                <w:sz w:val="21"/>
                <w:szCs w:val="21"/>
                <w:lang w:val="en-US" w:eastAsia="zh-CN"/>
              </w:rPr>
            </w:pPr>
            <w:r>
              <w:rPr>
                <w:rFonts w:eastAsia="仿宋_GB2312"/>
                <w:color w:val="000000"/>
                <w:kern w:val="0"/>
                <w:sz w:val="21"/>
                <w:szCs w:val="21"/>
              </w:rPr>
              <w:t>4.2 新能源与清洁能源装备</w:t>
            </w:r>
            <w:r>
              <w:rPr>
                <w:rFonts w:hint="eastAsia" w:eastAsia="仿宋_GB2312"/>
                <w:color w:val="000000"/>
                <w:kern w:val="0"/>
                <w:sz w:val="21"/>
                <w:szCs w:val="21"/>
                <w:lang w:val="en-US" w:eastAsia="zh-CN"/>
              </w:rPr>
              <w:t>制造</w:t>
            </w: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4.2.1太阳能发电装备制造</w:t>
            </w: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包括光伏发电设备和光热发电设备等的制造及贸易活动。</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光伏发电设备制造企业和项目需符合《光伏制造行业规范条件》要求，光伏电池生产需达到《光伏电池行业清洁生产评价指标体系》Ⅰ级水平（国际清洁生产领先水平）。</w:t>
            </w: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G3</w:t>
            </w: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3.1.2</w:t>
            </w: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3.2.1.2</w:t>
            </w: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3.1</w:t>
            </w: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4.2.2核电装备制造</w:t>
            </w: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 xml:space="preserve">第三代先进压水堆核电站成套设备，快中子堆和高温气冷堆核电站设备，模块化小型核能装置，核应急装置及核级泵、阀设备等核电站辅助设备，防辐射材料、安全与监测装置的生产制造；铀矿开采、铀纯化转化、铀浓缩、燃料元件的生产和生产设备制造，以及核设施退役、放射性废物处理和处置装置制造，铀矿伴生矿综合利用设备制造。 </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G3</w:t>
            </w: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3.1.5</w:t>
            </w: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3.2.1.5</w:t>
            </w: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4.2.3海洋油气开采装备制造</w:t>
            </w: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包括半潜式钻井平台、钻井船、自升式钻修井/作业平台、半潜式生产平台、浮式生产储卸装置、起重铺管船、大型起重船/浮吊、水下采油树、泄漏油应急处理装置等水下系统及作业装备等的制造及贸易活动。</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G3</w:t>
            </w: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3.1.7</w:t>
            </w: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3.2.1.9</w:t>
            </w: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4.2.4智能电网产品和装备制造</w:t>
            </w: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包括智能变压器、整流器和电感器，先进电力电子装置，智能输配电及控制设备，特高压输电装备，抽水蓄能装备，新能源储能装备，充电设施，智能电网与新能源相关的控制类产品等的制造。</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G3</w:t>
            </w: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3.1.8</w:t>
            </w: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3.1.1.1</w:t>
            </w: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4.2.5燃料电池装备制造</w:t>
            </w: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包括质子交换膜燃料电池、直接甲醇燃料电池、碱性燃料电池、熔融碳酸燃料电池、磷酸燃料电池、固体氧化物燃料电池等的制造及贸易活动。</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G3</w:t>
            </w: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3.1.10</w:t>
            </w: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3.2.1.7</w:t>
            </w: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4.2.6地热能开发利用装备制造</w:t>
            </w: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包括地源热泵系统、高温地热热泵系统、地热吸收式制冷系统、中低温地热发电系统、地热干燥及热水供应系统、地热防腐防垢关键设备制造等的制造及贸易活动。</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G3</w:t>
            </w: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3.1.11</w:t>
            </w: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3.2.1.8</w:t>
            </w: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vMerge w:val="restart"/>
            <w:shd w:val="clear" w:color="auto" w:fill="auto"/>
            <w:vAlign w:val="center"/>
          </w:tcPr>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4.3 清洁能源设施建设和运营</w:t>
            </w: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4.3.1地热能利用设施建设和运营</w:t>
            </w: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包括水热型地热供暖、浅层地热能利用、中深层无干扰地热能利用、地热发电工程等的建设和运营。</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需符合地热钻井工程、地热发电、采出水综合利用及资源保护系列等的国家标准与行业标准相关要求。</w:t>
            </w: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G1</w:t>
            </w: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3.2.7</w:t>
            </w: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3.2.2.6</w:t>
            </w: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4.3.2氢能利用设施建设和运营</w:t>
            </w: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包括氢气安全高效储存、氢能储存与转换、氢燃料电池运行维护、氢燃料汽车、氢燃料电池汽车、氢燃料电池发电、氢掺入天然气管道等设施的建设和运营。</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G1</w:t>
            </w: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3.2.9</w:t>
            </w: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3.2.2.8</w:t>
            </w: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3.2</w:t>
            </w: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62" w:type="pct"/>
            <w:vMerge w:val="restart"/>
            <w:shd w:val="clear" w:color="auto" w:fill="auto"/>
            <w:vAlign w:val="center"/>
          </w:tcPr>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5 绿色基础设施</w:t>
            </w: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5 绿色基础设施</w:t>
            </w: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5 绿色基础设施</w:t>
            </w: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5 绿色基础设施</w:t>
            </w: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5 绿色基础设施</w:t>
            </w: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5 绿色基础设施</w:t>
            </w: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tc>
        <w:tc>
          <w:tcPr>
            <w:tcW w:w="345" w:type="pct"/>
            <w:vMerge w:val="restart"/>
            <w:shd w:val="clear" w:color="auto" w:fill="auto"/>
            <w:vAlign w:val="center"/>
          </w:tcPr>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5.1环境基础设施</w:t>
            </w: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5.1.1污水处理、再生利用及污泥处理处置设施建设运营</w:t>
            </w: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包括城镇和农村污水处理设施及再生利用设施建设运营和改造；以及污泥处置设施建设运营和改造，以及按照污染治理、生态保护、循环利用相结合的理念构建的区域再生水循环利用体系建设和运行，包括城镇污水处理厂达标排放出水的人工湿地等生态处理设施建设和运营，区域再生水循环利用体系的再生水调度管理系统的开放运维。</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设施建设、运行需符合《城镇污水处理厂污染物排放标准》（GB 18918）等标准要求。污泥处理处置需符合《农用污泥中污染物控制标准》（GB 4284）、《城镇污水处理厂污泥泥质》（GB/T 24188）、《城镇污水处理厂污泥处置混合填埋用泥质》（GB/T 23485）、《城镇污水处理厂污泥处置单独焚烧用泥质》（GB/T 24602）、《城镇污水处理厂污泥处置土地改良用泥质》（GB/T 24600）、《城镇污水处理厂污泥处理稳定标准》（CJ/T 510）等标准。</w:t>
            </w: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G1</w:t>
            </w: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5.3.1</w:t>
            </w: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5.3.1.1</w:t>
            </w: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5.3.1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7"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5.1.2生活垃圾处理设施建设和运营</w:t>
            </w: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包括生活垃圾减量化、无害化处理处置和资源化利用设施建设和运营，如生活垃圾收集、转运、焚烧发电、供热等设施建设和运营。</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 xml:space="preserve">设施运行需符合《生活垃圾焚烧污染控制标准》（GB 18485）等标准。 </w:t>
            </w: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G1</w:t>
            </w:r>
          </w:p>
          <w:p>
            <w:pPr>
              <w:widowControl/>
              <w:spacing w:line="240" w:lineRule="auto"/>
              <w:ind w:firstLine="0" w:firstLineChars="0"/>
              <w:jc w:val="both"/>
              <w:rPr>
                <w:rFonts w:eastAsia="仿宋_GB2312"/>
                <w:color w:val="000000"/>
                <w:kern w:val="0"/>
                <w:sz w:val="21"/>
                <w:szCs w:val="21"/>
              </w:rPr>
            </w:pP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5.3.2</w:t>
            </w:r>
          </w:p>
          <w:p>
            <w:pPr>
              <w:widowControl/>
              <w:spacing w:line="240" w:lineRule="auto"/>
              <w:ind w:firstLine="0" w:firstLineChars="0"/>
              <w:jc w:val="both"/>
              <w:rPr>
                <w:rFonts w:eastAsia="仿宋_GB2312"/>
                <w:color w:val="000000"/>
                <w:kern w:val="0"/>
                <w:sz w:val="21"/>
                <w:szCs w:val="21"/>
              </w:rPr>
            </w:pP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6.3.1.2</w:t>
            </w:r>
          </w:p>
          <w:p>
            <w:pPr>
              <w:widowControl/>
              <w:spacing w:line="240" w:lineRule="auto"/>
              <w:ind w:firstLine="0" w:firstLineChars="0"/>
              <w:jc w:val="both"/>
              <w:rPr>
                <w:rFonts w:eastAsia="仿宋_GB2312"/>
                <w:color w:val="000000"/>
                <w:kern w:val="0"/>
                <w:sz w:val="21"/>
                <w:szCs w:val="21"/>
              </w:rPr>
            </w:pP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5.3.1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4"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vMerge w:val="restart"/>
            <w:shd w:val="clear" w:color="auto" w:fill="auto"/>
            <w:vAlign w:val="center"/>
          </w:tcPr>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5.2 建筑节能与绿色建筑</w:t>
            </w: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5.2 建筑节能与绿色建筑</w:t>
            </w: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5.2.1超低能耗建筑建设</w:t>
            </w: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包括适应气候特征和场地条件，通过被动式建筑设计降低建筑供暖、空调、照明需求，以及通过主动技术措施提高建筑能源设备和系统效率的公共和居住建筑建设，以及购置消费。</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居住建筑需符合《被动式超低能耗绿色建筑技术导则（试行）（居住建筑）》，鼓励达到《近零能耗建筑技术标准》（GB/T51350）有关指标要求。</w:t>
            </w: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G1</w:t>
            </w: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5.1.5</w:t>
            </w: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5.2.1.1</w:t>
            </w: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5.1.1/9.1.1/9.1.2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5.2.2绿色建筑</w:t>
            </w: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包括依据国家绿色建筑相关规范、标准设计建设，并获得国家相关绿色建筑评价标识的各类民用、工业建筑建设和购置消费。</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建筑相关技术指标符合《绿色建筑评价标准》（GB/T 50378）、《绿色工业建筑评价标准》（GB/T 50878）、《绿色生态区域评价标准》（GB/T 51255）、《绿色办公建筑评价标准》（GB/T 50903）、《绿色商店建筑评价标准》（GB/T 51100）、《绿色医院建筑评价标准》（GB/T 51153）等技术标准，并获得绿色建筑评价标识的建筑。</w:t>
            </w: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G2</w:t>
            </w: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5.1.2</w:t>
            </w: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5.2.1.2</w:t>
            </w: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5.1.2/9.1.1/9.1.2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5.2.3建筑可再生能源应用</w:t>
            </w: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包括利用建筑屋顶、墙面安装太阳能光伏发电装置向建筑提供电力，及利用热泵等设施向建筑供冷、供热的建筑可再生能源应用系统的设计、建设及可再生能源建筑应用改造活动。</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需符合《民用建筑太阳能热水系统应用技术标准》（GB 50364）、《民用建筑太阳能光伏系统应用技术规范》（JGJ 203）、《地源热泵系统工程技术规范》（GB 50366）、《可再生能源建筑应用工程评价标准》（GB/T 50801）等标准。</w:t>
            </w: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G1</w:t>
            </w: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5.1.3</w:t>
            </w: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5.2.1.3</w:t>
            </w: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5.1.1/9.1.1/9.1.2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5.2.4装配式建筑</w:t>
            </w: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包括采用预制部件在建设工地通过装配施工方法的建筑建设。</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需符合《装配式木结构建筑技术标准》（GB/T 51233）、《装配式钢结构建筑技术标准》（GB/T 51232）、《装配式混凝土建筑技术标准》（GB/T 51231）等国家标准，建筑需达到《装配式建筑评价标准》（GB/T 51129）A级及以上标准要求。</w:t>
            </w: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G3</w:t>
            </w: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5.1.4</w:t>
            </w: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5.2.1.4</w:t>
            </w: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5.1.3/9.1.1/9.1.2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5.2.5物流绿色仓储</w:t>
            </w: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按照国家绿色建筑相关规范、标准设计建设或改造，并获得国家相关绿色建筑评价标识的物流仓储场所的建筑建设、运营及改造活动。</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需达到《绿色仓储要求与评价》（SB/T 11164）等标准。</w:t>
            </w: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G2</w:t>
            </w: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5.1.6</w:t>
            </w: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5.2.1.6</w:t>
            </w: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vMerge w:val="restart"/>
            <w:shd w:val="clear" w:color="auto" w:fill="auto"/>
            <w:vAlign w:val="center"/>
          </w:tcPr>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5.3 绿色交通</w:t>
            </w: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5.3 绿色交通</w:t>
            </w: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5.3.1不停车收费系统建设和运营</w:t>
            </w: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高速公路自动扣费系统、市区过桥自动扣费系统、隧道自动扣费系统、停车场车交费系统等不停车收费系统设施建设和运营。</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5.2.1</w:t>
            </w: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5.5.1.1</w:t>
            </w: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5.3.2城市慢行系统建设和运营</w:t>
            </w: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城市步行、自行车交通系统建设，包括公共自行车租赁点、非机动车辆停车设施、路段过街设施等城市慢性系统建设，以及自行车、电动自行车租赁系统、汽车分时租赁系统建设和立体停车设施建设等。</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5.2.6</w:t>
            </w: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5.5.1.4</w:t>
            </w: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5.2.3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5.3.3共享交通设施建设和运营</w:t>
            </w: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公共租赁自行车、互联网租赁自行车、互联网租赁电动自行车、互联网租赁汽车、汽车分时租赁系统、立体停车设施设备、自行车停车设施等共享交通设施建设和运营。</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5.2.8</w:t>
            </w: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5.5.1.6</w:t>
            </w: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5.2.3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5.3.4公路运输公共客运</w:t>
            </w: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包括清洁能源公交车辆购置（含纯电动、插电式混合动力、天然气动力、氢燃料电池动力公交等清洁能源车辆），城市公交枢纽场站，公交站点，快速公交线路以及其他相关公共交通设施建设活动。</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天然气动力车辆、插电式混合动力等车辆购置应满足《轻型汽车污染物排放限值及测量方法（中国第五阶段）》先进值标准；纯电动新能源动力车辆购置，纯电动车辆能量密度不低于120Wh/kg。</w:t>
            </w: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G2</w:t>
            </w: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5.2.7部分</w:t>
            </w: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5.5.1.5</w:t>
            </w: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5.2.3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5"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5.3.5综合客运交通枢纽</w:t>
            </w: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综合衔接铁路、航空、城市公交等各种运输方式（两种及以上）场站的一体化客运交通枢纽设施建设活动。</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满足《综合客运枢纽通用要求》《综合客运枢纽换乘区域设施设备配置要求》。</w:t>
            </w: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G2</w:t>
            </w: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5.5.1.5部分</w:t>
            </w: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5.2.3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5.3.6智能交通体系建设和运营</w:t>
            </w: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 xml:space="preserve">交通指挥中心系统与设备、电子警察系统与设备、交通视频监视系统与设备、卡口系统与设备、交通信号控制系统与设备、智能公交系统与设备、城市智慧汽车基础设施、智能停车系统与设备、交通信息采集发布系统与设备、GPS与警用系统与设备、出租车信息服务管理系统与设备、综合客运枢纽信息化系统与设备、路网综合管理系统、智能化新一代民航旅客服务系统（PSS）、智慧机场管理系统、旅游联程联运信息服务系统等建设和运营。 </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G2</w:t>
            </w: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5.2.4</w:t>
            </w: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5.5.1.3</w:t>
            </w: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5.2.5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5.3.7充电、换电、加氢和加气设施建设和运营</w:t>
            </w: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包括分布式交流充电桩，集中式快速充电站、换电设施、站用加氢及储氢设施、汽车和船舶天然气加注站、城市公共充电设施、城际快速充电网络等建设和运营。</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G2</w:t>
            </w: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5.2.5</w:t>
            </w: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5.5.4.1</w:t>
            </w: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5.2.3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0"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5.3.8货物运输铁路建设运营和铁路节能环保改造</w:t>
            </w: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运送货物的铁路及相关场所建设和运营，以及既有铁路电气化改造、铁路场站节能环保改造、铁路设备节能环保改造、废弃铁路复垦等。</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铁路场所建设需达到《绿色铁路客站评价标准》（TB/T10429）相关要求。</w:t>
            </w: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G2</w:t>
            </w: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5.2.10</w:t>
            </w: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5.5.2.1</w:t>
            </w: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5.2.1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6"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5.3.9集装箱多式联运系统建设和运营</w:t>
            </w: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 xml:space="preserve">普通集装箱、大宗物资、冷链运输、危险品运输、汽车整车运输、快递包裹等特种物资多式联运系统和运营。 </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G3</w:t>
            </w: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5.2.3</w:t>
            </w: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5.5.1.2</w:t>
            </w: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5.2.5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9"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vMerge w:val="restart"/>
            <w:shd w:val="clear" w:color="auto" w:fill="auto"/>
            <w:vAlign w:val="center"/>
          </w:tcPr>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5.4城镇能源基础设施</w:t>
            </w: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5.4.1城镇集中供热系统清洁化建设运营和改造</w:t>
            </w: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城镇集中供热锅炉节能环保改造、城镇集中供热管网节能改造、低品位工业余热供暖系统建设和运营、因地制宜实施清洁热源替代等。</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G2</w:t>
            </w: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5.4.1</w:t>
            </w: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5.1.1.1</w:t>
            </w: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9"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5.4.2城镇电力设施智能化建设运营和改造</w:t>
            </w: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镇电力需求侧管理平台开发建设，城镇配电网技术改造，用电设备智能化改造，以及高污染、低效用能设备的电能替代改造等。</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G2</w:t>
            </w:r>
          </w:p>
        </w:tc>
        <w:tc>
          <w:tcPr>
            <w:tcW w:w="344" w:type="pct"/>
            <w:shd w:val="clear" w:color="auto" w:fill="auto"/>
            <w:vAlign w:val="center"/>
          </w:tcPr>
          <w:p>
            <w:pPr>
              <w:widowControl/>
              <w:spacing w:line="240" w:lineRule="auto"/>
              <w:ind w:firstLine="0" w:firstLineChars="0"/>
              <w:jc w:val="left"/>
              <w:rPr>
                <w:rFonts w:eastAsia="仿宋_GB2312"/>
                <w:color w:val="000000"/>
                <w:kern w:val="0"/>
                <w:sz w:val="21"/>
                <w:szCs w:val="21"/>
              </w:rPr>
            </w:pP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5.1.1.2</w:t>
            </w: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8"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vMerge w:val="restar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5.5能源系统高效运行</w:t>
            </w: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5.5.1智能电网建设和运营</w:t>
            </w: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包括集成信息、控制、储能等技术以及智能化电力设备，实现电力发输配用储过程中的数字化管理、智能化决策、互动化交易的电网设施建设和运营。</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需符合《智能电网用户端通信系统一般要求》（GB/Z 32501）、《智能电网调度控制系统总体框架》（GB</w:t>
            </w:r>
            <w:r>
              <w:rPr>
                <w:rFonts w:eastAsia="微软雅黑"/>
                <w:color w:val="000000"/>
                <w:kern w:val="0"/>
                <w:sz w:val="21"/>
                <w:szCs w:val="21"/>
              </w:rPr>
              <w:t>∕</w:t>
            </w:r>
            <w:r>
              <w:rPr>
                <w:rFonts w:eastAsia="仿宋_GB2312"/>
                <w:color w:val="000000"/>
                <w:kern w:val="0"/>
                <w:sz w:val="21"/>
                <w:szCs w:val="21"/>
              </w:rPr>
              <w:t>T 33607）等国家标准和行业标准。</w:t>
            </w: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G2</w:t>
            </w: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3.4.3</w:t>
            </w: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3.1.1.2</w:t>
            </w: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5.5.2分布式能源工程建设和运营</w:t>
            </w: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天然气热电冷三联供、分布式再生能源发电、地热能供暖制冷等分布式能源工程建设和运营。</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G2</w:t>
            </w: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3.4.6</w:t>
            </w: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3.2.3.4</w:t>
            </w: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vMerge w:val="restart"/>
            <w:shd w:val="clear" w:color="auto" w:fill="auto"/>
            <w:vAlign w:val="center"/>
          </w:tcPr>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5.6城镇综合基础设施</w:t>
            </w: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5.6.1智慧城市</w:t>
            </w: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城市基础设施建设（主要是基础网络建设）、信息化的应用、各种产业的智慧化建设。</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G2</w:t>
            </w: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5.6.2海绵城市</w:t>
            </w: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海绵城市及配套设施建设，以及水利、交通、能源等城市生命线系统和设施的提升改造。海绵型建筑与小区、海绵型道路与广场、海绵型公园和绿地建设和运营；城市排水设施达标建设运营和改造。</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海绵城市建设参照国家和地方关于海绵城市建设的相关办法和标准，如《海绵城市建设技术指南》等。</w:t>
            </w: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G2</w:t>
            </w: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5.5（5.5.1、5.5.2、5.5.3、5.5.4）</w:t>
            </w: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5.4.2（5.4.2.1/5.4.2.2/5.4.2.3/5.4.2.4）</w:t>
            </w: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1"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5.6.3城市生态保护与建设</w:t>
            </w: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包括城市基础设施绿化提升、养护和运营（城市主干道、高快速路、铁路等）；城市公共设施（如公园、广场）、滨水地区绿地建设、保护、修复建设等；居住用地、公共管理与公共服务设施用地、商业服务业设施用地、工业用地、物流仓储用地、广场用地、公用设施用地等用地附属绿地的建设、养护和运营；城市建筑屋顶绿化、墙面绿化、桥隧绿化等立体空间绿化工程及其养护管理。</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需符合《公园设计规范》（GB 51192-2016）等相关指标要求。</w:t>
            </w: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G1</w:t>
            </w: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5.6.1</w:t>
            </w: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62" w:type="pct"/>
            <w:vMerge w:val="restart"/>
            <w:shd w:val="clear" w:color="auto" w:fill="auto"/>
            <w:vAlign w:val="center"/>
          </w:tcPr>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6 生态环境产业</w:t>
            </w: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6 生态环境产业</w:t>
            </w: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6 生态环境产业</w:t>
            </w: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6 生态环境产业</w:t>
            </w: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tc>
        <w:tc>
          <w:tcPr>
            <w:tcW w:w="345" w:type="pct"/>
            <w:vMerge w:val="restart"/>
            <w:shd w:val="clear" w:color="auto" w:fill="auto"/>
            <w:vAlign w:val="center"/>
          </w:tcPr>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6.1污染治理</w:t>
            </w: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6.1.1良好水体保护及地下水环境防治</w:t>
            </w: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包括重要饮用水水源地达标建设、备用水源建设、水源涵养和生态修复，开展生物缓冲带建设，实施钻井、取水井封井回填，开展农田等区域地下水污染区划、风险评估和污染治理等。</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水体环境质量达到《地表水环境质量标准》（GB 3838）相关指标要求。</w:t>
            </w: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G1</w:t>
            </w: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1.6.1</w:t>
            </w: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1.3.2.1</w:t>
            </w: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6.1.2重点流域水环境治理</w:t>
            </w: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包括开展重点流域水环境保护、水污染综合治理及生态修复等活动。</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符合《兰州市河道管理条例》及甘肃省黄河流域生态保护、水利规划等有关要求。</w:t>
            </w: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G1</w:t>
            </w: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1.6.2</w:t>
            </w: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1.3.2.2</w:t>
            </w: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6.1.3农村人居环境整治</w:t>
            </w: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包括为改善农村生产生活环境而进行的综合治理工程，如农村生活垃圾和污水处理设施建设和运营、农村河道综合治理、厕所粪污治理、村容村貌提升工程、农村饮水安全工程建设和运营等。</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G1</w:t>
            </w: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1.6.14</w:t>
            </w: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1.3.5.2</w:t>
            </w: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2"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vMerge w:val="restart"/>
            <w:shd w:val="clear" w:color="auto" w:fill="auto"/>
            <w:vAlign w:val="center"/>
          </w:tcPr>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6.2资源综合利用</w:t>
            </w: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6.2资源综合利用</w:t>
            </w: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6.2.1城乡生活垃圾综合利用</w:t>
            </w: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包括生活垃圾、餐厨废弃物、城市污泥、建筑和交通道路、桥梁拆除废物等资源的无害化处理和资源化利用设施建设和运营。如生活垃圾分拣处理设施建设运营、垃圾焚烧电站建设运营，餐厨废弃物加工生产有机肥、生物柴油设施建设和运营等。</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装备、工艺、产品等需符合《生活垃圾综合处理与资源利用技术要求》（GB/T 25810）、《餐饮业餐厨废弃物处理与利用设备》（GB/T 28739）、《农用污泥污染物控制标准》(GB 4284)、《城镇污水处理厂污泥泥质》（GB/T 24188）、《城镇污水处理厂污染物排放标准》（GB 18918）、《城镇污水处理厂污泥处置混合填埋用泥质》（GB/T 23485）、《城镇污水处理厂污泥处置单独焚烧用泥质》（GB/T 24602）、《城镇污水处理厂污泥处置土地改良用泥质》（GB/T 24600）、《工程施工废弃物再生利用技术规范》（GB/T 50743）等国家标准。</w:t>
            </w: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G1</w:t>
            </w: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1.7.3</w:t>
            </w: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1.5.3.1</w:t>
            </w: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6.2.2废旧资源再生利用</w:t>
            </w: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包括废旧金属、废橡胶、废塑料、废玻璃、废旧太阳能设备、废旧纺织品、废矿物油、废弃生物质等废旧资源的再生利用。</w:t>
            </w:r>
          </w:p>
          <w:p>
            <w:pPr>
              <w:widowControl/>
              <w:spacing w:line="240" w:lineRule="auto"/>
              <w:ind w:firstLine="0" w:firstLineChars="0"/>
              <w:jc w:val="both"/>
              <w:rPr>
                <w:rFonts w:eastAsia="仿宋_GB2312"/>
                <w:color w:val="000000"/>
                <w:kern w:val="0"/>
                <w:sz w:val="21"/>
                <w:szCs w:val="21"/>
              </w:rPr>
            </w:pP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再生利用资源、工艺、产品等需符合《铜及铜合金废料》（GB/T 13587）、《废钢铁》（GB 4223）、《电子废弃物中金属废料废件》（GB/T 27686）、《再生橡胶通用规范》（GB/T 13460）、《废弃电器电子产品回收处理管理条例》(国务院令第551号)、《再生利用品和再制造品通用要求及标识》（GB/T 27611）、《废弃电器电子产品处理污染控制技术规范》（HJ 527）、《废弃机电产品集中拆解利用处置区环境保护技术规范（试行）》(HJ/T 181)、《报废汽车回收拆解企业技术规范》（GB 22128）、《废润滑油回收与再生利用技术导则》（GB/T 17145）、《废矿物油回收利用污染控制技术规范》（HJ 607）、《固体生物质燃料样品制备方法》（GB/T 28730）等国家标准和行业标准。</w:t>
            </w: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G1</w:t>
            </w: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1.7.2</w:t>
            </w: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1.5.2.2</w:t>
            </w: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1.7</w:t>
            </w: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vMerge w:val="restart"/>
            <w:shd w:val="clear" w:color="auto" w:fill="auto"/>
            <w:vAlign w:val="center"/>
          </w:tcPr>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6.3生态农林业</w:t>
            </w: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6.3生态农林业</w:t>
            </w: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6.3.1绿色畜牧业</w:t>
            </w: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包括病死畜禽无害化处理体系、畜禽养殖废弃物贮存处理利用设施建设、高架床等养殖系统建设、构建“养殖+沼气+种植+加工”的循环农业产业链等。</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符合《畜禽规模养殖污染防治条例》、国务院《水污染防治行动计划》《关于建立病死畜禽无害化处理机制的意见》等法规和政策。</w:t>
            </w: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G1</w:t>
            </w: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4.1.8</w:t>
            </w: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4.1.3.2</w:t>
            </w: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4.1.4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6.3.2现代农业种业及动植物种质资源保护</w:t>
            </w: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包括开展国家动植物种质资源保护工程，设计相关项目，实现动植物品种资源的有效保护；农牧渔良种育繁推一体化项目。</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需符合《玉米种子生产技术操作规程》《棉花原种生产技术操作规程》《农作物种子检验规程总则》《草种子检验规程》《豆科草种子质量分级》《禾本科草种子质量分级》《草品种审定技术规程》《淡水鱼苗种池塘常规培育技术规范》《凡纳滨对虾育苗技术规范》《水产新品种审定技术规范》等国家标准和行业标准，以及各类水产养殖动植物的种质、亲本和苗种、繁育技术规范检验方法。</w:t>
            </w: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G2</w:t>
            </w: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4.1.1</w:t>
            </w: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4.1.1.1</w:t>
            </w: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4.1.4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2"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6.3.3绿色有机农业</w:t>
            </w:r>
          </w:p>
          <w:p>
            <w:pPr>
              <w:widowControl/>
              <w:spacing w:line="240" w:lineRule="auto"/>
              <w:ind w:firstLine="0" w:firstLineChars="0"/>
              <w:jc w:val="both"/>
              <w:rPr>
                <w:rFonts w:eastAsia="仿宋_GB2312"/>
                <w:color w:val="000000"/>
                <w:kern w:val="0"/>
                <w:sz w:val="21"/>
                <w:szCs w:val="21"/>
              </w:rPr>
            </w:pP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包括符合相关标准的绿色食品或有机农产品生产及大宗绿色农产品贸易活动；有机农产品和绿色食品生产相关设施建设。</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绿色食品生产产地环境质量符合《绿色食品产地环境技术条件》的要求，生产过程中不使用化学合成的肥料、农药、兽药、饲料添加剂、食品添加剂和其他有害于环境和身体健康的物质，按有机生产方式生产，产品质量需符合农业部绿色食品标准中AA级的要求；有机农产品的生产需满足《中华人民共和国有机产品标准》等其他同等级或更高级别的标准要求。</w:t>
            </w: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G1</w:t>
            </w: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4.1.2</w:t>
            </w: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4.1.3.1</w:t>
            </w: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6.3.4生态功能区建设维护和运营</w:t>
            </w: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对生态功能区和生态功能退化的区域进行的治理、修复和保护工程建设，如水土流失综合治理、荒漠化石漠化治理、矿山地质环境保护和生态恢复、自然保护区建设等。</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G1</w:t>
            </w: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4.2.1.4</w:t>
            </w: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6.3.5碳汇林、植树种草及林木种苗花卉</w:t>
            </w: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具有显著碳汇效应或具有显著改善环境、净化空气作用的林木草植培育、种植活动。</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G3</w:t>
            </w: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4.2.2.3</w:t>
            </w: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6.3.6农作物种植保护地、保护区建设和运营</w:t>
            </w: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在划定的永久基本农田区域因地制宜开展的零星分散耕地整合归并、土地复垦及耕地提质改造工程；在永久基本农田开展的退化耕地综合治理、中低产田改造、高标准农田建设等耕地质量提升工程；耕地占补平衡项目中被占用耕地表土剥离用于新增耕地、劣质地或基本农田整备区耕地土壤改良工程，以及农田水利设施建设、耕地保水保肥、污控修复等活动。其中，禁止开垦、复垦严重沙化土地，禁止在 25 度以上陡坡开垦、复垦耕地，禁止违规毁林开垦耕地。</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G1</w:t>
            </w: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4.1.1.2</w:t>
            </w: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62" w:type="pct"/>
            <w:vMerge w:val="restart"/>
            <w:shd w:val="clear" w:color="auto" w:fill="auto"/>
            <w:vAlign w:val="center"/>
          </w:tcPr>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7 绿色服务产业</w:t>
            </w: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7 绿色服务产业</w:t>
            </w: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7 绿色服务产业</w:t>
            </w: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7 绿色服务产业</w:t>
            </w: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7 绿色服务产业</w:t>
            </w: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7 绿色服务产业</w:t>
            </w: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7 绿色服务产业</w:t>
            </w: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7 绿色服务产业</w:t>
            </w: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tc>
        <w:tc>
          <w:tcPr>
            <w:tcW w:w="345" w:type="pct"/>
            <w:vMerge w:val="restart"/>
            <w:shd w:val="clear" w:color="auto" w:fill="auto"/>
            <w:vAlign w:val="center"/>
          </w:tcPr>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7.1监测检测服务</w:t>
            </w: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7.1监测检测服务</w:t>
            </w: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7.1.1环境影响评价监测</w:t>
            </w: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包括水环境影响评价监测、大气环境影响评价监测、土壤环境影响评价监测、噪声与振动环境影响评价监测、环境损害应急处置方案设计服务、环境影响法律咨询服务等。</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G2</w:t>
            </w: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6.4.4</w:t>
            </w: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6.4.1.4</w:t>
            </w: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7.1.2企业环境监测</w:t>
            </w: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包括企业环境监测设备采购、企业环境监测服务、企业环境监测软件、硬件开发、企业环境影响数据库建设、企业污染物监控人员培训等。</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G2</w:t>
            </w: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6.4.5</w:t>
            </w: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6.4.1.5</w:t>
            </w: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7.1.3污染源监测</w:t>
            </w: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包括污染源监测系统开发、污染源监测设备采购服务、污染源监测数据库和应用软件开发、污染物排放计量和监测设备校准服务等。</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G2</w:t>
            </w: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6.4.2</w:t>
            </w: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6.4.1.2</w:t>
            </w: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7.1.4生态环境监测</w:t>
            </w:r>
          </w:p>
          <w:p>
            <w:pPr>
              <w:widowControl/>
              <w:spacing w:line="240" w:lineRule="auto"/>
              <w:ind w:firstLine="0" w:firstLineChars="0"/>
              <w:jc w:val="both"/>
              <w:rPr>
                <w:rFonts w:eastAsia="仿宋_GB2312"/>
                <w:color w:val="000000"/>
                <w:kern w:val="0"/>
                <w:sz w:val="21"/>
                <w:szCs w:val="21"/>
              </w:rPr>
            </w:pP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包括水环境监测服务，空气监测服务，土地监测服务，农业废弃物资源监测服务，农用地、农用水资源监测服务，林业和草原碳汇监测服务，生态遥感监测服务，生物群落监测服务，生物多样性监测服务，水土保持监测服务，毒性试验服务等。</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G2</w:t>
            </w: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6.4.6</w:t>
            </w: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6.4.1.6</w:t>
            </w: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6.2</w:t>
            </w: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7.1.5能源在线监测系统建设</w:t>
            </w: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能源在线监测管理系统方案设计、硬件设备采购、计量和在线监测设备校准等技术服务以及系统软件开发、信息化平台建设。</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G2</w:t>
            </w: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6.4.1</w:t>
            </w: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6.4.1.1</w:t>
            </w: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vMerge w:val="restart"/>
            <w:shd w:val="clear" w:color="auto" w:fill="auto"/>
            <w:vAlign w:val="center"/>
          </w:tcPr>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7.2绿色咨询技术服务</w:t>
            </w: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7.2.1绿色产业项目勘察服务</w:t>
            </w: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风能、太阳能、生物质能、地热能等可再生能源资源及其他绿色资源勘察服务，可再生能源等绿色资源经济利用潜力及绿色产业项目建设规模潜力评估等技术咨询服务。</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G2</w:t>
            </w: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6.1.1</w:t>
            </w: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6.1.1.1</w:t>
            </w: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6"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7.2.2绿色产业项目方案设计服务</w:t>
            </w: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可再生能源、能效、污染防治、资源综合利用等绿色产业项目设计技术咨询服务，建设、运营管理，维护方案设计技术服务、技术改造方案设计等技术咨询服务。</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G2</w:t>
            </w: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6.1.2</w:t>
            </w: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6.1.1.2</w:t>
            </w: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9"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7.2.3绿色产业项目技术咨询服务</w:t>
            </w: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可再生能源、能效、污染防治、资源综合利用等绿色产业项目的尽职调查、规划研究和编制、可行性研究和可行性研究报告编制、风险评估、后评价、绿色金融融资、绿色技术创新、人才培训等技术咨询服务。</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G2</w:t>
            </w: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6.1.3</w:t>
            </w: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6.1.1.3</w:t>
            </w: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0"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7.2.4清洁生产审核服务</w:t>
            </w: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对企业生产过程及其生产管理开展全面系统的调查和诊断，发现其原料使用、工艺流程，产品生产、污染物排放等方面薄弱环节，并制定针对性清洁生产改造方案的技术咨询服务。</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G2</w:t>
            </w: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6.1.4</w:t>
            </w: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6.1.1.4</w:t>
            </w: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vMerge w:val="restart"/>
            <w:shd w:val="clear" w:color="auto" w:fill="auto"/>
            <w:vAlign w:val="center"/>
          </w:tcPr>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7.3运营管理服务</w:t>
            </w: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7.3运营管理服务</w:t>
            </w: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7.3.1 绿色运营管理服务</w:t>
            </w: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包括能源管理体系建设服务、合同能源管理服务、电力需求侧管理服务。其中，能源管理体系建设服务包括企事业单位能源管理体系建设相关管理咨询服务、能源管理体系工具软件开发、信息化平台建设，能源管理体系认证服务等管理咨询服务；合同能源管理服务包括采用节能效益分享、能源费用托管、节能量保证、融资租赁等形式开展的节能技术改造服务，以及合同能源管理商业模式咨询、融资咨询等咨询服务；电力需求侧管理服务包括防止电能浪费，降低电耗、提高绿色电力生产与消费协同互动水平，促进电网对可再生能源电力消纳能力及电力用户可再生能源电力消费水平，以及通过电能替代实施大气环境治理和保护，向电力用户、电网企业提供的节约用电技术改造服务，移峰填谷、需求侧响应等有序用电管理咨询服务，电能替代技术改造，电力需求侧管理服务等。</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G2</w:t>
            </w: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G2</w:t>
            </w:r>
          </w:p>
        </w:tc>
        <w:tc>
          <w:tcPr>
            <w:tcW w:w="344" w:type="pct"/>
            <w:shd w:val="clear" w:color="auto" w:fill="auto"/>
            <w:vAlign w:val="center"/>
          </w:tcPr>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6.2.1/6.2.2/6.2.7</w:t>
            </w: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6.2.1/6.2.2/6.2.7</w:t>
            </w: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6.2.1</w:t>
            </w: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6.2.1</w:t>
            </w: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8"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7.3.2环境权益交易服务</w:t>
            </w: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7.3.2环境权益交易服务</w:t>
            </w: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包括用能权交易服务、水权交易服务、排污许可及交易服务、碳排放权交易服务、可再生能源绿证交易服务。其中，用能权交易服务包括用能权统计核算、用能权第三方审核、用能权交易法律咨询、节能方案咨询、用能权交易平台建设、用能权资产管理和运营、用能权金融质押等用能权交易相关服务；水权交易服务包括水权交易可行性分析、水权交易参考价格核定、水权交易方案设计、水权交易法律咨询、水权交易技术咨询、水权交易平台建设等水权交易相关服务；排污许可交易服务包括排污许可证申请、审核，排污许可台账记录和执行报告，排污行为合规性审核或咨询、排污权交易法律咨询，排污权金融质押，以及排污权交易信息化平台建设等排污权许可及交易相关服务；碳排放权交易服务包括碳排放和国家温室气体自愿减排交易有关数据统计核算、碳配额注册登记及变更、碳交易法律服务、碳减排方案咨询、碳金融、碳信息管理服务等碳排放权交易相关服务；可再生能源绿证交易服务包括绿色电力证书认购交易、交易法律咨询服务，交易信息化平台建设等可再生能源绿证交易相关服务。</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G2</w:t>
            </w: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G2</w:t>
            </w:r>
          </w:p>
        </w:tc>
        <w:tc>
          <w:tcPr>
            <w:tcW w:w="344" w:type="pct"/>
            <w:shd w:val="clear" w:color="auto" w:fill="auto"/>
            <w:vAlign w:val="center"/>
          </w:tcPr>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6.2.3/6.2.4/6.2.5/6.2.6/6.2.8</w:t>
            </w: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6.2.3/6.2.4/6.2.5/6.2.6/6.2.8</w:t>
            </w:r>
          </w:p>
        </w:tc>
        <w:tc>
          <w:tcPr>
            <w:tcW w:w="303" w:type="pct"/>
            <w:shd w:val="clear" w:color="auto" w:fill="auto"/>
            <w:vAlign w:val="center"/>
          </w:tcPr>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6.2.2</w:t>
            </w: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6.2.2</w:t>
            </w: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0"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vMerge w:val="restart"/>
            <w:shd w:val="clear" w:color="auto" w:fill="auto"/>
            <w:vAlign w:val="center"/>
          </w:tcPr>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7.4项目评估审计核查服务</w:t>
            </w: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7.4.1节能评估和能源审计</w:t>
            </w:r>
          </w:p>
          <w:p>
            <w:pPr>
              <w:widowControl/>
              <w:spacing w:line="240" w:lineRule="auto"/>
              <w:ind w:firstLine="0" w:firstLineChars="0"/>
              <w:jc w:val="both"/>
              <w:rPr>
                <w:rFonts w:eastAsia="仿宋_GB2312"/>
                <w:color w:val="000000"/>
                <w:kern w:val="0"/>
                <w:sz w:val="21"/>
                <w:szCs w:val="21"/>
              </w:rPr>
            </w:pP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用能单位能源效率评估、节能改造方案设计技术咨询服务以及第三方能源审计、节能量评估、能源审计培训、固定资产投资项目节能报告编制服务等节能评估和能源审计相关服务。</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G2</w:t>
            </w: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6.3.1</w:t>
            </w: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6.3.1.1</w:t>
            </w: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0"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7.4.2环境影响评价</w:t>
            </w: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环境影响综合评估、环境影响解决方案设计、环境影响法律咨询、环境影响数据库建设等环境影响评价相关技术服务，环境影响技术评估，生态保护红线、环境质量底线、资源利用上限和环境准入负面清单编制，以及建设项目、行政区域、工业园区等环境风险评估、环境应急控制方案编制、环境应急预案制定等资讯技术服务。</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G2</w:t>
            </w: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6.3.2</w:t>
            </w: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6.3.1.2</w:t>
            </w: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0"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7.4.3碳排放核查</w:t>
            </w: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碳排放第三方核查、碳排放核查人员培训、碳排放核查数据库建设、碳排放核查结果抽查校核服务等碳排放核查相关技术服务。</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G2</w:t>
            </w: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6.3.3</w:t>
            </w: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6.3.1.3</w:t>
            </w: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vMerge w:val="restart"/>
            <w:shd w:val="clear" w:color="auto" w:fill="auto"/>
            <w:vAlign w:val="center"/>
          </w:tcPr>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7.5技术产品认证和推广服务</w:t>
            </w: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7.5技术产品认证和推广服务</w:t>
            </w: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7.5.1节能产品认证推广</w:t>
            </w: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计算机、复印机、显示器、碎纸机、服务器等办公商用电器产品，中小型三相异步电机等机电产品的节能认证和推广服务（含绿色标识产品）。</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G2</w:t>
            </w: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6.5.1</w:t>
            </w: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6.5.1.1</w:t>
            </w: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6.1</w:t>
            </w: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7.5.2低碳产品认证推广</w:t>
            </w: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产品生产和消费全生命周期内产品碳足迹评价、碳减排效益显著的工业产品、商用产品、民用产品的低碳产品认证和推广服务（含绿色标识产品），如水泥、玻璃等建材产品，电机、变压器、轮胎等机电产品的低碳产品认证和推广服务。</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G2</w:t>
            </w: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6.5.2</w:t>
            </w: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6.5.1.2</w:t>
            </w: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7.5.3节水产品认证推广</w:t>
            </w: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节水效益显著的工业、民用反渗透净水机、水嘴、淋浴器、水箱配件、洗衣机等节水产品的认证和推广服务（含绿色标识产品）。</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G2</w:t>
            </w: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6.5.3</w:t>
            </w: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6.5.1.3</w:t>
            </w: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7.5.4环境标志产品认证推广</w:t>
            </w: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低毒少害、节约资源、能源，符合特定环保要求的环境标志产品认证和推广服务（含绿色标识产品），如电子电器、建材、机械设备等产品的环境标志产品认证和推广服务。</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G2</w:t>
            </w: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6.5.4</w:t>
            </w: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6.5.1.4</w:t>
            </w: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9"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7.5.5有机食品认证推广</w:t>
            </w: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产品及其生产环境符合有效期内《有机产品》（GB/T 19630.1- GB/T 19630.4）等国家标准的农产品有机食品认证和推广（含绿色标识产品）服务。如蔬菜、水果等种植业产品，食用菌、野生植物产品、水产品、畜禽养殖产品等，以及动物饲料等产品的有机产品认证和推广服务。</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G2</w:t>
            </w: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6.5.5</w:t>
            </w: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6.5.1.5</w:t>
            </w: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7.5.6绿色食品认证推广</w:t>
            </w: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产品或产品原料产地符合有效期内绿色食品相关生态环境标准，加工生产过程符合绿色食品相关生产操作规程，产品符合绿色食品相关质量和卫生标准等绿色食品认证和推广服务。如蔬菜、水果、肉及肉制品等食品的绿色食品认证和推广服务。</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G2</w:t>
            </w: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6.5.6</w:t>
            </w: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6.5.1.6</w:t>
            </w: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3"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7.5.7资源综合利用产品认定推广</w:t>
            </w: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列入有效期内《国家工业固体废物资源综合利用产品目录》（2018年公布）产品的资源综合利用产品认定和推广服务，以及纳入《再制造产品目录》（第一批至第七批）的再制造产品的认定和推广服务。</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G2</w:t>
            </w: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6.5.7</w:t>
            </w: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6.5.1.7</w:t>
            </w: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p>
            <w:pPr>
              <w:widowControl/>
              <w:spacing w:line="240" w:lineRule="auto"/>
              <w:ind w:firstLine="0" w:firstLineChars="0"/>
              <w:jc w:val="both"/>
              <w:rPr>
                <w:rFonts w:eastAsia="仿宋_GB2312"/>
                <w:color w:val="000000"/>
                <w:kern w:val="0"/>
                <w:sz w:val="21"/>
                <w:szCs w:val="21"/>
              </w:rPr>
            </w:pPr>
          </w:p>
          <w:p>
            <w:pPr>
              <w:widowControl/>
              <w:spacing w:line="240" w:lineRule="auto"/>
              <w:ind w:firstLine="0" w:firstLineChars="0"/>
              <w:jc w:val="center"/>
              <w:rPr>
                <w:rFonts w:eastAsia="仿宋_GB2312"/>
                <w:color w:val="000000"/>
                <w:kern w:val="0"/>
                <w:sz w:val="21"/>
                <w:szCs w:val="21"/>
              </w:rPr>
            </w:pP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62"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345" w:type="pct"/>
            <w:vMerge w:val="continue"/>
            <w:vAlign w:val="center"/>
          </w:tcPr>
          <w:p>
            <w:pPr>
              <w:widowControl/>
              <w:spacing w:line="240" w:lineRule="auto"/>
              <w:ind w:firstLine="0" w:firstLineChars="0"/>
              <w:jc w:val="both"/>
              <w:rPr>
                <w:rFonts w:eastAsia="仿宋_GB2312"/>
                <w:color w:val="000000"/>
                <w:kern w:val="0"/>
                <w:sz w:val="21"/>
                <w:szCs w:val="21"/>
              </w:rPr>
            </w:pPr>
          </w:p>
        </w:tc>
        <w:tc>
          <w:tcPr>
            <w:tcW w:w="662"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7.5.8绿色建材认证推广</w:t>
            </w:r>
          </w:p>
        </w:tc>
        <w:tc>
          <w:tcPr>
            <w:tcW w:w="1204" w:type="pct"/>
            <w:shd w:val="clear" w:color="auto" w:fill="auto"/>
            <w:vAlign w:val="center"/>
          </w:tcPr>
          <w:p>
            <w:pPr>
              <w:widowControl/>
              <w:spacing w:line="240" w:lineRule="auto"/>
              <w:ind w:firstLine="0" w:firstLineChars="0"/>
              <w:jc w:val="both"/>
              <w:rPr>
                <w:rFonts w:eastAsia="仿宋_GB2312"/>
                <w:color w:val="000000"/>
                <w:kern w:val="0"/>
                <w:sz w:val="21"/>
                <w:szCs w:val="21"/>
              </w:rPr>
            </w:pPr>
            <w:r>
              <w:rPr>
                <w:rFonts w:eastAsia="仿宋_GB2312"/>
                <w:color w:val="000000"/>
                <w:kern w:val="0"/>
                <w:sz w:val="21"/>
                <w:szCs w:val="21"/>
              </w:rPr>
              <w:t>符合《绿色建材评价标识管理办法实施细则》（2015年公布）、《绿色建材评价技术导则（试行）（第一版）》（2015年公布）等政策和规范要求的节能玻璃、薄型瓷砖、砌体材料等绿色建材的认证和推广服务。</w:t>
            </w:r>
          </w:p>
        </w:tc>
        <w:tc>
          <w:tcPr>
            <w:tcW w:w="1169" w:type="pct"/>
            <w:shd w:val="clear" w:color="auto" w:fill="auto"/>
            <w:vAlign w:val="center"/>
          </w:tcPr>
          <w:p>
            <w:pPr>
              <w:widowControl/>
              <w:spacing w:line="240" w:lineRule="auto"/>
              <w:ind w:firstLine="0" w:firstLineChars="0"/>
              <w:jc w:val="both"/>
              <w:rPr>
                <w:rFonts w:eastAsia="仿宋_GB2312"/>
                <w:color w:val="000000"/>
                <w:kern w:val="0"/>
                <w:sz w:val="21"/>
                <w:szCs w:val="21"/>
              </w:rPr>
            </w:pPr>
          </w:p>
        </w:tc>
        <w:tc>
          <w:tcPr>
            <w:tcW w:w="238"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G2</w:t>
            </w:r>
          </w:p>
        </w:tc>
        <w:tc>
          <w:tcPr>
            <w:tcW w:w="344"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6.5.8</w:t>
            </w:r>
          </w:p>
        </w:tc>
        <w:tc>
          <w:tcPr>
            <w:tcW w:w="303" w:type="pct"/>
            <w:shd w:val="clear" w:color="auto" w:fill="auto"/>
            <w:vAlign w:val="center"/>
          </w:tcPr>
          <w:p>
            <w:pPr>
              <w:widowControl/>
              <w:spacing w:line="240" w:lineRule="auto"/>
              <w:ind w:firstLine="0" w:firstLineChars="0"/>
              <w:jc w:val="center"/>
              <w:rPr>
                <w:rFonts w:eastAsia="仿宋_GB2312"/>
                <w:color w:val="000000"/>
                <w:kern w:val="0"/>
                <w:sz w:val="21"/>
                <w:szCs w:val="21"/>
              </w:rPr>
            </w:pPr>
            <w:r>
              <w:rPr>
                <w:rFonts w:eastAsia="仿宋_GB2312"/>
                <w:color w:val="000000"/>
                <w:kern w:val="0"/>
                <w:sz w:val="21"/>
                <w:szCs w:val="21"/>
              </w:rPr>
              <w:t>6.5.1.8</w:t>
            </w:r>
          </w:p>
        </w:tc>
        <w:tc>
          <w:tcPr>
            <w:tcW w:w="369" w:type="pct"/>
            <w:shd w:val="clear" w:color="auto" w:fill="auto"/>
            <w:vAlign w:val="center"/>
          </w:tcPr>
          <w:p>
            <w:pPr>
              <w:widowControl/>
              <w:spacing w:line="240" w:lineRule="auto"/>
              <w:ind w:firstLine="0" w:firstLineChars="0"/>
              <w:jc w:val="center"/>
              <w:rPr>
                <w:rFonts w:eastAsia="仿宋_GB2312"/>
                <w:color w:val="000000"/>
                <w:kern w:val="0"/>
                <w:sz w:val="21"/>
                <w:szCs w:val="21"/>
              </w:rPr>
            </w:pPr>
          </w:p>
        </w:tc>
      </w:tr>
    </w:tbl>
    <w:p>
      <w:pPr>
        <w:keepNext w:val="0"/>
        <w:keepLines w:val="0"/>
        <w:pageBreakBefore w:val="0"/>
        <w:widowControl w:val="0"/>
        <w:tabs>
          <w:tab w:val="left" w:pos="4830"/>
        </w:tabs>
        <w:kinsoku/>
        <w:wordWrap/>
        <w:overflowPunct/>
        <w:topLinePunct w:val="0"/>
        <w:autoSpaceDE/>
        <w:autoSpaceDN/>
        <w:bidi w:val="0"/>
        <w:adjustRightInd/>
        <w:snapToGrid/>
        <w:spacing w:line="560" w:lineRule="exact"/>
        <w:ind w:left="0" w:firstLine="480" w:firstLineChars="200"/>
        <w:textAlignment w:val="auto"/>
        <w:rPr>
          <w:rFonts w:eastAsia="仿宋_GB2312"/>
          <w:bCs/>
          <w:sz w:val="24"/>
        </w:rPr>
      </w:pPr>
      <w:r>
        <w:rPr>
          <w:rFonts w:hint="eastAsia" w:eastAsia="仿宋_GB2312"/>
          <w:bCs/>
          <w:sz w:val="24"/>
        </w:rPr>
        <w:t>说明</w:t>
      </w:r>
      <w:r>
        <w:rPr>
          <w:rFonts w:eastAsia="仿宋_GB2312"/>
          <w:bCs/>
          <w:sz w:val="24"/>
        </w:rPr>
        <w:t>：</w:t>
      </w:r>
    </w:p>
    <w:p>
      <w:pPr>
        <w:keepNext w:val="0"/>
        <w:keepLines w:val="0"/>
        <w:pageBreakBefore w:val="0"/>
        <w:widowControl w:val="0"/>
        <w:tabs>
          <w:tab w:val="left" w:pos="4830"/>
        </w:tabs>
        <w:kinsoku/>
        <w:wordWrap/>
        <w:overflowPunct/>
        <w:topLinePunct w:val="0"/>
        <w:autoSpaceDE/>
        <w:autoSpaceDN/>
        <w:bidi w:val="0"/>
        <w:adjustRightInd/>
        <w:snapToGrid/>
        <w:spacing w:line="560" w:lineRule="exact"/>
        <w:ind w:left="0" w:firstLine="480" w:firstLineChars="200"/>
        <w:textAlignment w:val="auto"/>
        <w:rPr>
          <w:rFonts w:eastAsia="仿宋_GB2312"/>
          <w:bCs/>
          <w:sz w:val="24"/>
        </w:rPr>
      </w:pPr>
      <w:r>
        <w:rPr>
          <w:rFonts w:eastAsia="仿宋_GB2312"/>
          <w:bCs/>
          <w:sz w:val="24"/>
        </w:rPr>
        <w:t xml:space="preserve">1. </w:t>
      </w:r>
      <w:bookmarkStart w:id="3" w:name="_Hlk62060341"/>
      <w:r>
        <w:rPr>
          <w:rFonts w:hint="eastAsia" w:eastAsia="仿宋_GB2312"/>
          <w:bCs/>
          <w:sz w:val="24"/>
        </w:rPr>
        <w:t>绿色项目等级：G1代表深绿类项目，表示综合环境效益显著；G2代表中绿类项目，表示综合环境效益良好；G3代表浅绿类项目，表示综合环境效益一般。综合环境效益包括具有显著资源节约、环境保护、生态保护、应对气候变化等四种效益。</w:t>
      </w:r>
      <w:bookmarkEnd w:id="3"/>
    </w:p>
    <w:p>
      <w:pPr>
        <w:keepNext w:val="0"/>
        <w:keepLines w:val="0"/>
        <w:pageBreakBefore w:val="0"/>
        <w:widowControl w:val="0"/>
        <w:tabs>
          <w:tab w:val="left" w:pos="4830"/>
        </w:tabs>
        <w:kinsoku/>
        <w:wordWrap/>
        <w:overflowPunct/>
        <w:topLinePunct w:val="0"/>
        <w:autoSpaceDE/>
        <w:autoSpaceDN/>
        <w:bidi w:val="0"/>
        <w:adjustRightInd/>
        <w:snapToGrid/>
        <w:spacing w:line="560" w:lineRule="exact"/>
        <w:ind w:left="0" w:firstLine="480" w:firstLineChars="200"/>
        <w:textAlignment w:val="auto"/>
        <w:rPr>
          <w:rFonts w:eastAsia="仿宋_GB2312"/>
          <w:bCs/>
          <w:sz w:val="24"/>
        </w:rPr>
      </w:pPr>
      <w:r>
        <w:rPr>
          <w:rFonts w:hint="eastAsia" w:eastAsia="仿宋_GB2312"/>
          <w:bCs/>
          <w:sz w:val="24"/>
        </w:rPr>
        <w:t>2. 根据《“强化应对气候变化行动--中国国家自主贡献》《国家应对气候变化规划（2014-2020年）》《国家适应气候变化战略》《中国应对气候变化国家方案》等政策，及《IPCC全球升温1.5℃特别报告》等相关研究，本绿色项目目录中，共有32项应对气候变化类项目，其中减缓类28项，适应类的4项。</w:t>
      </w:r>
    </w:p>
    <w:p>
      <w:pPr>
        <w:keepNext w:val="0"/>
        <w:keepLines w:val="0"/>
        <w:pageBreakBefore w:val="0"/>
        <w:widowControl w:val="0"/>
        <w:tabs>
          <w:tab w:val="left" w:pos="4830"/>
        </w:tabs>
        <w:kinsoku/>
        <w:wordWrap/>
        <w:overflowPunct/>
        <w:topLinePunct w:val="0"/>
        <w:autoSpaceDE/>
        <w:autoSpaceDN/>
        <w:bidi w:val="0"/>
        <w:adjustRightInd/>
        <w:snapToGrid/>
        <w:spacing w:line="560" w:lineRule="exact"/>
        <w:ind w:left="0" w:firstLine="480" w:firstLineChars="200"/>
        <w:textAlignment w:val="auto"/>
        <w:rPr>
          <w:rFonts w:eastAsia="仿宋_GB2312"/>
          <w:bCs/>
          <w:sz w:val="24"/>
        </w:rPr>
      </w:pPr>
      <w:r>
        <w:rPr>
          <w:rFonts w:hint="eastAsia" w:eastAsia="仿宋_GB2312"/>
          <w:bCs/>
          <w:sz w:val="24"/>
        </w:rPr>
        <w:t>3. 本目录主要</w:t>
      </w:r>
      <w:bookmarkStart w:id="4" w:name="_Hlk62060137"/>
      <w:r>
        <w:rPr>
          <w:rFonts w:hint="eastAsia" w:eastAsia="仿宋_GB2312"/>
          <w:bCs/>
          <w:sz w:val="24"/>
        </w:rPr>
        <w:t>对标国内标准包括：《绿色产业指导目录（2019年版）》《绿色债券支持项目目录（2020年版）》（征求意见稿）《绿色融资统计》（2020年版）。</w:t>
      </w:r>
      <w:bookmarkEnd w:id="4"/>
    </w:p>
    <w:p>
      <w:pPr>
        <w:keepNext w:val="0"/>
        <w:keepLines w:val="0"/>
        <w:pageBreakBefore w:val="0"/>
        <w:widowControl w:val="0"/>
        <w:tabs>
          <w:tab w:val="left" w:pos="4830"/>
        </w:tabs>
        <w:kinsoku/>
        <w:wordWrap/>
        <w:overflowPunct/>
        <w:topLinePunct w:val="0"/>
        <w:autoSpaceDE/>
        <w:autoSpaceDN/>
        <w:bidi w:val="0"/>
        <w:adjustRightInd/>
        <w:snapToGrid/>
        <w:spacing w:line="560" w:lineRule="exact"/>
        <w:ind w:left="0" w:firstLine="480" w:firstLineChars="200"/>
        <w:textAlignment w:val="auto"/>
        <w:rPr>
          <w:rFonts w:eastAsia="仿宋_GB2312"/>
          <w:bCs/>
          <w:sz w:val="24"/>
        </w:rPr>
      </w:pPr>
      <w:r>
        <w:rPr>
          <w:rFonts w:hint="eastAsia" w:eastAsia="仿宋_GB2312"/>
          <w:bCs/>
          <w:sz w:val="24"/>
        </w:rPr>
        <w:t>4.</w:t>
      </w:r>
      <w:r>
        <w:rPr>
          <w:rFonts w:eastAsia="仿宋_GB2312"/>
          <w:bCs/>
          <w:sz w:val="24"/>
        </w:rPr>
        <w:t xml:space="preserve"> </w:t>
      </w:r>
      <w:r>
        <w:rPr>
          <w:rFonts w:hint="eastAsia" w:eastAsia="仿宋_GB2312"/>
          <w:bCs/>
          <w:sz w:val="24"/>
        </w:rPr>
        <w:t>本目录中技术要求均应参照现行有效期内标准、规程等。</w:t>
      </w:r>
    </w:p>
    <w:p>
      <w:pPr>
        <w:keepNext w:val="0"/>
        <w:keepLines w:val="0"/>
        <w:pageBreakBefore w:val="0"/>
        <w:widowControl w:val="0"/>
        <w:tabs>
          <w:tab w:val="left" w:pos="4830"/>
        </w:tabs>
        <w:kinsoku/>
        <w:wordWrap/>
        <w:overflowPunct/>
        <w:topLinePunct w:val="0"/>
        <w:autoSpaceDE/>
        <w:autoSpaceDN/>
        <w:bidi w:val="0"/>
        <w:adjustRightInd/>
        <w:snapToGrid/>
        <w:spacing w:line="560" w:lineRule="exact"/>
        <w:ind w:left="0" w:firstLine="480" w:firstLineChars="200"/>
        <w:textAlignment w:val="auto"/>
        <w:rPr>
          <w:rFonts w:eastAsia="仿宋_GB2312"/>
          <w:bCs/>
          <w:sz w:val="24"/>
        </w:rPr>
      </w:pPr>
      <w:r>
        <w:rPr>
          <w:rFonts w:eastAsia="仿宋_GB2312"/>
          <w:bCs/>
          <w:sz w:val="24"/>
        </w:rPr>
        <w:t>5</w:t>
      </w:r>
      <w:r>
        <w:rPr>
          <w:rFonts w:hint="eastAsia" w:eastAsia="仿宋_GB2312"/>
          <w:bCs/>
          <w:sz w:val="24"/>
        </w:rPr>
        <w:t>.</w:t>
      </w:r>
      <w:r>
        <w:rPr>
          <w:rFonts w:eastAsia="仿宋_GB2312"/>
          <w:bCs/>
          <w:sz w:val="24"/>
        </w:rPr>
        <w:t xml:space="preserve"> </w:t>
      </w:r>
      <w:r>
        <w:rPr>
          <w:rFonts w:hint="eastAsia" w:eastAsia="仿宋_GB2312"/>
          <w:bCs/>
          <w:sz w:val="24"/>
        </w:rPr>
        <w:t>本目录将根据兰州新区产业和项目发展进行动态调整。</w:t>
      </w:r>
    </w:p>
    <w:p>
      <w:pPr>
        <w:ind w:firstLine="640"/>
        <w:rPr>
          <w:rFonts w:eastAsia="仿宋_GB2312"/>
          <w:sz w:val="32"/>
          <w:szCs w:val="32"/>
        </w:rPr>
        <w:sectPr>
          <w:headerReference r:id="rId3" w:type="default"/>
          <w:footerReference r:id="rId4" w:type="default"/>
          <w:pgSz w:w="16838" w:h="11906" w:orient="landscape"/>
          <w:pgMar w:top="720" w:right="720" w:bottom="720" w:left="720" w:header="567" w:footer="567" w:gutter="0"/>
          <w:pgNumType w:fmt="numberInDash"/>
          <w:cols w:space="425" w:num="1"/>
          <w:docGrid w:type="lines" w:linePitch="408" w:charSpace="0"/>
        </w:sect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ascii="仿宋_GB2312" w:eastAsia="仿宋_GB2312"/>
          <w:sz w:val="24"/>
          <w:szCs w:val="24"/>
        </w:rPr>
      </w:pPr>
      <w:bookmarkStart w:id="5" w:name="_GoBack"/>
      <w:bookmarkEnd w:id="5"/>
    </w:p>
    <w:sectPr>
      <w:pgSz w:w="11906" w:h="16838"/>
      <w:pgMar w:top="1440" w:right="1800" w:bottom="1440" w:left="1800" w:header="851" w:footer="567"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方正大标宋简体">
    <w:panose1 w:val="02010601030101010101"/>
    <w:charset w:val="86"/>
    <w:family w:val="script"/>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130175</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953590459"/>
                          </w:sdtPr>
                          <w:sdtEndPr>
                            <w:rPr>
                              <w:rFonts w:hint="eastAsia" w:ascii="仿宋" w:hAnsi="仿宋" w:eastAsia="仿宋" w:cs="仿宋"/>
                              <w:sz w:val="28"/>
                              <w:szCs w:val="28"/>
                            </w:rPr>
                          </w:sdtEndPr>
                          <w:sdtContent>
                            <w:p>
                              <w:pPr>
                                <w:pStyle w:val="6"/>
                                <w:ind w:firstLine="360"/>
                                <w:jc w:val="center"/>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PAGE   \* MERGEFORMAT</w:instrText>
                              </w:r>
                              <w:r>
                                <w:rPr>
                                  <w:rFonts w:hint="eastAsia" w:ascii="仿宋" w:hAnsi="仿宋" w:eastAsia="仿宋" w:cs="仿宋"/>
                                  <w:sz w:val="28"/>
                                  <w:szCs w:val="28"/>
                                </w:rPr>
                                <w:fldChar w:fldCharType="separate"/>
                              </w:r>
                              <w:r>
                                <w:rPr>
                                  <w:rFonts w:hint="eastAsia" w:ascii="仿宋" w:hAnsi="仿宋" w:eastAsia="仿宋" w:cs="仿宋"/>
                                  <w:sz w:val="28"/>
                                  <w:szCs w:val="28"/>
                                  <w:lang w:val="zh-CN"/>
                                </w:rPr>
                                <w:t>2</w:t>
                              </w:r>
                              <w:r>
                                <w:rPr>
                                  <w:rFonts w:hint="eastAsia" w:ascii="仿宋" w:hAnsi="仿宋" w:eastAsia="仿宋" w:cs="仿宋"/>
                                  <w:sz w:val="28"/>
                                  <w:szCs w:val="28"/>
                                </w:rPr>
                                <w:fldChar w:fldCharType="end"/>
                              </w:r>
                            </w:p>
                          </w:sdtContent>
                        </w:sdt>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10.25pt;height:144pt;width:144pt;mso-position-horizontal:center;mso-position-horizontal-relative:margin;mso-wrap-style:none;z-index:251659264;mso-width-relative:page;mso-height-relative:page;" filled="f" stroked="f" coordsize="21600,21600" o:gfxdata="UEsDBAoAAAAAAIdO4kAAAAAAAAAAAAAAAAAEAAAAZHJzL1BLAwQUAAAACACHTuJAtqUZltQAAAAH&#10;AQAADwAAAGRycy9kb3ducmV2LnhtbE2PwU7DMBBE70j8g7VI3KjdlKIoZFOJinBEoumBoxsvSSC2&#10;I9tNw9+znOC4M6OZt+VusaOYKcTBO4T1SoEg13ozuA7h2NR3OYiYtDN69I4QvinCrrq+KnVh/MW9&#10;0XxIneASFwuN0Kc0FVLGtier48pP5Nj78MHqxGfopAn6wuV2lJlSD9LqwfFCryfa99R+Hc4WYV83&#10;TZgphvGdXurN5+vTPT0viLc3a/UIItGS/sLwi8/oUDHTyZ+diWJE4EcSQqa2INjN8pyFE8JG5VuQ&#10;VSn/81c/UEsDBBQAAAAIAIdO4kDhgNOOMgIAAGEEAAAOAAAAZHJzL2Uyb0RvYy54bWytVM2O0zAQ&#10;viPxDpbvNGkrVlXVdFW2KkKq2JUK4uw6ThPJf7LdJuUB4A04ceHOc/U59nN+umjhsAcuztgz/sbf&#10;NzNZ3DZKkpNwvjI6o+NRSonQ3OSVPmT086fNmxklPjCdM2m0yOhZeHq7fP1qUdu5mJjSyFw4AhDt&#10;57XNaBmCnSeJ56VQzI+MFRrOwjjFArbukOSO1UBXMpmk6U1SG5dbZ7jwHqfrzkl7RPcSQFMUFRdr&#10;w49K6NChOiFZACVfVtbTZfvaohA83BeFF4HIjIJpaFckgb2Pa7JcsPnBMVtWvH8Ce8kTnnFSrNJI&#10;eoVas8DI0VV/QamKO+NNEUbcqKQj0ioCFuP0mTa7klnRcoHU3l5F9/8Pln88PThS5RmdUqKZQsEv&#10;P75ffv6+/PpGplGe2vo5onYWcaF5Zxo0zXDucRhZN4VT8Qs+BH6Ie76KK5pAeLw0m8xmKVwcvmED&#10;/OTpunU+vBdGkWhk1KF6rajstPWhCx1CYjZtNpWUbQWlJnVGb6Zv0/bC1QNwqZEjkugeG63Q7Jue&#10;2d7kZxBzpusMb/mmQvIt8+GBObQCHoxhCfdYCmmQxPQWJaVxX/91HuNRIXgpqdFaGdWYJErkB43K&#10;ATAMhhuM/WDoo7oz6NUxhtDy1sQFF+RgFs6oL5igVcwBF9McmTIaBvMudO2NCeRitWqDjtZVh7K7&#10;gL6zLGz1zvKYJgrp7eoYIGarcRSoU6XXDZ3XVqmfktjaf+7bqKc/w/IR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tqUZltQAAAAHAQAADwAAAAAAAAABACAAAAAiAAAAZHJzL2Rvd25yZXYueG1sUEsB&#10;AhQAFAAAAAgAh07iQOGA044yAgAAYQQAAA4AAAAAAAAAAQAgAAAAIwEAAGRycy9lMm9Eb2MueG1s&#10;UEsFBgAAAAAGAAYAWQEAAMcFAAAAAA==&#10;">
              <v:fill on="f" focussize="0,0"/>
              <v:stroke on="f" weight="0.5pt"/>
              <v:imagedata o:title=""/>
              <o:lock v:ext="edit" aspectratio="f"/>
              <v:textbox inset="0mm,0mm,0mm,0mm" style="mso-fit-shape-to-text:t;">
                <w:txbxContent>
                  <w:sdt>
                    <w:sdtPr>
                      <w:id w:val="1953590459"/>
                    </w:sdtPr>
                    <w:sdtEndPr>
                      <w:rPr>
                        <w:rFonts w:hint="eastAsia" w:ascii="仿宋" w:hAnsi="仿宋" w:eastAsia="仿宋" w:cs="仿宋"/>
                        <w:sz w:val="28"/>
                        <w:szCs w:val="28"/>
                      </w:rPr>
                    </w:sdtEndPr>
                    <w:sdtContent>
                      <w:p>
                        <w:pPr>
                          <w:pStyle w:val="6"/>
                          <w:ind w:firstLine="360"/>
                          <w:jc w:val="center"/>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PAGE   \* MERGEFORMAT</w:instrText>
                        </w:r>
                        <w:r>
                          <w:rPr>
                            <w:rFonts w:hint="eastAsia" w:ascii="仿宋" w:hAnsi="仿宋" w:eastAsia="仿宋" w:cs="仿宋"/>
                            <w:sz w:val="28"/>
                            <w:szCs w:val="28"/>
                          </w:rPr>
                          <w:fldChar w:fldCharType="separate"/>
                        </w:r>
                        <w:r>
                          <w:rPr>
                            <w:rFonts w:hint="eastAsia" w:ascii="仿宋" w:hAnsi="仿宋" w:eastAsia="仿宋" w:cs="仿宋"/>
                            <w:sz w:val="28"/>
                            <w:szCs w:val="28"/>
                            <w:lang w:val="zh-CN"/>
                          </w:rPr>
                          <w:t>2</w:t>
                        </w:r>
                        <w:r>
                          <w:rPr>
                            <w:rFonts w:hint="eastAsia" w:ascii="仿宋" w:hAnsi="仿宋" w:eastAsia="仿宋" w:cs="仿宋"/>
                            <w:sz w:val="28"/>
                            <w:szCs w:val="28"/>
                          </w:rPr>
                          <w:fldChar w:fldCharType="end"/>
                        </w:r>
                      </w:p>
                    </w:sdtContent>
                  </w:sdt>
                  <w:p/>
                </w:txbxContent>
              </v:textbox>
            </v:shape>
          </w:pict>
        </mc:Fallback>
      </mc:AlternateContent>
    </w:r>
  </w:p>
  <w:p>
    <w:pPr>
      <w:pStyle w:val="6"/>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ind w:left="0" w:leftChars="0" w:firstLine="0" w:firstLineChars="0"/>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50019F"/>
    <w:multiLevelType w:val="multilevel"/>
    <w:tmpl w:val="2E50019F"/>
    <w:lvl w:ilvl="0" w:tentative="0">
      <w:start w:val="1"/>
      <w:numFmt w:val="chineseCountingThousand"/>
      <w:pStyle w:val="2"/>
      <w:lvlText w:val="第%1章"/>
      <w:lvlJc w:val="center"/>
      <w:pPr>
        <w:ind w:left="620" w:hanging="420"/>
      </w:pPr>
      <w:rPr>
        <w:rFonts w:hint="eastAsia"/>
      </w:rPr>
    </w:lvl>
    <w:lvl w:ilvl="1" w:tentative="0">
      <w:start w:val="1"/>
      <w:numFmt w:val="lowerLetter"/>
      <w:lvlText w:val="%2)"/>
      <w:lvlJc w:val="left"/>
      <w:pPr>
        <w:ind w:left="1040" w:hanging="420"/>
      </w:pPr>
    </w:lvl>
    <w:lvl w:ilvl="2" w:tentative="0">
      <w:start w:val="1"/>
      <w:numFmt w:val="lowerRoman"/>
      <w:lvlText w:val="%3."/>
      <w:lvlJc w:val="right"/>
      <w:pPr>
        <w:ind w:left="1460" w:hanging="420"/>
      </w:pPr>
    </w:lvl>
    <w:lvl w:ilvl="3" w:tentative="0">
      <w:start w:val="1"/>
      <w:numFmt w:val="decimal"/>
      <w:lvlText w:val="%4."/>
      <w:lvlJc w:val="left"/>
      <w:pPr>
        <w:ind w:left="1880" w:hanging="420"/>
      </w:pPr>
    </w:lvl>
    <w:lvl w:ilvl="4" w:tentative="0">
      <w:start w:val="1"/>
      <w:numFmt w:val="lowerLetter"/>
      <w:lvlText w:val="%5)"/>
      <w:lvlJc w:val="left"/>
      <w:pPr>
        <w:ind w:left="2300" w:hanging="420"/>
      </w:pPr>
    </w:lvl>
    <w:lvl w:ilvl="5" w:tentative="0">
      <w:start w:val="1"/>
      <w:numFmt w:val="lowerRoman"/>
      <w:lvlText w:val="%6."/>
      <w:lvlJc w:val="right"/>
      <w:pPr>
        <w:ind w:left="2720" w:hanging="420"/>
      </w:pPr>
    </w:lvl>
    <w:lvl w:ilvl="6" w:tentative="0">
      <w:start w:val="1"/>
      <w:numFmt w:val="decimal"/>
      <w:lvlText w:val="%7."/>
      <w:lvlJc w:val="left"/>
      <w:pPr>
        <w:ind w:left="3140" w:hanging="420"/>
      </w:pPr>
    </w:lvl>
    <w:lvl w:ilvl="7" w:tentative="0">
      <w:start w:val="1"/>
      <w:numFmt w:val="lowerLetter"/>
      <w:lvlText w:val="%8)"/>
      <w:lvlJc w:val="left"/>
      <w:pPr>
        <w:ind w:left="3560" w:hanging="420"/>
      </w:pPr>
    </w:lvl>
    <w:lvl w:ilvl="8" w:tentative="0">
      <w:start w:val="1"/>
      <w:numFmt w:val="lowerRoman"/>
      <w:lvlText w:val="%9."/>
      <w:lvlJc w:val="right"/>
      <w:pPr>
        <w:ind w:left="39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HorizontalSpacing w:val="150"/>
  <w:drawingGridVerticalSpacing w:val="204"/>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0D78"/>
    <w:rsid w:val="00004DE5"/>
    <w:rsid w:val="00010235"/>
    <w:rsid w:val="00015A57"/>
    <w:rsid w:val="0001675B"/>
    <w:rsid w:val="00016907"/>
    <w:rsid w:val="00022DE9"/>
    <w:rsid w:val="00025B18"/>
    <w:rsid w:val="00033F90"/>
    <w:rsid w:val="00035D53"/>
    <w:rsid w:val="000434CF"/>
    <w:rsid w:val="00047FF6"/>
    <w:rsid w:val="0005073B"/>
    <w:rsid w:val="00063536"/>
    <w:rsid w:val="0006535F"/>
    <w:rsid w:val="00075584"/>
    <w:rsid w:val="00076822"/>
    <w:rsid w:val="00086502"/>
    <w:rsid w:val="00087FE6"/>
    <w:rsid w:val="0009076E"/>
    <w:rsid w:val="00093676"/>
    <w:rsid w:val="000975FD"/>
    <w:rsid w:val="000A03F0"/>
    <w:rsid w:val="000A094B"/>
    <w:rsid w:val="000A1D62"/>
    <w:rsid w:val="000A65F9"/>
    <w:rsid w:val="000A7FCE"/>
    <w:rsid w:val="000B1D6F"/>
    <w:rsid w:val="000B2AD8"/>
    <w:rsid w:val="000B56FE"/>
    <w:rsid w:val="000B6101"/>
    <w:rsid w:val="000B6459"/>
    <w:rsid w:val="000B7826"/>
    <w:rsid w:val="000C08C7"/>
    <w:rsid w:val="000C7E70"/>
    <w:rsid w:val="000D12AA"/>
    <w:rsid w:val="000D3C17"/>
    <w:rsid w:val="000F087F"/>
    <w:rsid w:val="000F0FC9"/>
    <w:rsid w:val="000F74E8"/>
    <w:rsid w:val="00100C5A"/>
    <w:rsid w:val="0010387C"/>
    <w:rsid w:val="001066E8"/>
    <w:rsid w:val="0011223A"/>
    <w:rsid w:val="001138C2"/>
    <w:rsid w:val="0011590B"/>
    <w:rsid w:val="00116BC8"/>
    <w:rsid w:val="00116DC9"/>
    <w:rsid w:val="001174C7"/>
    <w:rsid w:val="00123B55"/>
    <w:rsid w:val="00124742"/>
    <w:rsid w:val="001249D8"/>
    <w:rsid w:val="00126539"/>
    <w:rsid w:val="001338BB"/>
    <w:rsid w:val="00136281"/>
    <w:rsid w:val="001439B3"/>
    <w:rsid w:val="001449CC"/>
    <w:rsid w:val="00156876"/>
    <w:rsid w:val="00160341"/>
    <w:rsid w:val="001604CD"/>
    <w:rsid w:val="00162B6B"/>
    <w:rsid w:val="00166EC6"/>
    <w:rsid w:val="00172D57"/>
    <w:rsid w:val="001906B6"/>
    <w:rsid w:val="00190993"/>
    <w:rsid w:val="00192E09"/>
    <w:rsid w:val="001A09DF"/>
    <w:rsid w:val="001A111A"/>
    <w:rsid w:val="001A53C1"/>
    <w:rsid w:val="001B3305"/>
    <w:rsid w:val="001C0726"/>
    <w:rsid w:val="001C0A7B"/>
    <w:rsid w:val="001C195C"/>
    <w:rsid w:val="001C5403"/>
    <w:rsid w:val="001C600A"/>
    <w:rsid w:val="001C6698"/>
    <w:rsid w:val="001C7778"/>
    <w:rsid w:val="001D0773"/>
    <w:rsid w:val="001D27AC"/>
    <w:rsid w:val="001D28EA"/>
    <w:rsid w:val="001D67C5"/>
    <w:rsid w:val="001E40A4"/>
    <w:rsid w:val="001E4679"/>
    <w:rsid w:val="001F00D8"/>
    <w:rsid w:val="001F0DE0"/>
    <w:rsid w:val="001F1489"/>
    <w:rsid w:val="001F280E"/>
    <w:rsid w:val="001F3968"/>
    <w:rsid w:val="001F7340"/>
    <w:rsid w:val="001F7C16"/>
    <w:rsid w:val="00202293"/>
    <w:rsid w:val="00212406"/>
    <w:rsid w:val="00212846"/>
    <w:rsid w:val="00212CFF"/>
    <w:rsid w:val="002137ED"/>
    <w:rsid w:val="002142F1"/>
    <w:rsid w:val="00224F2F"/>
    <w:rsid w:val="00225027"/>
    <w:rsid w:val="00226A3F"/>
    <w:rsid w:val="00234BFE"/>
    <w:rsid w:val="002477DC"/>
    <w:rsid w:val="002479DE"/>
    <w:rsid w:val="002509C6"/>
    <w:rsid w:val="0025320D"/>
    <w:rsid w:val="00256A31"/>
    <w:rsid w:val="00262D23"/>
    <w:rsid w:val="0026580E"/>
    <w:rsid w:val="002658DD"/>
    <w:rsid w:val="0026707B"/>
    <w:rsid w:val="00274299"/>
    <w:rsid w:val="00277331"/>
    <w:rsid w:val="00281F60"/>
    <w:rsid w:val="00282647"/>
    <w:rsid w:val="00290560"/>
    <w:rsid w:val="00297F7A"/>
    <w:rsid w:val="002A73CC"/>
    <w:rsid w:val="002B0122"/>
    <w:rsid w:val="002B6D4E"/>
    <w:rsid w:val="002C1A01"/>
    <w:rsid w:val="002C2921"/>
    <w:rsid w:val="002C466D"/>
    <w:rsid w:val="002D7C15"/>
    <w:rsid w:val="002E1EB4"/>
    <w:rsid w:val="002E2DD8"/>
    <w:rsid w:val="002E3FF5"/>
    <w:rsid w:val="002F0086"/>
    <w:rsid w:val="002F0D64"/>
    <w:rsid w:val="002F0EB7"/>
    <w:rsid w:val="002F103F"/>
    <w:rsid w:val="002F2955"/>
    <w:rsid w:val="002F3BA9"/>
    <w:rsid w:val="003008EA"/>
    <w:rsid w:val="00300962"/>
    <w:rsid w:val="00305E04"/>
    <w:rsid w:val="0030741D"/>
    <w:rsid w:val="0031035F"/>
    <w:rsid w:val="00313416"/>
    <w:rsid w:val="003161AA"/>
    <w:rsid w:val="0032045B"/>
    <w:rsid w:val="003223AE"/>
    <w:rsid w:val="003247C3"/>
    <w:rsid w:val="00325890"/>
    <w:rsid w:val="0032621C"/>
    <w:rsid w:val="003265E3"/>
    <w:rsid w:val="00341A43"/>
    <w:rsid w:val="00343010"/>
    <w:rsid w:val="0034524E"/>
    <w:rsid w:val="00345D03"/>
    <w:rsid w:val="0035147A"/>
    <w:rsid w:val="0035543C"/>
    <w:rsid w:val="0036170D"/>
    <w:rsid w:val="00362AE5"/>
    <w:rsid w:val="003639F6"/>
    <w:rsid w:val="003662DD"/>
    <w:rsid w:val="003730EB"/>
    <w:rsid w:val="003777FE"/>
    <w:rsid w:val="00380360"/>
    <w:rsid w:val="003807BB"/>
    <w:rsid w:val="00382AC5"/>
    <w:rsid w:val="0039093A"/>
    <w:rsid w:val="00391FF5"/>
    <w:rsid w:val="00393A9D"/>
    <w:rsid w:val="00397D4C"/>
    <w:rsid w:val="003A101D"/>
    <w:rsid w:val="003A548A"/>
    <w:rsid w:val="003B058E"/>
    <w:rsid w:val="003B4397"/>
    <w:rsid w:val="003B4E2A"/>
    <w:rsid w:val="003B4E7B"/>
    <w:rsid w:val="003B5C16"/>
    <w:rsid w:val="003C5250"/>
    <w:rsid w:val="003D2214"/>
    <w:rsid w:val="003D2690"/>
    <w:rsid w:val="003D2F4D"/>
    <w:rsid w:val="003E0E84"/>
    <w:rsid w:val="003F54C7"/>
    <w:rsid w:val="004139B5"/>
    <w:rsid w:val="004161B8"/>
    <w:rsid w:val="0041797D"/>
    <w:rsid w:val="00421F89"/>
    <w:rsid w:val="00423169"/>
    <w:rsid w:val="00440D2A"/>
    <w:rsid w:val="004420FE"/>
    <w:rsid w:val="00445CD8"/>
    <w:rsid w:val="004520C7"/>
    <w:rsid w:val="00452468"/>
    <w:rsid w:val="00453878"/>
    <w:rsid w:val="0047087B"/>
    <w:rsid w:val="00471C7C"/>
    <w:rsid w:val="004727FD"/>
    <w:rsid w:val="00474A84"/>
    <w:rsid w:val="00487004"/>
    <w:rsid w:val="00492CC4"/>
    <w:rsid w:val="004956C9"/>
    <w:rsid w:val="004A3019"/>
    <w:rsid w:val="004A3456"/>
    <w:rsid w:val="004A3ECE"/>
    <w:rsid w:val="004A4A6F"/>
    <w:rsid w:val="004A6907"/>
    <w:rsid w:val="004B083F"/>
    <w:rsid w:val="004B32FC"/>
    <w:rsid w:val="004B435E"/>
    <w:rsid w:val="004C2352"/>
    <w:rsid w:val="004C70B9"/>
    <w:rsid w:val="004D69C7"/>
    <w:rsid w:val="004E753B"/>
    <w:rsid w:val="004F64CB"/>
    <w:rsid w:val="004F7AE0"/>
    <w:rsid w:val="0050041A"/>
    <w:rsid w:val="00500AEB"/>
    <w:rsid w:val="00500F7F"/>
    <w:rsid w:val="005037E9"/>
    <w:rsid w:val="005039D9"/>
    <w:rsid w:val="0050446E"/>
    <w:rsid w:val="00504D82"/>
    <w:rsid w:val="00507058"/>
    <w:rsid w:val="00507E64"/>
    <w:rsid w:val="005131BA"/>
    <w:rsid w:val="00513FC7"/>
    <w:rsid w:val="005147CD"/>
    <w:rsid w:val="00515EC8"/>
    <w:rsid w:val="00516243"/>
    <w:rsid w:val="005311B5"/>
    <w:rsid w:val="005322F8"/>
    <w:rsid w:val="0054358B"/>
    <w:rsid w:val="005442DA"/>
    <w:rsid w:val="005545CF"/>
    <w:rsid w:val="00554D11"/>
    <w:rsid w:val="0055647F"/>
    <w:rsid w:val="00557A84"/>
    <w:rsid w:val="00560646"/>
    <w:rsid w:val="005645AE"/>
    <w:rsid w:val="0057540C"/>
    <w:rsid w:val="00576867"/>
    <w:rsid w:val="00577847"/>
    <w:rsid w:val="005829F2"/>
    <w:rsid w:val="00585E90"/>
    <w:rsid w:val="005862B9"/>
    <w:rsid w:val="00587EFB"/>
    <w:rsid w:val="005902C0"/>
    <w:rsid w:val="00590407"/>
    <w:rsid w:val="005939A9"/>
    <w:rsid w:val="005A115D"/>
    <w:rsid w:val="005A1245"/>
    <w:rsid w:val="005A1CC1"/>
    <w:rsid w:val="005B02A9"/>
    <w:rsid w:val="005C2D8C"/>
    <w:rsid w:val="005C4D2C"/>
    <w:rsid w:val="005C65A2"/>
    <w:rsid w:val="005D3197"/>
    <w:rsid w:val="005D39A6"/>
    <w:rsid w:val="005D58AC"/>
    <w:rsid w:val="005D5D75"/>
    <w:rsid w:val="005E0D09"/>
    <w:rsid w:val="005E0DC8"/>
    <w:rsid w:val="005E1BEC"/>
    <w:rsid w:val="005E1D60"/>
    <w:rsid w:val="005E54C1"/>
    <w:rsid w:val="005E6964"/>
    <w:rsid w:val="005F02FF"/>
    <w:rsid w:val="005F080D"/>
    <w:rsid w:val="005F19E2"/>
    <w:rsid w:val="005F1E64"/>
    <w:rsid w:val="005F260F"/>
    <w:rsid w:val="005F440E"/>
    <w:rsid w:val="00601C76"/>
    <w:rsid w:val="006033B4"/>
    <w:rsid w:val="00603411"/>
    <w:rsid w:val="006039BD"/>
    <w:rsid w:val="006137CD"/>
    <w:rsid w:val="00622E04"/>
    <w:rsid w:val="006253E8"/>
    <w:rsid w:val="00642C81"/>
    <w:rsid w:val="00646A4D"/>
    <w:rsid w:val="00651627"/>
    <w:rsid w:val="006552A6"/>
    <w:rsid w:val="0065652F"/>
    <w:rsid w:val="006629F4"/>
    <w:rsid w:val="00664EA2"/>
    <w:rsid w:val="006766C6"/>
    <w:rsid w:val="00680E84"/>
    <w:rsid w:val="006873A4"/>
    <w:rsid w:val="0069299D"/>
    <w:rsid w:val="006A1B6A"/>
    <w:rsid w:val="006A788A"/>
    <w:rsid w:val="006C1111"/>
    <w:rsid w:val="006C1526"/>
    <w:rsid w:val="006C372F"/>
    <w:rsid w:val="006C3CA1"/>
    <w:rsid w:val="006C57C2"/>
    <w:rsid w:val="006D0835"/>
    <w:rsid w:val="006D2814"/>
    <w:rsid w:val="006D45E0"/>
    <w:rsid w:val="006D4D55"/>
    <w:rsid w:val="006D608F"/>
    <w:rsid w:val="006D68D3"/>
    <w:rsid w:val="006E2B8B"/>
    <w:rsid w:val="006E320F"/>
    <w:rsid w:val="006E36DF"/>
    <w:rsid w:val="006E38CA"/>
    <w:rsid w:val="006E5489"/>
    <w:rsid w:val="006E64FC"/>
    <w:rsid w:val="006F15F8"/>
    <w:rsid w:val="006F19AE"/>
    <w:rsid w:val="006F50F5"/>
    <w:rsid w:val="006F5947"/>
    <w:rsid w:val="006F6F14"/>
    <w:rsid w:val="00700B9C"/>
    <w:rsid w:val="00702A54"/>
    <w:rsid w:val="00704F42"/>
    <w:rsid w:val="00704F57"/>
    <w:rsid w:val="00710431"/>
    <w:rsid w:val="007113AF"/>
    <w:rsid w:val="00716CF5"/>
    <w:rsid w:val="00731180"/>
    <w:rsid w:val="00733F70"/>
    <w:rsid w:val="00734FEA"/>
    <w:rsid w:val="007364B8"/>
    <w:rsid w:val="007473DD"/>
    <w:rsid w:val="00761B82"/>
    <w:rsid w:val="00762EBF"/>
    <w:rsid w:val="00765EC4"/>
    <w:rsid w:val="007759B0"/>
    <w:rsid w:val="00776023"/>
    <w:rsid w:val="00776D35"/>
    <w:rsid w:val="00781C7C"/>
    <w:rsid w:val="007826AB"/>
    <w:rsid w:val="0078468E"/>
    <w:rsid w:val="00792C5F"/>
    <w:rsid w:val="00793721"/>
    <w:rsid w:val="00795A1F"/>
    <w:rsid w:val="00796289"/>
    <w:rsid w:val="007A5ED9"/>
    <w:rsid w:val="007B11D2"/>
    <w:rsid w:val="007B3F7F"/>
    <w:rsid w:val="007B7F9D"/>
    <w:rsid w:val="007C0F17"/>
    <w:rsid w:val="007C1960"/>
    <w:rsid w:val="007C6C86"/>
    <w:rsid w:val="007C7F20"/>
    <w:rsid w:val="007D27D2"/>
    <w:rsid w:val="007D5AA0"/>
    <w:rsid w:val="007E1ED2"/>
    <w:rsid w:val="007F49C2"/>
    <w:rsid w:val="007F5C7C"/>
    <w:rsid w:val="00805C12"/>
    <w:rsid w:val="00810400"/>
    <w:rsid w:val="00810E5E"/>
    <w:rsid w:val="008133C9"/>
    <w:rsid w:val="008150DC"/>
    <w:rsid w:val="00815497"/>
    <w:rsid w:val="008167B6"/>
    <w:rsid w:val="00821B35"/>
    <w:rsid w:val="00822420"/>
    <w:rsid w:val="00826222"/>
    <w:rsid w:val="008264FB"/>
    <w:rsid w:val="008316D8"/>
    <w:rsid w:val="008321FA"/>
    <w:rsid w:val="00836531"/>
    <w:rsid w:val="00837E9F"/>
    <w:rsid w:val="00841259"/>
    <w:rsid w:val="00843EFB"/>
    <w:rsid w:val="00847C0C"/>
    <w:rsid w:val="00850573"/>
    <w:rsid w:val="00860C95"/>
    <w:rsid w:val="00864FCC"/>
    <w:rsid w:val="008702F9"/>
    <w:rsid w:val="00870F69"/>
    <w:rsid w:val="00873D38"/>
    <w:rsid w:val="0087489D"/>
    <w:rsid w:val="00877CC9"/>
    <w:rsid w:val="00887BFB"/>
    <w:rsid w:val="00891CBB"/>
    <w:rsid w:val="00892D0A"/>
    <w:rsid w:val="00896D81"/>
    <w:rsid w:val="008A1637"/>
    <w:rsid w:val="008A1F19"/>
    <w:rsid w:val="008A2F22"/>
    <w:rsid w:val="008A4F83"/>
    <w:rsid w:val="008A5EF6"/>
    <w:rsid w:val="008B3816"/>
    <w:rsid w:val="008B575A"/>
    <w:rsid w:val="008C08AD"/>
    <w:rsid w:val="008C2105"/>
    <w:rsid w:val="008C2A4F"/>
    <w:rsid w:val="008C4074"/>
    <w:rsid w:val="008C4AD0"/>
    <w:rsid w:val="008D3962"/>
    <w:rsid w:val="008D4EDB"/>
    <w:rsid w:val="008D6C0F"/>
    <w:rsid w:val="008D6DDC"/>
    <w:rsid w:val="008D70E6"/>
    <w:rsid w:val="008D7106"/>
    <w:rsid w:val="008D76CC"/>
    <w:rsid w:val="008E6E2F"/>
    <w:rsid w:val="008F08AD"/>
    <w:rsid w:val="008F1B06"/>
    <w:rsid w:val="008F499B"/>
    <w:rsid w:val="008F4D03"/>
    <w:rsid w:val="008F7929"/>
    <w:rsid w:val="00904709"/>
    <w:rsid w:val="00930C5B"/>
    <w:rsid w:val="00931223"/>
    <w:rsid w:val="00931360"/>
    <w:rsid w:val="00933E4E"/>
    <w:rsid w:val="0093719E"/>
    <w:rsid w:val="009445A8"/>
    <w:rsid w:val="0094526E"/>
    <w:rsid w:val="0095156D"/>
    <w:rsid w:val="0095286D"/>
    <w:rsid w:val="00955267"/>
    <w:rsid w:val="009570E5"/>
    <w:rsid w:val="00960D19"/>
    <w:rsid w:val="0096156E"/>
    <w:rsid w:val="00964848"/>
    <w:rsid w:val="009659B4"/>
    <w:rsid w:val="00971589"/>
    <w:rsid w:val="00976A36"/>
    <w:rsid w:val="0097712D"/>
    <w:rsid w:val="00977EF1"/>
    <w:rsid w:val="00995A90"/>
    <w:rsid w:val="00995E08"/>
    <w:rsid w:val="00996028"/>
    <w:rsid w:val="009A0E56"/>
    <w:rsid w:val="009A1C3B"/>
    <w:rsid w:val="009A221A"/>
    <w:rsid w:val="009A3B62"/>
    <w:rsid w:val="009A4BEC"/>
    <w:rsid w:val="009B0BA8"/>
    <w:rsid w:val="009B2249"/>
    <w:rsid w:val="009B314D"/>
    <w:rsid w:val="009B48B1"/>
    <w:rsid w:val="009C219B"/>
    <w:rsid w:val="009C2320"/>
    <w:rsid w:val="009D0A2E"/>
    <w:rsid w:val="009E6C2E"/>
    <w:rsid w:val="009E70EE"/>
    <w:rsid w:val="009E7348"/>
    <w:rsid w:val="009F1AD2"/>
    <w:rsid w:val="00A01D29"/>
    <w:rsid w:val="00A11EF7"/>
    <w:rsid w:val="00A14D1A"/>
    <w:rsid w:val="00A15F67"/>
    <w:rsid w:val="00A17381"/>
    <w:rsid w:val="00A253AC"/>
    <w:rsid w:val="00A32085"/>
    <w:rsid w:val="00A4185F"/>
    <w:rsid w:val="00A433CA"/>
    <w:rsid w:val="00A44D6A"/>
    <w:rsid w:val="00A45D60"/>
    <w:rsid w:val="00A565D3"/>
    <w:rsid w:val="00A62084"/>
    <w:rsid w:val="00A63B26"/>
    <w:rsid w:val="00A700D3"/>
    <w:rsid w:val="00A75589"/>
    <w:rsid w:val="00A75C76"/>
    <w:rsid w:val="00A83404"/>
    <w:rsid w:val="00A854A7"/>
    <w:rsid w:val="00A869A6"/>
    <w:rsid w:val="00A86EB9"/>
    <w:rsid w:val="00A91C66"/>
    <w:rsid w:val="00A947AB"/>
    <w:rsid w:val="00AA1B3D"/>
    <w:rsid w:val="00AA1D98"/>
    <w:rsid w:val="00AA7564"/>
    <w:rsid w:val="00AB044B"/>
    <w:rsid w:val="00AB2975"/>
    <w:rsid w:val="00AB4735"/>
    <w:rsid w:val="00AC1F96"/>
    <w:rsid w:val="00AC7058"/>
    <w:rsid w:val="00AD0278"/>
    <w:rsid w:val="00AD4302"/>
    <w:rsid w:val="00AF5C37"/>
    <w:rsid w:val="00AF69F5"/>
    <w:rsid w:val="00B03142"/>
    <w:rsid w:val="00B036E1"/>
    <w:rsid w:val="00B046F1"/>
    <w:rsid w:val="00B049A0"/>
    <w:rsid w:val="00B052DC"/>
    <w:rsid w:val="00B07CDA"/>
    <w:rsid w:val="00B12B39"/>
    <w:rsid w:val="00B15B09"/>
    <w:rsid w:val="00B178D4"/>
    <w:rsid w:val="00B230F5"/>
    <w:rsid w:val="00B24AED"/>
    <w:rsid w:val="00B24D91"/>
    <w:rsid w:val="00B2603B"/>
    <w:rsid w:val="00B27158"/>
    <w:rsid w:val="00B3450A"/>
    <w:rsid w:val="00B35793"/>
    <w:rsid w:val="00B43073"/>
    <w:rsid w:val="00B45F27"/>
    <w:rsid w:val="00B5647F"/>
    <w:rsid w:val="00B616F8"/>
    <w:rsid w:val="00B6795C"/>
    <w:rsid w:val="00B713FB"/>
    <w:rsid w:val="00B73363"/>
    <w:rsid w:val="00B77479"/>
    <w:rsid w:val="00B77730"/>
    <w:rsid w:val="00B816BA"/>
    <w:rsid w:val="00B819CE"/>
    <w:rsid w:val="00B822B5"/>
    <w:rsid w:val="00B82C6A"/>
    <w:rsid w:val="00B86366"/>
    <w:rsid w:val="00B864AF"/>
    <w:rsid w:val="00B8771B"/>
    <w:rsid w:val="00B930A1"/>
    <w:rsid w:val="00B957C3"/>
    <w:rsid w:val="00B97469"/>
    <w:rsid w:val="00BA623F"/>
    <w:rsid w:val="00BB5599"/>
    <w:rsid w:val="00BB56ED"/>
    <w:rsid w:val="00BC0E7F"/>
    <w:rsid w:val="00BC19C0"/>
    <w:rsid w:val="00BC27AC"/>
    <w:rsid w:val="00BC3D1C"/>
    <w:rsid w:val="00BC7881"/>
    <w:rsid w:val="00BC7E3A"/>
    <w:rsid w:val="00BD4730"/>
    <w:rsid w:val="00BE120D"/>
    <w:rsid w:val="00BE425C"/>
    <w:rsid w:val="00BE68D3"/>
    <w:rsid w:val="00BE77CE"/>
    <w:rsid w:val="00C0205C"/>
    <w:rsid w:val="00C065B1"/>
    <w:rsid w:val="00C12236"/>
    <w:rsid w:val="00C162D4"/>
    <w:rsid w:val="00C16764"/>
    <w:rsid w:val="00C325B7"/>
    <w:rsid w:val="00C40C9E"/>
    <w:rsid w:val="00C44BD8"/>
    <w:rsid w:val="00C506C8"/>
    <w:rsid w:val="00C50EC9"/>
    <w:rsid w:val="00C51A48"/>
    <w:rsid w:val="00C53913"/>
    <w:rsid w:val="00C6008C"/>
    <w:rsid w:val="00C61717"/>
    <w:rsid w:val="00C67336"/>
    <w:rsid w:val="00C70DB9"/>
    <w:rsid w:val="00C716F1"/>
    <w:rsid w:val="00C75E2B"/>
    <w:rsid w:val="00C8157F"/>
    <w:rsid w:val="00C836F4"/>
    <w:rsid w:val="00C84486"/>
    <w:rsid w:val="00C84753"/>
    <w:rsid w:val="00C86C24"/>
    <w:rsid w:val="00C9262F"/>
    <w:rsid w:val="00C92C67"/>
    <w:rsid w:val="00C930CC"/>
    <w:rsid w:val="00CA38E8"/>
    <w:rsid w:val="00CA4342"/>
    <w:rsid w:val="00CA6D4F"/>
    <w:rsid w:val="00CB1CFA"/>
    <w:rsid w:val="00CB3AF3"/>
    <w:rsid w:val="00CB3B23"/>
    <w:rsid w:val="00CB699E"/>
    <w:rsid w:val="00CC1C1B"/>
    <w:rsid w:val="00CC56E0"/>
    <w:rsid w:val="00CC7638"/>
    <w:rsid w:val="00CC7EC5"/>
    <w:rsid w:val="00CD1A4C"/>
    <w:rsid w:val="00CD257B"/>
    <w:rsid w:val="00CD4A47"/>
    <w:rsid w:val="00CD4A50"/>
    <w:rsid w:val="00CE71D7"/>
    <w:rsid w:val="00CF16AE"/>
    <w:rsid w:val="00CF1CBE"/>
    <w:rsid w:val="00CF2A71"/>
    <w:rsid w:val="00CF3B48"/>
    <w:rsid w:val="00CF4303"/>
    <w:rsid w:val="00CF545C"/>
    <w:rsid w:val="00D0034B"/>
    <w:rsid w:val="00D017D1"/>
    <w:rsid w:val="00D10153"/>
    <w:rsid w:val="00D15DD3"/>
    <w:rsid w:val="00D16304"/>
    <w:rsid w:val="00D168CD"/>
    <w:rsid w:val="00D20F0D"/>
    <w:rsid w:val="00D21E3C"/>
    <w:rsid w:val="00D233B0"/>
    <w:rsid w:val="00D25C98"/>
    <w:rsid w:val="00D34DB2"/>
    <w:rsid w:val="00D3761D"/>
    <w:rsid w:val="00D421EE"/>
    <w:rsid w:val="00D460F2"/>
    <w:rsid w:val="00D46414"/>
    <w:rsid w:val="00D50D78"/>
    <w:rsid w:val="00D51249"/>
    <w:rsid w:val="00D61100"/>
    <w:rsid w:val="00D64D81"/>
    <w:rsid w:val="00D70A32"/>
    <w:rsid w:val="00D7128C"/>
    <w:rsid w:val="00D7170B"/>
    <w:rsid w:val="00D72DB8"/>
    <w:rsid w:val="00D80323"/>
    <w:rsid w:val="00D80C41"/>
    <w:rsid w:val="00D84A1D"/>
    <w:rsid w:val="00D85032"/>
    <w:rsid w:val="00D85CDD"/>
    <w:rsid w:val="00D87C79"/>
    <w:rsid w:val="00D905A8"/>
    <w:rsid w:val="00DA3DF2"/>
    <w:rsid w:val="00DA763A"/>
    <w:rsid w:val="00DA7C34"/>
    <w:rsid w:val="00DC0584"/>
    <w:rsid w:val="00DC11B7"/>
    <w:rsid w:val="00DC66C1"/>
    <w:rsid w:val="00DD1336"/>
    <w:rsid w:val="00DD24E8"/>
    <w:rsid w:val="00DD5391"/>
    <w:rsid w:val="00DD664F"/>
    <w:rsid w:val="00DE37A3"/>
    <w:rsid w:val="00DE50C1"/>
    <w:rsid w:val="00DF0124"/>
    <w:rsid w:val="00DF78BF"/>
    <w:rsid w:val="00DF7D73"/>
    <w:rsid w:val="00DF7E98"/>
    <w:rsid w:val="00E047BF"/>
    <w:rsid w:val="00E05E3F"/>
    <w:rsid w:val="00E1190E"/>
    <w:rsid w:val="00E11E01"/>
    <w:rsid w:val="00E14285"/>
    <w:rsid w:val="00E15A9F"/>
    <w:rsid w:val="00E160A9"/>
    <w:rsid w:val="00E237DB"/>
    <w:rsid w:val="00E24007"/>
    <w:rsid w:val="00E263DD"/>
    <w:rsid w:val="00E266B3"/>
    <w:rsid w:val="00E30218"/>
    <w:rsid w:val="00E330BE"/>
    <w:rsid w:val="00E3312D"/>
    <w:rsid w:val="00E34FDA"/>
    <w:rsid w:val="00E42303"/>
    <w:rsid w:val="00E42879"/>
    <w:rsid w:val="00E432D1"/>
    <w:rsid w:val="00E45C70"/>
    <w:rsid w:val="00E46CDA"/>
    <w:rsid w:val="00E51464"/>
    <w:rsid w:val="00E53B08"/>
    <w:rsid w:val="00E54BC6"/>
    <w:rsid w:val="00E61364"/>
    <w:rsid w:val="00E62DAC"/>
    <w:rsid w:val="00E63027"/>
    <w:rsid w:val="00E72886"/>
    <w:rsid w:val="00E72E3C"/>
    <w:rsid w:val="00E76F49"/>
    <w:rsid w:val="00E77917"/>
    <w:rsid w:val="00E8237D"/>
    <w:rsid w:val="00E831F0"/>
    <w:rsid w:val="00E93EA8"/>
    <w:rsid w:val="00E96D6A"/>
    <w:rsid w:val="00EA0D56"/>
    <w:rsid w:val="00EA11A8"/>
    <w:rsid w:val="00EA51CD"/>
    <w:rsid w:val="00EA5D0A"/>
    <w:rsid w:val="00EA7434"/>
    <w:rsid w:val="00EB48C6"/>
    <w:rsid w:val="00EC0B5B"/>
    <w:rsid w:val="00EC398B"/>
    <w:rsid w:val="00EE0C35"/>
    <w:rsid w:val="00EE524A"/>
    <w:rsid w:val="00EF0183"/>
    <w:rsid w:val="00EF0CA4"/>
    <w:rsid w:val="00EF1E8E"/>
    <w:rsid w:val="00EF4D1A"/>
    <w:rsid w:val="00EF54DF"/>
    <w:rsid w:val="00EF5AC0"/>
    <w:rsid w:val="00EF66ED"/>
    <w:rsid w:val="00F061A3"/>
    <w:rsid w:val="00F06A08"/>
    <w:rsid w:val="00F127BD"/>
    <w:rsid w:val="00F15B81"/>
    <w:rsid w:val="00F2059A"/>
    <w:rsid w:val="00F26654"/>
    <w:rsid w:val="00F273EC"/>
    <w:rsid w:val="00F2796C"/>
    <w:rsid w:val="00F27A39"/>
    <w:rsid w:val="00F31589"/>
    <w:rsid w:val="00F31964"/>
    <w:rsid w:val="00F323DA"/>
    <w:rsid w:val="00F3296A"/>
    <w:rsid w:val="00F420BA"/>
    <w:rsid w:val="00F441B3"/>
    <w:rsid w:val="00F51D64"/>
    <w:rsid w:val="00F5484B"/>
    <w:rsid w:val="00F5594A"/>
    <w:rsid w:val="00F619AB"/>
    <w:rsid w:val="00F76A0C"/>
    <w:rsid w:val="00F7729E"/>
    <w:rsid w:val="00F851F1"/>
    <w:rsid w:val="00F85A67"/>
    <w:rsid w:val="00F90056"/>
    <w:rsid w:val="00F90C90"/>
    <w:rsid w:val="00F9155A"/>
    <w:rsid w:val="00F931FD"/>
    <w:rsid w:val="00FA0D89"/>
    <w:rsid w:val="00FA12A2"/>
    <w:rsid w:val="00FA4BFC"/>
    <w:rsid w:val="00FA5552"/>
    <w:rsid w:val="00FA55A8"/>
    <w:rsid w:val="00FA6F8C"/>
    <w:rsid w:val="00FB184A"/>
    <w:rsid w:val="00FB2970"/>
    <w:rsid w:val="00FB4A5D"/>
    <w:rsid w:val="00FC076E"/>
    <w:rsid w:val="00FC444E"/>
    <w:rsid w:val="00FC5093"/>
    <w:rsid w:val="00FD6EBB"/>
    <w:rsid w:val="00FD75B7"/>
    <w:rsid w:val="00FE1B9D"/>
    <w:rsid w:val="00FE291F"/>
    <w:rsid w:val="00FE417C"/>
    <w:rsid w:val="00FF59D5"/>
    <w:rsid w:val="00FF7762"/>
    <w:rsid w:val="00FF7B96"/>
    <w:rsid w:val="010065EF"/>
    <w:rsid w:val="01313FD0"/>
    <w:rsid w:val="0196516C"/>
    <w:rsid w:val="01D97881"/>
    <w:rsid w:val="01E01E9D"/>
    <w:rsid w:val="020D098D"/>
    <w:rsid w:val="02C136CC"/>
    <w:rsid w:val="02C43AF3"/>
    <w:rsid w:val="030D0B94"/>
    <w:rsid w:val="039C5ACF"/>
    <w:rsid w:val="04103826"/>
    <w:rsid w:val="04824684"/>
    <w:rsid w:val="04840C0D"/>
    <w:rsid w:val="04845DB3"/>
    <w:rsid w:val="05CA5FD9"/>
    <w:rsid w:val="05E72082"/>
    <w:rsid w:val="06022A08"/>
    <w:rsid w:val="06306593"/>
    <w:rsid w:val="06441FC7"/>
    <w:rsid w:val="06B24F6B"/>
    <w:rsid w:val="06BE5C87"/>
    <w:rsid w:val="06CC7A48"/>
    <w:rsid w:val="06D43180"/>
    <w:rsid w:val="07407C10"/>
    <w:rsid w:val="07826256"/>
    <w:rsid w:val="07FB0093"/>
    <w:rsid w:val="083906E4"/>
    <w:rsid w:val="08612441"/>
    <w:rsid w:val="08664EA3"/>
    <w:rsid w:val="08D210EA"/>
    <w:rsid w:val="092014DD"/>
    <w:rsid w:val="0921663A"/>
    <w:rsid w:val="09814CCE"/>
    <w:rsid w:val="099C6D52"/>
    <w:rsid w:val="09A93058"/>
    <w:rsid w:val="09B30921"/>
    <w:rsid w:val="09B54AE3"/>
    <w:rsid w:val="09CA7A0E"/>
    <w:rsid w:val="09D700F7"/>
    <w:rsid w:val="09DD4D2C"/>
    <w:rsid w:val="0A0A40E0"/>
    <w:rsid w:val="0A2031F5"/>
    <w:rsid w:val="0A475BB3"/>
    <w:rsid w:val="0A4870E3"/>
    <w:rsid w:val="0A517C19"/>
    <w:rsid w:val="0A5F1225"/>
    <w:rsid w:val="0A8B540F"/>
    <w:rsid w:val="0A9775D2"/>
    <w:rsid w:val="0B027749"/>
    <w:rsid w:val="0B87365B"/>
    <w:rsid w:val="0BB164DE"/>
    <w:rsid w:val="0BEF7252"/>
    <w:rsid w:val="0C02529C"/>
    <w:rsid w:val="0C185990"/>
    <w:rsid w:val="0C5057D3"/>
    <w:rsid w:val="0C7D0A7D"/>
    <w:rsid w:val="0C812CF8"/>
    <w:rsid w:val="0CD56B4F"/>
    <w:rsid w:val="0DBD6E05"/>
    <w:rsid w:val="0DE52C62"/>
    <w:rsid w:val="0DF778E9"/>
    <w:rsid w:val="0E63740D"/>
    <w:rsid w:val="0E9F3FFA"/>
    <w:rsid w:val="0EB27237"/>
    <w:rsid w:val="0EEC5EBD"/>
    <w:rsid w:val="0F763CFC"/>
    <w:rsid w:val="0F9E0C47"/>
    <w:rsid w:val="102B1773"/>
    <w:rsid w:val="106C490A"/>
    <w:rsid w:val="107D325D"/>
    <w:rsid w:val="108D3999"/>
    <w:rsid w:val="109707D1"/>
    <w:rsid w:val="10A27663"/>
    <w:rsid w:val="10A278A6"/>
    <w:rsid w:val="10AD2C42"/>
    <w:rsid w:val="10BF01A4"/>
    <w:rsid w:val="10F24455"/>
    <w:rsid w:val="11870A96"/>
    <w:rsid w:val="11874286"/>
    <w:rsid w:val="1200794F"/>
    <w:rsid w:val="12126FA9"/>
    <w:rsid w:val="12BF0B17"/>
    <w:rsid w:val="12D946F8"/>
    <w:rsid w:val="130B68AB"/>
    <w:rsid w:val="133B19B9"/>
    <w:rsid w:val="13515880"/>
    <w:rsid w:val="135F0791"/>
    <w:rsid w:val="13612E45"/>
    <w:rsid w:val="13A22B12"/>
    <w:rsid w:val="13DF79B0"/>
    <w:rsid w:val="14187FF1"/>
    <w:rsid w:val="1447160A"/>
    <w:rsid w:val="148505ED"/>
    <w:rsid w:val="14C81E24"/>
    <w:rsid w:val="1535537A"/>
    <w:rsid w:val="155249DC"/>
    <w:rsid w:val="15895BC0"/>
    <w:rsid w:val="158B7CF9"/>
    <w:rsid w:val="15932ADB"/>
    <w:rsid w:val="15B14C95"/>
    <w:rsid w:val="15B75C8F"/>
    <w:rsid w:val="15D8624A"/>
    <w:rsid w:val="15D942BC"/>
    <w:rsid w:val="160A4C42"/>
    <w:rsid w:val="16534644"/>
    <w:rsid w:val="16D50798"/>
    <w:rsid w:val="16F6579E"/>
    <w:rsid w:val="179661CA"/>
    <w:rsid w:val="185E299E"/>
    <w:rsid w:val="190F7D13"/>
    <w:rsid w:val="19105452"/>
    <w:rsid w:val="1911403D"/>
    <w:rsid w:val="19452F26"/>
    <w:rsid w:val="19D47052"/>
    <w:rsid w:val="19E3473B"/>
    <w:rsid w:val="1A295956"/>
    <w:rsid w:val="1A507EC6"/>
    <w:rsid w:val="1A692747"/>
    <w:rsid w:val="1ABF1CD6"/>
    <w:rsid w:val="1AD03F59"/>
    <w:rsid w:val="1ADB2A9A"/>
    <w:rsid w:val="1B2808DC"/>
    <w:rsid w:val="1B2F7392"/>
    <w:rsid w:val="1B5730D1"/>
    <w:rsid w:val="1BF139FB"/>
    <w:rsid w:val="1C545869"/>
    <w:rsid w:val="1C955AAD"/>
    <w:rsid w:val="1CED04EA"/>
    <w:rsid w:val="1D043DCD"/>
    <w:rsid w:val="1E1A73A3"/>
    <w:rsid w:val="1F2A63D6"/>
    <w:rsid w:val="20273223"/>
    <w:rsid w:val="202C3B95"/>
    <w:rsid w:val="20DB5E81"/>
    <w:rsid w:val="20F10AEA"/>
    <w:rsid w:val="213E0143"/>
    <w:rsid w:val="21451D93"/>
    <w:rsid w:val="224C2E4F"/>
    <w:rsid w:val="224C2E50"/>
    <w:rsid w:val="226240D6"/>
    <w:rsid w:val="22BE25AF"/>
    <w:rsid w:val="22C76421"/>
    <w:rsid w:val="22C87003"/>
    <w:rsid w:val="22F5565A"/>
    <w:rsid w:val="23195674"/>
    <w:rsid w:val="236E4DAF"/>
    <w:rsid w:val="244804EB"/>
    <w:rsid w:val="24FD3608"/>
    <w:rsid w:val="251E7C23"/>
    <w:rsid w:val="252305A1"/>
    <w:rsid w:val="2530147C"/>
    <w:rsid w:val="255A78DB"/>
    <w:rsid w:val="25752DB0"/>
    <w:rsid w:val="25862913"/>
    <w:rsid w:val="25C008C4"/>
    <w:rsid w:val="25FC5958"/>
    <w:rsid w:val="261B4C23"/>
    <w:rsid w:val="2679637D"/>
    <w:rsid w:val="26F82B0F"/>
    <w:rsid w:val="27026732"/>
    <w:rsid w:val="27226191"/>
    <w:rsid w:val="27251CE3"/>
    <w:rsid w:val="27A6150F"/>
    <w:rsid w:val="27E46719"/>
    <w:rsid w:val="27F76530"/>
    <w:rsid w:val="28493558"/>
    <w:rsid w:val="2856119C"/>
    <w:rsid w:val="28BC2F38"/>
    <w:rsid w:val="28BC6713"/>
    <w:rsid w:val="290825CB"/>
    <w:rsid w:val="29115F75"/>
    <w:rsid w:val="292A7786"/>
    <w:rsid w:val="29562DDA"/>
    <w:rsid w:val="29664B00"/>
    <w:rsid w:val="2979449D"/>
    <w:rsid w:val="297F7E2F"/>
    <w:rsid w:val="29AB6575"/>
    <w:rsid w:val="29B24F17"/>
    <w:rsid w:val="29CD5A7A"/>
    <w:rsid w:val="29E85035"/>
    <w:rsid w:val="2A342AA0"/>
    <w:rsid w:val="2A734BE3"/>
    <w:rsid w:val="2B46704F"/>
    <w:rsid w:val="2B823CDA"/>
    <w:rsid w:val="2B8A54C2"/>
    <w:rsid w:val="2BD365C1"/>
    <w:rsid w:val="2BE57EEF"/>
    <w:rsid w:val="2BE754F6"/>
    <w:rsid w:val="2C6C67F6"/>
    <w:rsid w:val="2C9564CE"/>
    <w:rsid w:val="2C9A6332"/>
    <w:rsid w:val="2CB26941"/>
    <w:rsid w:val="2CD63176"/>
    <w:rsid w:val="2CE800A6"/>
    <w:rsid w:val="2CEE67E5"/>
    <w:rsid w:val="2D631A10"/>
    <w:rsid w:val="2D9A6256"/>
    <w:rsid w:val="2DA26587"/>
    <w:rsid w:val="2DA72326"/>
    <w:rsid w:val="2DDC5B33"/>
    <w:rsid w:val="2EF05453"/>
    <w:rsid w:val="2F362FEA"/>
    <w:rsid w:val="2F73773E"/>
    <w:rsid w:val="2FCF1EF3"/>
    <w:rsid w:val="30017825"/>
    <w:rsid w:val="30090570"/>
    <w:rsid w:val="30140464"/>
    <w:rsid w:val="301F6739"/>
    <w:rsid w:val="320C06AF"/>
    <w:rsid w:val="32137499"/>
    <w:rsid w:val="325E24F5"/>
    <w:rsid w:val="326B0D45"/>
    <w:rsid w:val="328F4FD5"/>
    <w:rsid w:val="32FD258E"/>
    <w:rsid w:val="33AC2595"/>
    <w:rsid w:val="33D02339"/>
    <w:rsid w:val="33E07F36"/>
    <w:rsid w:val="34320CBB"/>
    <w:rsid w:val="34515A1F"/>
    <w:rsid w:val="351860B1"/>
    <w:rsid w:val="35591561"/>
    <w:rsid w:val="35665A64"/>
    <w:rsid w:val="35A307CF"/>
    <w:rsid w:val="35E52012"/>
    <w:rsid w:val="36492752"/>
    <w:rsid w:val="364B79D5"/>
    <w:rsid w:val="36884386"/>
    <w:rsid w:val="368F66A8"/>
    <w:rsid w:val="37213676"/>
    <w:rsid w:val="37236DE0"/>
    <w:rsid w:val="372F0325"/>
    <w:rsid w:val="37970B47"/>
    <w:rsid w:val="37C56385"/>
    <w:rsid w:val="37F83280"/>
    <w:rsid w:val="38275905"/>
    <w:rsid w:val="390F2B9F"/>
    <w:rsid w:val="391B2008"/>
    <w:rsid w:val="39CD6A2F"/>
    <w:rsid w:val="3ADC113A"/>
    <w:rsid w:val="3AEC7674"/>
    <w:rsid w:val="3B4071E9"/>
    <w:rsid w:val="3B4E0577"/>
    <w:rsid w:val="3B58175D"/>
    <w:rsid w:val="3B691605"/>
    <w:rsid w:val="3B846989"/>
    <w:rsid w:val="3B9923D1"/>
    <w:rsid w:val="3C2F1BB1"/>
    <w:rsid w:val="3C8C4521"/>
    <w:rsid w:val="3CA00DC2"/>
    <w:rsid w:val="3CAA2415"/>
    <w:rsid w:val="3CD522D1"/>
    <w:rsid w:val="3D0B2D9F"/>
    <w:rsid w:val="3D1F1B3A"/>
    <w:rsid w:val="3DB440F0"/>
    <w:rsid w:val="3DE513DC"/>
    <w:rsid w:val="3DF20B0A"/>
    <w:rsid w:val="3DFB7A96"/>
    <w:rsid w:val="3E050238"/>
    <w:rsid w:val="3E545118"/>
    <w:rsid w:val="3EA50899"/>
    <w:rsid w:val="3EF50D98"/>
    <w:rsid w:val="3EFB53E8"/>
    <w:rsid w:val="3F64792D"/>
    <w:rsid w:val="3FB13CAF"/>
    <w:rsid w:val="3FB7421E"/>
    <w:rsid w:val="3FC226FF"/>
    <w:rsid w:val="3FDC06EE"/>
    <w:rsid w:val="403D7F49"/>
    <w:rsid w:val="41097A04"/>
    <w:rsid w:val="41181748"/>
    <w:rsid w:val="411B3CF9"/>
    <w:rsid w:val="41231198"/>
    <w:rsid w:val="4128270E"/>
    <w:rsid w:val="4142309A"/>
    <w:rsid w:val="41B57CEE"/>
    <w:rsid w:val="4204496B"/>
    <w:rsid w:val="421E6C87"/>
    <w:rsid w:val="42526BD8"/>
    <w:rsid w:val="42560574"/>
    <w:rsid w:val="42B4278E"/>
    <w:rsid w:val="42B86D73"/>
    <w:rsid w:val="436F671D"/>
    <w:rsid w:val="438F417C"/>
    <w:rsid w:val="43C258B2"/>
    <w:rsid w:val="43D023F5"/>
    <w:rsid w:val="443F1ACD"/>
    <w:rsid w:val="444940B8"/>
    <w:rsid w:val="44544826"/>
    <w:rsid w:val="44F574A9"/>
    <w:rsid w:val="45224F2A"/>
    <w:rsid w:val="458F221E"/>
    <w:rsid w:val="45997CA6"/>
    <w:rsid w:val="45EB1E9E"/>
    <w:rsid w:val="461C3A20"/>
    <w:rsid w:val="46215F7A"/>
    <w:rsid w:val="46241658"/>
    <w:rsid w:val="463D4662"/>
    <w:rsid w:val="464120C1"/>
    <w:rsid w:val="46670527"/>
    <w:rsid w:val="466D1D74"/>
    <w:rsid w:val="46B874E2"/>
    <w:rsid w:val="46D53D45"/>
    <w:rsid w:val="46E61DF5"/>
    <w:rsid w:val="471D6E98"/>
    <w:rsid w:val="47225FD2"/>
    <w:rsid w:val="47531219"/>
    <w:rsid w:val="47B06CE1"/>
    <w:rsid w:val="489F7B06"/>
    <w:rsid w:val="48AC14C2"/>
    <w:rsid w:val="48D44F98"/>
    <w:rsid w:val="49095D97"/>
    <w:rsid w:val="49725101"/>
    <w:rsid w:val="497C435F"/>
    <w:rsid w:val="4A4356B2"/>
    <w:rsid w:val="4A772217"/>
    <w:rsid w:val="4B6F0727"/>
    <w:rsid w:val="4B7F2BC0"/>
    <w:rsid w:val="4BAA7BE0"/>
    <w:rsid w:val="4BD73618"/>
    <w:rsid w:val="4BE9268B"/>
    <w:rsid w:val="4BF648D7"/>
    <w:rsid w:val="4C135C1A"/>
    <w:rsid w:val="4C9F44A6"/>
    <w:rsid w:val="4CDD3498"/>
    <w:rsid w:val="4CFD6C6B"/>
    <w:rsid w:val="4D9C4A59"/>
    <w:rsid w:val="4DD52D06"/>
    <w:rsid w:val="4DDF1D82"/>
    <w:rsid w:val="4DE525CC"/>
    <w:rsid w:val="4DEA18F7"/>
    <w:rsid w:val="4E322F89"/>
    <w:rsid w:val="4E8106DF"/>
    <w:rsid w:val="4E820176"/>
    <w:rsid w:val="4EE12D4D"/>
    <w:rsid w:val="4EFA2C5F"/>
    <w:rsid w:val="4F1C3919"/>
    <w:rsid w:val="4F5E6D52"/>
    <w:rsid w:val="4F655C1B"/>
    <w:rsid w:val="4F7A735E"/>
    <w:rsid w:val="4FE97FC6"/>
    <w:rsid w:val="50086337"/>
    <w:rsid w:val="506E38B0"/>
    <w:rsid w:val="506F3074"/>
    <w:rsid w:val="50AD08C5"/>
    <w:rsid w:val="50F265BC"/>
    <w:rsid w:val="50F83E2B"/>
    <w:rsid w:val="51A11F53"/>
    <w:rsid w:val="51E67039"/>
    <w:rsid w:val="521E3238"/>
    <w:rsid w:val="529910E8"/>
    <w:rsid w:val="52AE3829"/>
    <w:rsid w:val="52C57A50"/>
    <w:rsid w:val="52EB43FD"/>
    <w:rsid w:val="52FC6D0F"/>
    <w:rsid w:val="537624C4"/>
    <w:rsid w:val="53D6364C"/>
    <w:rsid w:val="541157D5"/>
    <w:rsid w:val="54613EDC"/>
    <w:rsid w:val="54716DD2"/>
    <w:rsid w:val="547D2605"/>
    <w:rsid w:val="54AA764A"/>
    <w:rsid w:val="54D33EA6"/>
    <w:rsid w:val="55355708"/>
    <w:rsid w:val="554B5645"/>
    <w:rsid w:val="55677F4E"/>
    <w:rsid w:val="558B28BD"/>
    <w:rsid w:val="55E4174F"/>
    <w:rsid w:val="55FA4E16"/>
    <w:rsid w:val="55FD0E96"/>
    <w:rsid w:val="55FD3682"/>
    <w:rsid w:val="560E5C89"/>
    <w:rsid w:val="56D67B97"/>
    <w:rsid w:val="56DB6DD8"/>
    <w:rsid w:val="56E82267"/>
    <w:rsid w:val="56ED1532"/>
    <w:rsid w:val="574B0E6D"/>
    <w:rsid w:val="576240A4"/>
    <w:rsid w:val="578A6471"/>
    <w:rsid w:val="578E5989"/>
    <w:rsid w:val="57C241B7"/>
    <w:rsid w:val="58324BBC"/>
    <w:rsid w:val="584E65AD"/>
    <w:rsid w:val="589B40AC"/>
    <w:rsid w:val="58C42F46"/>
    <w:rsid w:val="58E87C56"/>
    <w:rsid w:val="59505000"/>
    <w:rsid w:val="59596182"/>
    <w:rsid w:val="595970FB"/>
    <w:rsid w:val="5965576B"/>
    <w:rsid w:val="5972640D"/>
    <w:rsid w:val="59937236"/>
    <w:rsid w:val="59CD7927"/>
    <w:rsid w:val="59DB4D4D"/>
    <w:rsid w:val="59DD44F1"/>
    <w:rsid w:val="5AD10A70"/>
    <w:rsid w:val="5B082D2A"/>
    <w:rsid w:val="5B485F78"/>
    <w:rsid w:val="5BD2320B"/>
    <w:rsid w:val="5C26335D"/>
    <w:rsid w:val="5CE12C2D"/>
    <w:rsid w:val="5D502944"/>
    <w:rsid w:val="5D59604B"/>
    <w:rsid w:val="5D600561"/>
    <w:rsid w:val="5DF61620"/>
    <w:rsid w:val="5E234EF0"/>
    <w:rsid w:val="5E8C1305"/>
    <w:rsid w:val="5EAB1BC0"/>
    <w:rsid w:val="5ECE5BEC"/>
    <w:rsid w:val="5EDA299D"/>
    <w:rsid w:val="5F182C00"/>
    <w:rsid w:val="5F7E1EC5"/>
    <w:rsid w:val="5FDD1092"/>
    <w:rsid w:val="60395AF1"/>
    <w:rsid w:val="608C5016"/>
    <w:rsid w:val="61034060"/>
    <w:rsid w:val="616B5959"/>
    <w:rsid w:val="62AE3F5C"/>
    <w:rsid w:val="62B31FC9"/>
    <w:rsid w:val="62B340C9"/>
    <w:rsid w:val="63870B52"/>
    <w:rsid w:val="63C444A7"/>
    <w:rsid w:val="63CC0472"/>
    <w:rsid w:val="643D3054"/>
    <w:rsid w:val="64526A21"/>
    <w:rsid w:val="6460116A"/>
    <w:rsid w:val="64877639"/>
    <w:rsid w:val="649811DC"/>
    <w:rsid w:val="64CD6707"/>
    <w:rsid w:val="6574089B"/>
    <w:rsid w:val="65805F3F"/>
    <w:rsid w:val="6598790F"/>
    <w:rsid w:val="65C50CB1"/>
    <w:rsid w:val="66783CFA"/>
    <w:rsid w:val="672330FE"/>
    <w:rsid w:val="67894CCB"/>
    <w:rsid w:val="6792716B"/>
    <w:rsid w:val="67AD7B3B"/>
    <w:rsid w:val="67B41D4F"/>
    <w:rsid w:val="67D75B7A"/>
    <w:rsid w:val="6816772B"/>
    <w:rsid w:val="68213A12"/>
    <w:rsid w:val="68E755FA"/>
    <w:rsid w:val="69133911"/>
    <w:rsid w:val="69602A7C"/>
    <w:rsid w:val="696657A2"/>
    <w:rsid w:val="6A4C14CC"/>
    <w:rsid w:val="6A672459"/>
    <w:rsid w:val="6A795BED"/>
    <w:rsid w:val="6A942176"/>
    <w:rsid w:val="6B2B6FA4"/>
    <w:rsid w:val="6B3D1106"/>
    <w:rsid w:val="6B4F3CF2"/>
    <w:rsid w:val="6BDB4DEC"/>
    <w:rsid w:val="6C0B2E9E"/>
    <w:rsid w:val="6C235955"/>
    <w:rsid w:val="6C511F53"/>
    <w:rsid w:val="6D355B56"/>
    <w:rsid w:val="6D4451DE"/>
    <w:rsid w:val="6D455643"/>
    <w:rsid w:val="6D96501B"/>
    <w:rsid w:val="6DC672E4"/>
    <w:rsid w:val="6DD678BF"/>
    <w:rsid w:val="6E483EDD"/>
    <w:rsid w:val="6E6263D9"/>
    <w:rsid w:val="6EB70ADA"/>
    <w:rsid w:val="6EDB6E88"/>
    <w:rsid w:val="6F0E3000"/>
    <w:rsid w:val="6F180072"/>
    <w:rsid w:val="6F1F1918"/>
    <w:rsid w:val="6F7D1D35"/>
    <w:rsid w:val="6F8D537F"/>
    <w:rsid w:val="6F8E72C9"/>
    <w:rsid w:val="6FAE090D"/>
    <w:rsid w:val="6FC94426"/>
    <w:rsid w:val="70146207"/>
    <w:rsid w:val="702C2AAD"/>
    <w:rsid w:val="70675E0C"/>
    <w:rsid w:val="708F7DE6"/>
    <w:rsid w:val="709C081C"/>
    <w:rsid w:val="70F022D5"/>
    <w:rsid w:val="70F43938"/>
    <w:rsid w:val="716513B4"/>
    <w:rsid w:val="71E45391"/>
    <w:rsid w:val="73845205"/>
    <w:rsid w:val="739D0A02"/>
    <w:rsid w:val="73F04B04"/>
    <w:rsid w:val="73F919C8"/>
    <w:rsid w:val="744D42D6"/>
    <w:rsid w:val="74CC0B1A"/>
    <w:rsid w:val="75A1348E"/>
    <w:rsid w:val="75D414FC"/>
    <w:rsid w:val="75F606EF"/>
    <w:rsid w:val="762C0FE2"/>
    <w:rsid w:val="767D7BCA"/>
    <w:rsid w:val="76884E7E"/>
    <w:rsid w:val="76A046E3"/>
    <w:rsid w:val="76BA5D67"/>
    <w:rsid w:val="770D7A18"/>
    <w:rsid w:val="777B3E7E"/>
    <w:rsid w:val="78417AC8"/>
    <w:rsid w:val="784B3BBC"/>
    <w:rsid w:val="7861659C"/>
    <w:rsid w:val="78A3161C"/>
    <w:rsid w:val="78BD5317"/>
    <w:rsid w:val="78DA66B6"/>
    <w:rsid w:val="795603D7"/>
    <w:rsid w:val="7AB31217"/>
    <w:rsid w:val="7BA607B1"/>
    <w:rsid w:val="7CC5475F"/>
    <w:rsid w:val="7CED44C7"/>
    <w:rsid w:val="7CF46E5D"/>
    <w:rsid w:val="7CFE20C5"/>
    <w:rsid w:val="7D1C7005"/>
    <w:rsid w:val="7E0D1E7B"/>
    <w:rsid w:val="7E21074A"/>
    <w:rsid w:val="7E210E80"/>
    <w:rsid w:val="7E42197B"/>
    <w:rsid w:val="7EAA72DF"/>
    <w:rsid w:val="7EDE5358"/>
    <w:rsid w:val="7F817C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40" w:lineRule="exact"/>
      <w:ind w:firstLine="200" w:firstLineChars="200"/>
      <w:jc w:val="both"/>
    </w:pPr>
    <w:rPr>
      <w:rFonts w:ascii="Times New Roman" w:hAnsi="Times New Roman" w:eastAsia="仿宋" w:cs="Times New Roman"/>
      <w:kern w:val="2"/>
      <w:sz w:val="30"/>
      <w:lang w:val="en-US" w:eastAsia="zh-CN" w:bidi="ar-SA"/>
    </w:rPr>
  </w:style>
  <w:style w:type="paragraph" w:styleId="2">
    <w:name w:val="heading 1"/>
    <w:basedOn w:val="1"/>
    <w:next w:val="1"/>
    <w:link w:val="13"/>
    <w:qFormat/>
    <w:uiPriority w:val="9"/>
    <w:pPr>
      <w:keepNext/>
      <w:keepLines/>
      <w:numPr>
        <w:ilvl w:val="0"/>
        <w:numId w:val="1"/>
      </w:numPr>
      <w:spacing w:beforeLines="100" w:afterLines="100" w:line="540" w:lineRule="atLeast"/>
      <w:ind w:firstLine="0" w:firstLineChars="0"/>
      <w:jc w:val="center"/>
      <w:outlineLvl w:val="0"/>
    </w:pPr>
    <w:rPr>
      <w:rFonts w:eastAsia="黑体"/>
      <w:b/>
      <w:bCs/>
      <w:kern w:val="44"/>
      <w:szCs w:val="44"/>
    </w:rPr>
  </w:style>
  <w:style w:type="paragraph" w:styleId="3">
    <w:name w:val="heading 2"/>
    <w:basedOn w:val="1"/>
    <w:next w:val="1"/>
    <w:link w:val="14"/>
    <w:semiHidden/>
    <w:unhideWhenUsed/>
    <w:qFormat/>
    <w:uiPriority w:val="9"/>
    <w:pPr>
      <w:keepNext/>
      <w:keepLines/>
      <w:spacing w:before="260" w:after="260" w:line="416" w:lineRule="atLeast"/>
      <w:outlineLvl w:val="1"/>
    </w:pPr>
    <w:rPr>
      <w:rFonts w:asciiTheme="majorHAnsi" w:hAnsiTheme="majorHAnsi" w:eastAsiaTheme="majorEastAsia" w:cstheme="majorBidi"/>
      <w:b/>
      <w:bCs/>
      <w:sz w:val="32"/>
      <w:szCs w:val="32"/>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Date"/>
    <w:basedOn w:val="1"/>
    <w:next w:val="1"/>
    <w:link w:val="15"/>
    <w:semiHidden/>
    <w:unhideWhenUsed/>
    <w:qFormat/>
    <w:uiPriority w:val="99"/>
    <w:pPr>
      <w:ind w:left="100" w:leftChars="2500"/>
    </w:pPr>
  </w:style>
  <w:style w:type="paragraph" w:styleId="5">
    <w:name w:val="Balloon Text"/>
    <w:basedOn w:val="1"/>
    <w:link w:val="16"/>
    <w:semiHidden/>
    <w:unhideWhenUsed/>
    <w:qFormat/>
    <w:uiPriority w:val="99"/>
    <w:pPr>
      <w:spacing w:line="240" w:lineRule="auto"/>
    </w:pPr>
    <w:rPr>
      <w:sz w:val="18"/>
      <w:szCs w:val="18"/>
    </w:rPr>
  </w:style>
  <w:style w:type="paragraph" w:styleId="6">
    <w:name w:val="footer"/>
    <w:basedOn w:val="1"/>
    <w:link w:val="17"/>
    <w:unhideWhenUsed/>
    <w:qFormat/>
    <w:uiPriority w:val="99"/>
    <w:pPr>
      <w:tabs>
        <w:tab w:val="center" w:pos="4153"/>
        <w:tab w:val="right" w:pos="8306"/>
      </w:tabs>
      <w:snapToGrid w:val="0"/>
      <w:jc w:val="left"/>
    </w:pPr>
    <w:rPr>
      <w:sz w:val="18"/>
      <w:szCs w:val="18"/>
    </w:rPr>
  </w:style>
  <w:style w:type="paragraph" w:styleId="7">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oc 1"/>
    <w:basedOn w:val="1"/>
    <w:next w:val="1"/>
    <w:unhideWhenUsed/>
    <w:qFormat/>
    <w:uiPriority w:val="39"/>
    <w:pPr>
      <w:tabs>
        <w:tab w:val="left" w:pos="1050"/>
        <w:tab w:val="right" w:leader="dot" w:pos="8296"/>
      </w:tabs>
      <w:ind w:firstLine="600"/>
    </w:pPr>
  </w:style>
  <w:style w:type="paragraph" w:styleId="9">
    <w:name w:val="Normal (Web)"/>
    <w:basedOn w:val="1"/>
    <w:semiHidden/>
    <w:unhideWhenUsed/>
    <w:qFormat/>
    <w:uiPriority w:val="99"/>
    <w:pPr>
      <w:widowControl/>
      <w:spacing w:before="100" w:beforeAutospacing="1" w:after="100" w:afterAutospacing="1" w:line="240" w:lineRule="auto"/>
      <w:ind w:firstLine="0" w:firstLineChars="0"/>
      <w:jc w:val="left"/>
    </w:pPr>
    <w:rPr>
      <w:rFonts w:ascii="宋体" w:hAnsi="宋体" w:eastAsia="宋体" w:cs="宋体"/>
      <w:kern w:val="0"/>
      <w:sz w:val="24"/>
      <w:szCs w:val="24"/>
    </w:rPr>
  </w:style>
  <w:style w:type="character" w:styleId="12">
    <w:name w:val="Hyperlink"/>
    <w:basedOn w:val="11"/>
    <w:unhideWhenUsed/>
    <w:qFormat/>
    <w:uiPriority w:val="99"/>
    <w:rPr>
      <w:color w:val="0563C1" w:themeColor="hyperlink"/>
      <w:u w:val="single"/>
      <w14:textFill>
        <w14:solidFill>
          <w14:schemeClr w14:val="hlink"/>
        </w14:solidFill>
      </w14:textFill>
    </w:rPr>
  </w:style>
  <w:style w:type="character" w:customStyle="1" w:styleId="13">
    <w:name w:val="标题 1 字符"/>
    <w:basedOn w:val="11"/>
    <w:link w:val="2"/>
    <w:qFormat/>
    <w:uiPriority w:val="9"/>
    <w:rPr>
      <w:rFonts w:ascii="Times New Roman" w:hAnsi="Times New Roman" w:eastAsia="黑体" w:cs="Times New Roman"/>
      <w:b/>
      <w:bCs/>
      <w:kern w:val="44"/>
      <w:sz w:val="30"/>
      <w:szCs w:val="44"/>
    </w:rPr>
  </w:style>
  <w:style w:type="character" w:customStyle="1" w:styleId="14">
    <w:name w:val="标题 2 字符"/>
    <w:basedOn w:val="11"/>
    <w:link w:val="3"/>
    <w:semiHidden/>
    <w:qFormat/>
    <w:uiPriority w:val="9"/>
    <w:rPr>
      <w:rFonts w:asciiTheme="majorHAnsi" w:hAnsiTheme="majorHAnsi" w:eastAsiaTheme="majorEastAsia" w:cstheme="majorBidi"/>
      <w:b/>
      <w:bCs/>
      <w:sz w:val="32"/>
      <w:szCs w:val="32"/>
    </w:rPr>
  </w:style>
  <w:style w:type="character" w:customStyle="1" w:styleId="15">
    <w:name w:val="日期 字符"/>
    <w:basedOn w:val="11"/>
    <w:link w:val="4"/>
    <w:semiHidden/>
    <w:qFormat/>
    <w:uiPriority w:val="99"/>
    <w:rPr>
      <w:rFonts w:ascii="Times New Roman" w:hAnsi="Times New Roman" w:eastAsia="仿宋" w:cs="Times New Roman"/>
      <w:sz w:val="30"/>
      <w:szCs w:val="20"/>
    </w:rPr>
  </w:style>
  <w:style w:type="character" w:customStyle="1" w:styleId="16">
    <w:name w:val="批注框文本 字符"/>
    <w:basedOn w:val="11"/>
    <w:link w:val="5"/>
    <w:semiHidden/>
    <w:qFormat/>
    <w:uiPriority w:val="99"/>
    <w:rPr>
      <w:rFonts w:ascii="Times New Roman" w:hAnsi="Times New Roman" w:eastAsia="仿宋" w:cs="Times New Roman"/>
      <w:sz w:val="18"/>
      <w:szCs w:val="18"/>
    </w:rPr>
  </w:style>
  <w:style w:type="character" w:customStyle="1" w:styleId="17">
    <w:name w:val="页脚 字符"/>
    <w:basedOn w:val="11"/>
    <w:link w:val="6"/>
    <w:qFormat/>
    <w:uiPriority w:val="99"/>
    <w:rPr>
      <w:sz w:val="18"/>
      <w:szCs w:val="18"/>
    </w:rPr>
  </w:style>
  <w:style w:type="character" w:customStyle="1" w:styleId="18">
    <w:name w:val="页眉 字符"/>
    <w:basedOn w:val="11"/>
    <w:link w:val="7"/>
    <w:qFormat/>
    <w:uiPriority w:val="99"/>
    <w:rPr>
      <w:sz w:val="18"/>
      <w:szCs w:val="18"/>
    </w:rPr>
  </w:style>
  <w:style w:type="paragraph" w:styleId="19">
    <w:name w:val="List Paragraph"/>
    <w:basedOn w:val="1"/>
    <w:qFormat/>
    <w:uiPriority w:val="34"/>
    <w:pPr>
      <w:ind w:firstLine="42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4F66624-C1DB-49D9-880C-5EDA9C834926}">
  <ds:schemaRefs/>
</ds:datastoreItem>
</file>

<file path=docProps/app.xml><?xml version="1.0" encoding="utf-8"?>
<Properties xmlns="http://schemas.openxmlformats.org/officeDocument/2006/extended-properties" xmlns:vt="http://schemas.openxmlformats.org/officeDocument/2006/docPropsVTypes">
  <Template>Normal</Template>
  <Pages>56</Pages>
  <Words>3845</Words>
  <Characters>21921</Characters>
  <Lines>182</Lines>
  <Paragraphs>51</Paragraphs>
  <TotalTime>4</TotalTime>
  <ScaleCrop>false</ScaleCrop>
  <LinksUpToDate>false</LinksUpToDate>
  <CharactersWithSpaces>25715</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2021-01-19T02:14:00Z</dcterms:created>
  <dc:creator>Administrator</dc:creator>
  <cp:lastModifiedBy>DUWENJUN.</cp:lastModifiedBy>
  <cp:lastPrinted>2021-02-03T07:21:00Z</cp:lastPrinted>
  <dcterms:modified xsi:type="dcterms:W3CDTF">2021-03-16T03:27:43Z</dcterms:modified>
  <cp:revision>53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