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Times New Roman" w:hAnsi="Times New Roman" w:eastAsia="方正小标宋简体" w:cs="Times New Roman"/>
          <w:sz w:val="44"/>
          <w:szCs w:val="44"/>
        </w:rPr>
      </w:pPr>
      <w:r>
        <w:rPr>
          <w:rFonts w:hint="default" w:ascii="Times New Roman" w:hAnsi="Times New Roman" w:eastAsia="方正小标宋简体" w:cs="Times New Roman"/>
          <w:sz w:val="44"/>
          <w:szCs w:val="44"/>
        </w:rPr>
        <w:t>2020年度兰州新区审计局</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Times New Roman" w:hAnsi="Times New Roman" w:eastAsia="方正小标宋简体" w:cs="Times New Roman"/>
          <w:sz w:val="44"/>
          <w:szCs w:val="44"/>
        </w:rPr>
      </w:pPr>
      <w:r>
        <w:rPr>
          <w:rFonts w:hint="default" w:ascii="Times New Roman" w:hAnsi="Times New Roman" w:eastAsia="方正小标宋简体" w:cs="Times New Roman"/>
          <w:sz w:val="44"/>
          <w:szCs w:val="44"/>
        </w:rPr>
        <w:t>部门预算执行情况自评报告</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Times New Roman" w:hAnsi="Times New Roman" w:eastAsia="方正小标宋简体" w:cs="Times New Roman"/>
          <w:sz w:val="44"/>
          <w:szCs w:val="44"/>
        </w:rPr>
      </w:pPr>
    </w:p>
    <w:p>
      <w:pPr>
        <w:pStyle w:val="2"/>
        <w:rPr>
          <w:rFonts w:hint="eastAsia"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kern w:val="2"/>
          <w:sz w:val="32"/>
          <w:szCs w:val="32"/>
          <w:lang w:val="en-US" w:eastAsia="zh-CN" w:bidi="ar-SA"/>
        </w:rPr>
        <w:t>兰州新区财政局（国有资产监督管理局）：</w:t>
      </w:r>
    </w:p>
    <w:p>
      <w:pPr>
        <w:pStyle w:val="3"/>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kern w:val="2"/>
          <w:sz w:val="32"/>
          <w:szCs w:val="32"/>
          <w:lang w:val="en-US" w:eastAsia="zh-CN" w:bidi="ar-SA"/>
        </w:rPr>
        <w:t>根据《兰州新区财政局（国资局）关于开展2020年度预算执行情况绩效单位自评工作的通知》（兰新财发〔2021〕23号）的要求，现将我局2020</w:t>
      </w:r>
      <w:bookmarkStart w:id="0" w:name="_GoBack"/>
      <w:bookmarkEnd w:id="0"/>
      <w:r>
        <w:rPr>
          <w:rFonts w:hint="eastAsia" w:ascii="Times New Roman" w:hAnsi="Times New Roman" w:eastAsia="仿宋_GB2312" w:cs="Times New Roman"/>
          <w:kern w:val="2"/>
          <w:sz w:val="32"/>
          <w:szCs w:val="32"/>
          <w:lang w:val="en-US" w:eastAsia="zh-CN" w:bidi="ar-SA"/>
        </w:rPr>
        <w:t>年度绩效考核工作情况自评如下：</w:t>
      </w:r>
    </w:p>
    <w:p>
      <w:pPr>
        <w:keepNext w:val="0"/>
        <w:keepLines w:val="0"/>
        <w:pageBreakBefore w:val="0"/>
        <w:widowControl w:val="0"/>
        <w:numPr>
          <w:ilvl w:val="0"/>
          <w:numId w:val="1"/>
        </w:numPr>
        <w:kinsoku/>
        <w:wordWrap/>
        <w:overflowPunct/>
        <w:topLinePunct w:val="0"/>
        <w:autoSpaceDE/>
        <w:autoSpaceDN/>
        <w:bidi w:val="0"/>
        <w:adjustRightInd/>
        <w:snapToGrid/>
        <w:spacing w:line="600" w:lineRule="exact"/>
        <w:ind w:left="0" w:firstLine="640" w:firstLineChars="200"/>
        <w:jc w:val="both"/>
        <w:textAlignment w:val="auto"/>
        <w:rPr>
          <w:rFonts w:hint="default" w:ascii="Times New Roman" w:hAnsi="Times New Roman" w:eastAsia="黑体" w:cs="Times New Roman"/>
          <w:sz w:val="32"/>
          <w:szCs w:val="32"/>
        </w:rPr>
      </w:pPr>
      <w:r>
        <w:rPr>
          <w:rFonts w:hint="default" w:ascii="Times New Roman" w:hAnsi="Times New Roman" w:eastAsia="黑体" w:cs="Times New Roman"/>
          <w:sz w:val="32"/>
          <w:szCs w:val="32"/>
        </w:rPr>
        <w:t>基本情况</w:t>
      </w:r>
    </w:p>
    <w:p>
      <w:pPr>
        <w:keepNext w:val="0"/>
        <w:keepLines w:val="0"/>
        <w:pageBreakBefore w:val="0"/>
        <w:widowControl w:val="0"/>
        <w:numPr>
          <w:ilvl w:val="0"/>
          <w:numId w:val="2"/>
        </w:numPr>
        <w:kinsoku/>
        <w:wordWrap/>
        <w:overflowPunct/>
        <w:topLinePunct w:val="0"/>
        <w:autoSpaceDE/>
        <w:autoSpaceDN/>
        <w:bidi w:val="0"/>
        <w:adjustRightInd/>
        <w:snapToGrid/>
        <w:spacing w:line="600" w:lineRule="exact"/>
        <w:ind w:left="0" w:leftChars="0" w:firstLine="640" w:firstLineChars="200"/>
        <w:jc w:val="both"/>
        <w:textAlignment w:val="auto"/>
        <w:rPr>
          <w:rFonts w:hint="default" w:ascii="Times New Roman" w:hAnsi="Times New Roman" w:eastAsia="楷体" w:cs="Times New Roman"/>
          <w:sz w:val="32"/>
          <w:szCs w:val="32"/>
        </w:rPr>
      </w:pPr>
      <w:r>
        <w:rPr>
          <w:rFonts w:hint="default" w:ascii="Times New Roman" w:hAnsi="Times New Roman" w:eastAsia="楷体" w:cs="Times New Roman"/>
          <w:sz w:val="32"/>
          <w:szCs w:val="32"/>
        </w:rPr>
        <w:t>部门主要职能</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1.</w:t>
      </w:r>
      <w:r>
        <w:rPr>
          <w:rFonts w:hint="default" w:ascii="Times New Roman" w:hAnsi="Times New Roman" w:eastAsia="仿宋_GB2312" w:cs="Times New Roman"/>
          <w:sz w:val="32"/>
          <w:szCs w:val="32"/>
        </w:rPr>
        <w:t>主管新区审计工作。</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2.</w:t>
      </w:r>
      <w:r>
        <w:rPr>
          <w:rFonts w:hint="default" w:ascii="Times New Roman" w:hAnsi="Times New Roman" w:eastAsia="仿宋_GB2312" w:cs="Times New Roman"/>
          <w:sz w:val="32"/>
          <w:szCs w:val="32"/>
        </w:rPr>
        <w:t>制定新区审计工作制度并监督执行。</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3.</w:t>
      </w:r>
      <w:r>
        <w:rPr>
          <w:rFonts w:hint="default" w:ascii="Times New Roman" w:hAnsi="Times New Roman" w:eastAsia="仿宋_GB2312" w:cs="Times New Roman"/>
          <w:sz w:val="32"/>
          <w:szCs w:val="32"/>
        </w:rPr>
        <w:t>向新区党工委审计委员会提交年度新区预算执行和其他财政收支情况的审计结果报告；对预算执行情况和其他财政收支情况的监督检查；对新区重大项目开展稽查；向管委会报告对其他事项的专项审计调查情况及结果；依法向社会公布审计结果；向管委会各部门、各园区、各镇人民政府通报审计情况和审计结果。</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4.</w:t>
      </w:r>
      <w:r>
        <w:rPr>
          <w:rFonts w:hint="default" w:ascii="Times New Roman" w:hAnsi="Times New Roman" w:eastAsia="仿宋_GB2312" w:cs="Times New Roman"/>
          <w:sz w:val="32"/>
          <w:szCs w:val="32"/>
        </w:rPr>
        <w:t>直接审计下列事项，出具审计报告，在法定职权范围内做出审计决定或向有关主管机关提出处理处罚的建议：</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lang w:val="en-US" w:eastAsia="zh-CN"/>
        </w:rPr>
        <w:t>1</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新区财政预算执行情况和其他财政收支情况、新区各部门、各园区、各镇预算执行情况和决算以及其他财政收支。</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lang w:val="en-US" w:eastAsia="zh-CN"/>
        </w:rPr>
        <w:t>2</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使用新区财政资金的事业单位和社会团体的财务收支。</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lang w:val="en-US" w:eastAsia="zh-CN"/>
        </w:rPr>
        <w:t>3</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新区监管国有企业及国有资本占控股地位或者主导地位的企业及地方金融机构的资产、负债和损益及国有资本经营预算。</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lang w:val="en-US" w:eastAsia="zh-CN"/>
        </w:rPr>
        <w:t>4</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新区财政投资和以新区财政投资为主的建设项目的预算执行情况和决算。</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lang w:val="en-US" w:eastAsia="zh-CN"/>
        </w:rPr>
        <w:t>5</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部门管理和受管委会及其部门委托管理的社会保障基金、资源环保资金、国有土地出让金、农业资金、社会捐赠资金及其他有关基金、资金的财务收支。</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lang w:val="en-US" w:eastAsia="zh-CN"/>
        </w:rPr>
        <w:t>6</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国际组织和外国政府援助、贷款项目的财务收支。</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lang w:val="en-US" w:eastAsia="zh-CN"/>
        </w:rPr>
        <w:t>7</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法律、行政法规规定应由审计局审计的其他事项。</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5.</w:t>
      </w:r>
      <w:r>
        <w:rPr>
          <w:rFonts w:hint="default" w:ascii="Times New Roman" w:hAnsi="Times New Roman" w:eastAsia="仿宋_GB2312" w:cs="Times New Roman"/>
          <w:sz w:val="32"/>
          <w:szCs w:val="32"/>
        </w:rPr>
        <w:t>根据新区党工委审计委员会安排对领导干部、国有企业领导干部依法属于新区审计局审计监督对象的其他单位主要负责人实施经济责任审计，履行国有企业外派监事会的工作职责。</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6.</w:t>
      </w:r>
      <w:r>
        <w:rPr>
          <w:rFonts w:hint="default" w:ascii="Times New Roman" w:hAnsi="Times New Roman" w:eastAsia="仿宋_GB2312" w:cs="Times New Roman"/>
          <w:sz w:val="32"/>
          <w:szCs w:val="32"/>
        </w:rPr>
        <w:t>组织实施对贯彻执行国家财经法律、法规、规章、政策和宏观调控措施执行情况、财政预算管理或国有资产管理使用等与国家财政收支有关的特定事项进行专项审计调查。</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7.</w:t>
      </w:r>
      <w:r>
        <w:rPr>
          <w:rFonts w:hint="default" w:ascii="Times New Roman" w:hAnsi="Times New Roman" w:eastAsia="仿宋_GB2312" w:cs="Times New Roman"/>
          <w:sz w:val="32"/>
          <w:szCs w:val="32"/>
        </w:rPr>
        <w:t>依法检查审计决定执行情况，督促纠正和处理审计发现的问题，依法办理被审计单位对审计决定提请行政复议、行政诉讼或政府裁决中的有关事项；协助配合有关部门查处相关重大案件。</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8.</w:t>
      </w:r>
      <w:r>
        <w:rPr>
          <w:rFonts w:hint="default" w:ascii="Times New Roman" w:hAnsi="Times New Roman" w:eastAsia="仿宋_GB2312" w:cs="Times New Roman"/>
          <w:sz w:val="32"/>
          <w:szCs w:val="32"/>
        </w:rPr>
        <w:t>指导和监督内部审计工作，核查社会审计机构对依法属于国家审计机关审计监督对象的单位出具的相关审计报告。</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9.</w:t>
      </w:r>
      <w:r>
        <w:rPr>
          <w:rFonts w:hint="default" w:ascii="Times New Roman" w:hAnsi="Times New Roman" w:eastAsia="仿宋_GB2312" w:cs="Times New Roman"/>
          <w:sz w:val="32"/>
          <w:szCs w:val="32"/>
        </w:rPr>
        <w:t>依法组织审计新区监管国有企业和地方金融机构的境外资产、负债和损益。</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10.</w:t>
      </w:r>
      <w:r>
        <w:rPr>
          <w:rFonts w:hint="default" w:ascii="Times New Roman" w:hAnsi="Times New Roman" w:eastAsia="仿宋_GB2312" w:cs="Times New Roman"/>
          <w:sz w:val="32"/>
          <w:szCs w:val="32"/>
        </w:rPr>
        <w:t>负责新区审计干部业务教育培训工作。</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11.</w:t>
      </w:r>
      <w:r>
        <w:rPr>
          <w:rFonts w:hint="default" w:ascii="Times New Roman" w:hAnsi="Times New Roman" w:eastAsia="仿宋_GB2312" w:cs="Times New Roman"/>
          <w:sz w:val="32"/>
          <w:szCs w:val="32"/>
        </w:rPr>
        <w:t>完成新区党工委、管委会和上级业务部门交办的其他任务。</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640" w:firstLineChars="200"/>
        <w:jc w:val="both"/>
        <w:textAlignment w:val="auto"/>
        <w:rPr>
          <w:rFonts w:hint="default" w:ascii="Times New Roman" w:hAnsi="Times New Roman" w:eastAsia="楷体" w:cs="Times New Roman"/>
          <w:sz w:val="32"/>
          <w:szCs w:val="32"/>
        </w:rPr>
      </w:pPr>
      <w:r>
        <w:rPr>
          <w:rFonts w:hint="default" w:ascii="Times New Roman" w:hAnsi="Times New Roman" w:eastAsia="仿宋_GB2312" w:cs="Times New Roman"/>
          <w:sz w:val="32"/>
          <w:szCs w:val="32"/>
          <w:lang w:eastAsia="zh-CN"/>
        </w:rPr>
        <w:t>（二）</w:t>
      </w:r>
      <w:r>
        <w:rPr>
          <w:rFonts w:hint="default" w:ascii="Times New Roman" w:hAnsi="Times New Roman" w:eastAsia="楷体" w:cs="Times New Roman"/>
          <w:sz w:val="32"/>
          <w:szCs w:val="32"/>
        </w:rPr>
        <w:t>内设机构及所属单位概况</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right="0" w:rightChars="0" w:firstLine="640" w:firstLineChars="200"/>
        <w:textAlignment w:val="auto"/>
        <w:outlineLvl w:val="9"/>
        <w:rPr>
          <w:rFonts w:hint="default" w:ascii="Times New Roman" w:hAnsi="Times New Roman" w:eastAsia="仿宋_GB2312" w:cs="Times New Roman"/>
          <w:color w:val="000000"/>
          <w:sz w:val="32"/>
          <w:szCs w:val="32"/>
          <w:lang w:val="en-US" w:eastAsia="zh-CN"/>
        </w:rPr>
      </w:pPr>
      <w:r>
        <w:rPr>
          <w:rFonts w:hint="default" w:ascii="Times New Roman" w:hAnsi="Times New Roman" w:eastAsia="仿宋_GB2312" w:cs="Times New Roman"/>
          <w:color w:val="000000"/>
          <w:sz w:val="32"/>
          <w:szCs w:val="32"/>
          <w:lang w:val="en-US" w:eastAsia="zh-CN"/>
        </w:rPr>
        <w:t>单位内设办公室、法规审理科、财政与重大政策执行审计科、党政与经济责任审计科、固定资产投资审计科及企业与金融审计科。新区审计局核定工作人员31名。其中：正县级领导职数1名（局长1名），副县级领导职数2名（副局长2名）；内设机构核定正科级领导职数6名，副科级领导职数6名。</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right="0" w:rightChars="0" w:firstLine="640" w:firstLineChars="200"/>
        <w:textAlignment w:val="auto"/>
        <w:outlineLvl w:val="9"/>
        <w:rPr>
          <w:rFonts w:hint="default" w:ascii="Times New Roman" w:hAnsi="Times New Roman" w:cs="Times New Roman"/>
        </w:rPr>
      </w:pPr>
      <w:r>
        <w:rPr>
          <w:rFonts w:hint="default" w:ascii="Times New Roman" w:hAnsi="Times New Roman" w:eastAsia="黑体" w:cs="Times New Roman"/>
          <w:sz w:val="32"/>
          <w:szCs w:val="32"/>
          <w:lang w:eastAsia="zh-CN"/>
        </w:rPr>
        <w:t>二、</w:t>
      </w:r>
      <w:r>
        <w:rPr>
          <w:rFonts w:hint="default" w:ascii="Times New Roman" w:hAnsi="Times New Roman" w:eastAsia="黑体" w:cs="Times New Roman"/>
          <w:sz w:val="32"/>
          <w:szCs w:val="32"/>
        </w:rPr>
        <w:t>绩效自评工作组织开展情况</w:t>
      </w:r>
      <w:r>
        <w:rPr>
          <w:rFonts w:hint="default" w:ascii="Times New Roman" w:hAnsi="Times New Roman" w:eastAsia="黑体" w:cs="Times New Roman"/>
          <w:sz w:val="32"/>
          <w:szCs w:val="32"/>
        </w:rPr>
        <w:tab/>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pacing w:before="0" w:beforeAutospacing="0" w:after="0" w:afterAutospacing="0" w:line="600" w:lineRule="exact"/>
        <w:ind w:left="0" w:right="0" w:firstLine="640" w:firstLineChars="200"/>
        <w:textAlignment w:val="auto"/>
        <w:rPr>
          <w:rFonts w:hint="default" w:ascii="Times New Roman" w:hAnsi="Times New Roman" w:eastAsia="仿宋_GB2312" w:cs="Times New Roman"/>
          <w:color w:val="000000"/>
          <w:kern w:val="2"/>
          <w:sz w:val="32"/>
          <w:szCs w:val="32"/>
          <w:lang w:val="en-US" w:eastAsia="zh-CN" w:bidi="ar-SA"/>
        </w:rPr>
      </w:pPr>
      <w:r>
        <w:rPr>
          <w:rFonts w:hint="default" w:ascii="Times New Roman" w:hAnsi="Times New Roman" w:eastAsia="楷体" w:cs="Times New Roman"/>
          <w:kern w:val="2"/>
          <w:sz w:val="32"/>
          <w:szCs w:val="32"/>
          <w:lang w:val="en-US" w:eastAsia="zh-CN" w:bidi="ar-SA"/>
        </w:rPr>
        <w:t>（一）以学习为先导，全面树立绩效管理意识。</w:t>
      </w:r>
      <w:r>
        <w:rPr>
          <w:rFonts w:hint="default" w:ascii="Times New Roman" w:hAnsi="Times New Roman" w:eastAsia="仿宋_GB2312" w:cs="Times New Roman"/>
          <w:color w:val="000000"/>
          <w:kern w:val="2"/>
          <w:sz w:val="32"/>
          <w:szCs w:val="32"/>
          <w:lang w:val="en-US" w:eastAsia="zh-CN" w:bidi="ar-SA"/>
        </w:rPr>
        <w:t>我局高度重视绩效自评工作，明确绩效指标体系，制定</w:t>
      </w:r>
      <w:r>
        <w:rPr>
          <w:rFonts w:hint="eastAsia" w:ascii="Times New Roman" w:hAnsi="Times New Roman" w:eastAsia="仿宋_GB2312" w:cs="Times New Roman"/>
          <w:color w:val="000000"/>
          <w:kern w:val="2"/>
          <w:sz w:val="32"/>
          <w:szCs w:val="32"/>
          <w:lang w:val="en-US" w:eastAsia="zh-CN" w:bidi="ar-SA"/>
        </w:rPr>
        <w:t>整体支出、</w:t>
      </w:r>
      <w:r>
        <w:rPr>
          <w:rFonts w:hint="default" w:ascii="Times New Roman" w:hAnsi="Times New Roman" w:eastAsia="仿宋_GB2312" w:cs="Times New Roman"/>
          <w:color w:val="000000"/>
          <w:kern w:val="2"/>
          <w:sz w:val="32"/>
          <w:szCs w:val="32"/>
          <w:lang w:val="en-US" w:eastAsia="zh-CN" w:bidi="ar-SA"/>
        </w:rPr>
        <w:t>项目支出绩效自评计划，确保绩效自评工作顺利开展。</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pacing w:before="0" w:beforeAutospacing="0" w:after="0" w:afterAutospacing="0" w:line="600" w:lineRule="exact"/>
        <w:ind w:left="0" w:right="0" w:firstLine="640" w:firstLineChars="200"/>
        <w:textAlignment w:val="auto"/>
        <w:rPr>
          <w:rFonts w:hint="default" w:ascii="Times New Roman" w:hAnsi="Times New Roman" w:eastAsia="仿宋_GB2312" w:cs="Times New Roman"/>
          <w:color w:val="000000"/>
          <w:kern w:val="2"/>
          <w:sz w:val="32"/>
          <w:szCs w:val="32"/>
          <w:lang w:val="en-US" w:eastAsia="zh-CN" w:bidi="ar-SA"/>
        </w:rPr>
      </w:pPr>
      <w:r>
        <w:rPr>
          <w:rFonts w:hint="default" w:ascii="Times New Roman" w:hAnsi="Times New Roman" w:eastAsia="楷体" w:cs="Times New Roman"/>
          <w:kern w:val="2"/>
          <w:sz w:val="32"/>
          <w:szCs w:val="32"/>
          <w:lang w:val="en-US" w:eastAsia="zh-CN" w:bidi="ar-SA"/>
        </w:rPr>
        <w:t>（二）以绩效指标体系为抓手，全方位进行绩效评价分析。</w:t>
      </w:r>
      <w:r>
        <w:rPr>
          <w:rFonts w:hint="eastAsia" w:ascii="Times New Roman" w:hAnsi="Times New Roman" w:eastAsia="仿宋_GB2312" w:cs="Times New Roman"/>
          <w:color w:val="000000"/>
          <w:kern w:val="2"/>
          <w:sz w:val="32"/>
          <w:szCs w:val="32"/>
          <w:lang w:val="en-US" w:eastAsia="zh-CN" w:bidi="ar-SA"/>
        </w:rPr>
        <w:t>省市转移支付、</w:t>
      </w:r>
      <w:r>
        <w:rPr>
          <w:rFonts w:hint="default" w:ascii="Times New Roman" w:hAnsi="Times New Roman" w:eastAsia="仿宋_GB2312" w:cs="Times New Roman"/>
          <w:color w:val="000000"/>
          <w:kern w:val="2"/>
          <w:sz w:val="32"/>
          <w:szCs w:val="32"/>
          <w:lang w:val="en-US" w:eastAsia="zh-CN" w:bidi="ar-SA"/>
        </w:rPr>
        <w:t>项目支出采用定量与定性分析相结合的方法，通过产出指标、效益指标、满意度指标三级指标，对照年初设定的绩效目标及指标值，填报年度完成值，可以清晰衡量各指标的大小和指标之间的比重关系。同时，做到实事求是、数据准确、分值合理、结果客观，保障绩效分析的科学性、合理性。</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pacing w:before="0" w:beforeAutospacing="0" w:after="0" w:afterAutospacing="0" w:line="600" w:lineRule="exact"/>
        <w:ind w:left="0" w:right="0" w:firstLine="640" w:firstLineChars="200"/>
        <w:textAlignment w:val="auto"/>
        <w:rPr>
          <w:rFonts w:hint="default" w:ascii="Times New Roman" w:hAnsi="Times New Roman" w:eastAsia="仿宋_GB2312" w:cs="Times New Roman"/>
          <w:color w:val="000000"/>
          <w:kern w:val="2"/>
          <w:sz w:val="32"/>
          <w:szCs w:val="32"/>
          <w:lang w:val="en-US" w:eastAsia="zh-CN" w:bidi="ar-SA"/>
        </w:rPr>
      </w:pPr>
      <w:r>
        <w:rPr>
          <w:rFonts w:hint="default" w:ascii="Times New Roman" w:hAnsi="Times New Roman" w:eastAsia="楷体" w:cs="Times New Roman"/>
          <w:kern w:val="2"/>
          <w:sz w:val="32"/>
          <w:szCs w:val="32"/>
          <w:lang w:val="en-US" w:eastAsia="zh-CN" w:bidi="ar-SA"/>
        </w:rPr>
        <w:t>（三）以绩效自评报告为依据，强化绩效成果应用。</w:t>
      </w:r>
      <w:r>
        <w:rPr>
          <w:rFonts w:hint="default" w:ascii="Times New Roman" w:hAnsi="Times New Roman" w:eastAsia="仿宋_GB2312" w:cs="Times New Roman"/>
          <w:color w:val="000000"/>
          <w:kern w:val="2"/>
          <w:sz w:val="32"/>
          <w:szCs w:val="32"/>
          <w:lang w:val="en-US" w:eastAsia="zh-CN" w:bidi="ar-SA"/>
        </w:rPr>
        <w:t>对绩效自评金额、个数、覆盖率等问题进行详细总结，其中发现的问题已认真分析原因、积极落实整改。</w:t>
      </w:r>
    </w:p>
    <w:p>
      <w:pPr>
        <w:pStyle w:val="2"/>
        <w:keepNext w:val="0"/>
        <w:keepLines w:val="0"/>
        <w:pageBreakBefore w:val="0"/>
        <w:kinsoku/>
        <w:wordWrap/>
        <w:overflowPunct/>
        <w:topLinePunct w:val="0"/>
        <w:autoSpaceDE/>
        <w:autoSpaceDN/>
        <w:bidi w:val="0"/>
        <w:adjustRightInd/>
        <w:spacing w:line="600" w:lineRule="exact"/>
        <w:ind w:left="0" w:firstLine="640" w:firstLineChars="200"/>
        <w:textAlignment w:val="auto"/>
        <w:rPr>
          <w:rFonts w:hint="default" w:ascii="Times New Roman" w:hAnsi="Times New Roman" w:eastAsia="黑体" w:cs="Times New Roman"/>
          <w:kern w:val="2"/>
          <w:sz w:val="32"/>
          <w:szCs w:val="32"/>
          <w:lang w:val="en-US" w:eastAsia="zh-CN" w:bidi="ar-SA"/>
        </w:rPr>
      </w:pPr>
      <w:r>
        <w:rPr>
          <w:rFonts w:hint="default" w:ascii="Times New Roman" w:hAnsi="Times New Roman" w:eastAsia="黑体" w:cs="Times New Roman"/>
          <w:kern w:val="2"/>
          <w:sz w:val="32"/>
          <w:szCs w:val="32"/>
          <w:lang w:val="en-US" w:eastAsia="zh-CN" w:bidi="ar-SA"/>
        </w:rPr>
        <w:t>三、部门整体支出绩效自评情况分析</w:t>
      </w:r>
    </w:p>
    <w:p>
      <w:pPr>
        <w:pStyle w:val="3"/>
        <w:keepNext w:val="0"/>
        <w:keepLines w:val="0"/>
        <w:pageBreakBefore w:val="0"/>
        <w:kinsoku/>
        <w:wordWrap/>
        <w:overflowPunct/>
        <w:topLinePunct w:val="0"/>
        <w:autoSpaceDE/>
        <w:autoSpaceDN/>
        <w:bidi w:val="0"/>
        <w:adjustRightInd/>
        <w:spacing w:line="600" w:lineRule="exact"/>
        <w:ind w:left="0" w:leftChars="0" w:firstLine="640" w:firstLineChars="200"/>
        <w:textAlignment w:val="auto"/>
        <w:rPr>
          <w:rFonts w:hint="default" w:ascii="Times New Roman" w:hAnsi="Times New Roman" w:eastAsia="楷体" w:cs="Times New Roman"/>
          <w:kern w:val="2"/>
          <w:sz w:val="32"/>
          <w:szCs w:val="32"/>
          <w:lang w:val="en-US" w:eastAsia="zh-CN" w:bidi="ar-SA"/>
        </w:rPr>
      </w:pPr>
      <w:r>
        <w:rPr>
          <w:rFonts w:hint="default" w:ascii="Times New Roman" w:hAnsi="Times New Roman" w:eastAsia="楷体" w:cs="Times New Roman"/>
          <w:kern w:val="2"/>
          <w:sz w:val="32"/>
          <w:szCs w:val="32"/>
          <w:lang w:val="en-US" w:eastAsia="zh-CN" w:bidi="ar-SA"/>
        </w:rPr>
        <w:t>（一）部门决算情况</w:t>
      </w:r>
    </w:p>
    <w:p>
      <w:pPr>
        <w:keepNext w:val="0"/>
        <w:keepLines w:val="0"/>
        <w:pageBreakBefore w:val="0"/>
        <w:kinsoku/>
        <w:wordWrap/>
        <w:overflowPunct/>
        <w:topLinePunct w:val="0"/>
        <w:autoSpaceDE/>
        <w:autoSpaceDN/>
        <w:bidi w:val="0"/>
        <w:adjustRightInd/>
        <w:snapToGrid w:val="0"/>
        <w:spacing w:line="600" w:lineRule="exact"/>
        <w:ind w:left="0" w:firstLine="640" w:firstLineChars="200"/>
        <w:textAlignment w:val="auto"/>
        <w:rPr>
          <w:rFonts w:hint="eastAsia"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1.本部门2020年度收入</w:t>
      </w:r>
      <w:r>
        <w:rPr>
          <w:rFonts w:hint="eastAsia" w:ascii="Times New Roman" w:hAnsi="Times New Roman" w:eastAsia="仿宋_GB2312" w:cs="Times New Roman"/>
          <w:color w:val="auto"/>
          <w:sz w:val="32"/>
          <w:szCs w:val="32"/>
          <w:lang w:val="en-US" w:eastAsia="zh-CN"/>
        </w:rPr>
        <w:t>2312.58</w:t>
      </w:r>
      <w:r>
        <w:rPr>
          <w:rFonts w:hint="default" w:ascii="Times New Roman" w:hAnsi="Times New Roman" w:eastAsia="仿宋_GB2312" w:cs="Times New Roman"/>
          <w:color w:val="auto"/>
          <w:sz w:val="32"/>
          <w:szCs w:val="32"/>
          <w:lang w:val="en-US" w:eastAsia="zh-CN"/>
        </w:rPr>
        <w:t>万元，部门年初预算收入598.12万元</w:t>
      </w:r>
      <w:r>
        <w:rPr>
          <w:rFonts w:hint="eastAsia" w:ascii="Times New Roman" w:hAnsi="Times New Roman" w:eastAsia="仿宋_GB2312" w:cs="Times New Roman"/>
          <w:color w:val="auto"/>
          <w:sz w:val="32"/>
          <w:szCs w:val="32"/>
          <w:lang w:val="en-US" w:eastAsia="zh-CN"/>
        </w:rPr>
        <w:t>。年度收入中包括年初结转结余和</w:t>
      </w:r>
      <w:r>
        <w:rPr>
          <w:rFonts w:hint="default" w:ascii="Times New Roman" w:hAnsi="Times New Roman" w:eastAsia="仿宋_GB2312" w:cs="Times New Roman"/>
          <w:color w:val="auto"/>
          <w:sz w:val="32"/>
          <w:szCs w:val="32"/>
          <w:lang w:val="en-US" w:eastAsia="zh-CN"/>
        </w:rPr>
        <w:t>中期追加</w:t>
      </w:r>
      <w:r>
        <w:rPr>
          <w:rFonts w:hint="eastAsia" w:ascii="Times New Roman" w:hAnsi="Times New Roman" w:eastAsia="仿宋_GB2312" w:cs="Times New Roman"/>
          <w:color w:val="auto"/>
          <w:sz w:val="32"/>
          <w:szCs w:val="32"/>
          <w:lang w:val="en-US" w:eastAsia="zh-CN"/>
        </w:rPr>
        <w:t>调整的</w:t>
      </w:r>
      <w:r>
        <w:rPr>
          <w:rFonts w:hint="default" w:ascii="Times New Roman" w:hAnsi="Times New Roman" w:eastAsia="仿宋_GB2312" w:cs="Times New Roman"/>
          <w:color w:val="auto"/>
          <w:sz w:val="32"/>
          <w:szCs w:val="32"/>
          <w:lang w:val="en-US" w:eastAsia="zh-CN"/>
        </w:rPr>
        <w:t>审计中介服务费、</w:t>
      </w:r>
      <w:r>
        <w:rPr>
          <w:rFonts w:hint="eastAsia" w:ascii="Times New Roman" w:hAnsi="Times New Roman" w:eastAsia="仿宋_GB2312" w:cs="Times New Roman"/>
          <w:color w:val="auto"/>
          <w:sz w:val="32"/>
          <w:szCs w:val="32"/>
          <w:lang w:val="en-US" w:eastAsia="zh-CN"/>
        </w:rPr>
        <w:t>省市转移支付资金，均未列入年初预算。</w:t>
      </w:r>
    </w:p>
    <w:p>
      <w:pPr>
        <w:keepNext w:val="0"/>
        <w:keepLines w:val="0"/>
        <w:pageBreakBefore w:val="0"/>
        <w:kinsoku/>
        <w:wordWrap/>
        <w:overflowPunct/>
        <w:topLinePunct w:val="0"/>
        <w:autoSpaceDE/>
        <w:autoSpaceDN/>
        <w:bidi w:val="0"/>
        <w:adjustRightInd/>
        <w:snapToGrid w:val="0"/>
        <w:spacing w:line="600" w:lineRule="exact"/>
        <w:ind w:left="0" w:firstLine="640" w:firstLineChars="200"/>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2.本部门2020年度支出</w:t>
      </w:r>
      <w:r>
        <w:rPr>
          <w:rFonts w:hint="eastAsia" w:ascii="Times New Roman" w:hAnsi="Times New Roman" w:eastAsia="仿宋_GB2312" w:cs="Times New Roman"/>
          <w:color w:val="auto"/>
          <w:sz w:val="32"/>
          <w:szCs w:val="32"/>
          <w:lang w:val="en-US" w:eastAsia="zh-CN"/>
        </w:rPr>
        <w:t>2281.28</w:t>
      </w:r>
      <w:r>
        <w:rPr>
          <w:rFonts w:hint="default" w:ascii="Times New Roman" w:hAnsi="Times New Roman" w:eastAsia="仿宋_GB2312" w:cs="Times New Roman"/>
          <w:color w:val="auto"/>
          <w:sz w:val="32"/>
          <w:szCs w:val="32"/>
          <w:lang w:val="en-US" w:eastAsia="zh-CN"/>
        </w:rPr>
        <w:t>万元，</w:t>
      </w:r>
      <w:r>
        <w:rPr>
          <w:rFonts w:hint="eastAsia" w:ascii="Times New Roman" w:hAnsi="Times New Roman" w:eastAsia="仿宋_GB2312" w:cs="Times New Roman"/>
          <w:color w:val="auto"/>
          <w:sz w:val="32"/>
          <w:szCs w:val="32"/>
          <w:lang w:val="en-US" w:eastAsia="zh-CN"/>
        </w:rPr>
        <w:t>其中：基本支出597.57万元，项目支出1683.71万元。总体执行率为98.65%</w:t>
      </w:r>
      <w:r>
        <w:rPr>
          <w:rFonts w:hint="default" w:ascii="Times New Roman" w:hAnsi="Times New Roman" w:eastAsia="仿宋_GB2312" w:cs="Times New Roman"/>
          <w:color w:val="auto"/>
          <w:sz w:val="32"/>
          <w:szCs w:val="32"/>
          <w:lang w:val="en-US" w:eastAsia="zh-CN"/>
        </w:rPr>
        <w:t>。</w:t>
      </w:r>
    </w:p>
    <w:p>
      <w:pPr>
        <w:keepNext w:val="0"/>
        <w:keepLines w:val="0"/>
        <w:pageBreakBefore w:val="0"/>
        <w:kinsoku/>
        <w:wordWrap/>
        <w:overflowPunct/>
        <w:topLinePunct w:val="0"/>
        <w:autoSpaceDE/>
        <w:autoSpaceDN/>
        <w:bidi w:val="0"/>
        <w:adjustRightInd/>
        <w:snapToGrid w:val="0"/>
        <w:spacing w:line="600" w:lineRule="exact"/>
        <w:ind w:left="0" w:firstLine="640" w:firstLineChars="200"/>
        <w:textAlignment w:val="auto"/>
        <w:rPr>
          <w:rFonts w:hint="default" w:ascii="Times New Roman" w:hAnsi="Times New Roman" w:eastAsia="楷体" w:cs="Times New Roman"/>
          <w:kern w:val="2"/>
          <w:sz w:val="32"/>
          <w:szCs w:val="32"/>
          <w:lang w:val="en-US" w:eastAsia="zh-CN" w:bidi="ar-SA"/>
        </w:rPr>
      </w:pPr>
      <w:r>
        <w:rPr>
          <w:rFonts w:hint="default" w:ascii="Times New Roman" w:hAnsi="Times New Roman" w:eastAsia="楷体" w:cs="Times New Roman"/>
          <w:kern w:val="2"/>
          <w:sz w:val="32"/>
          <w:szCs w:val="32"/>
          <w:lang w:val="en-US" w:eastAsia="zh-CN" w:bidi="ar-SA"/>
        </w:rPr>
        <w:t>（二）总体绩效目标完成情况分析</w:t>
      </w:r>
    </w:p>
    <w:p>
      <w:pPr>
        <w:keepNext w:val="0"/>
        <w:keepLines w:val="0"/>
        <w:pageBreakBefore w:val="0"/>
        <w:kinsoku/>
        <w:wordWrap/>
        <w:overflowPunct/>
        <w:topLinePunct w:val="0"/>
        <w:autoSpaceDE/>
        <w:autoSpaceDN/>
        <w:bidi w:val="0"/>
        <w:adjustRightInd/>
        <w:snapToGrid w:val="0"/>
        <w:spacing w:line="600" w:lineRule="exact"/>
        <w:ind w:left="0" w:firstLine="640" w:firstLineChars="200"/>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总体绩效目标为：依法履行审计监督职责，全面完成年度审计任务；加强审计整改和自身建设，着力提升审计质量；保障机关日常正常运行。以上目标均已完成。</w:t>
      </w:r>
    </w:p>
    <w:p>
      <w:pPr>
        <w:keepNext w:val="0"/>
        <w:keepLines w:val="0"/>
        <w:pageBreakBefore w:val="0"/>
        <w:kinsoku/>
        <w:wordWrap/>
        <w:overflowPunct/>
        <w:topLinePunct w:val="0"/>
        <w:autoSpaceDE/>
        <w:autoSpaceDN/>
        <w:bidi w:val="0"/>
        <w:adjustRightInd/>
        <w:snapToGrid w:val="0"/>
        <w:spacing w:line="600" w:lineRule="exact"/>
        <w:ind w:left="0" w:firstLine="640" w:firstLineChars="200"/>
        <w:textAlignment w:val="auto"/>
        <w:rPr>
          <w:rFonts w:hint="default" w:ascii="Times New Roman" w:hAnsi="Times New Roman" w:eastAsia="楷体" w:cs="Times New Roman"/>
          <w:kern w:val="2"/>
          <w:sz w:val="32"/>
          <w:szCs w:val="32"/>
          <w:lang w:val="en-US" w:eastAsia="zh-CN" w:bidi="ar-SA"/>
        </w:rPr>
      </w:pPr>
      <w:r>
        <w:rPr>
          <w:rFonts w:hint="default" w:ascii="Times New Roman" w:hAnsi="Times New Roman" w:eastAsia="楷体" w:cs="Times New Roman"/>
          <w:kern w:val="2"/>
          <w:sz w:val="32"/>
          <w:szCs w:val="32"/>
          <w:lang w:val="en-US" w:eastAsia="zh-CN" w:bidi="ar-SA"/>
        </w:rPr>
        <w:t>（三）各项指标完成情况分析</w:t>
      </w:r>
    </w:p>
    <w:p>
      <w:pPr>
        <w:keepNext w:val="0"/>
        <w:keepLines w:val="0"/>
        <w:pageBreakBefore w:val="0"/>
        <w:kinsoku/>
        <w:wordWrap/>
        <w:overflowPunct/>
        <w:topLinePunct w:val="0"/>
        <w:autoSpaceDE/>
        <w:autoSpaceDN/>
        <w:bidi w:val="0"/>
        <w:adjustRightInd/>
        <w:snapToGrid w:val="0"/>
        <w:spacing w:line="600" w:lineRule="exact"/>
        <w:ind w:left="0" w:firstLine="640" w:firstLineChars="200"/>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年度绩效指标主要有：部门管理、履职效果、能力建设及服务对象满意度4个方面，均已经达到年度指标值。</w:t>
      </w:r>
    </w:p>
    <w:p>
      <w:pPr>
        <w:keepNext w:val="0"/>
        <w:keepLines w:val="0"/>
        <w:pageBreakBefore w:val="0"/>
        <w:kinsoku/>
        <w:wordWrap/>
        <w:overflowPunct/>
        <w:topLinePunct w:val="0"/>
        <w:autoSpaceDE/>
        <w:autoSpaceDN/>
        <w:bidi w:val="0"/>
        <w:adjustRightInd/>
        <w:snapToGrid w:val="0"/>
        <w:spacing w:line="600" w:lineRule="exact"/>
        <w:ind w:left="0" w:firstLine="640" w:firstLineChars="200"/>
        <w:textAlignment w:val="auto"/>
        <w:rPr>
          <w:rFonts w:hint="default" w:ascii="Times New Roman" w:hAnsi="Times New Roman" w:eastAsia="楷体" w:cs="Times New Roman"/>
          <w:kern w:val="2"/>
          <w:sz w:val="32"/>
          <w:szCs w:val="32"/>
          <w:lang w:val="en-US" w:eastAsia="zh-CN" w:bidi="ar-SA"/>
        </w:rPr>
      </w:pPr>
      <w:r>
        <w:rPr>
          <w:rFonts w:hint="default" w:ascii="Times New Roman" w:hAnsi="Times New Roman" w:eastAsia="楷体" w:cs="Times New Roman"/>
          <w:kern w:val="2"/>
          <w:sz w:val="32"/>
          <w:szCs w:val="32"/>
          <w:lang w:val="en-US" w:eastAsia="zh-CN" w:bidi="ar-SA"/>
        </w:rPr>
        <w:t>（四）偏离绩效目标的原因及下一步改进措施</w:t>
      </w:r>
    </w:p>
    <w:p>
      <w:pPr>
        <w:keepNext w:val="0"/>
        <w:keepLines w:val="0"/>
        <w:pageBreakBefore w:val="0"/>
        <w:kinsoku/>
        <w:wordWrap/>
        <w:overflowPunct/>
        <w:topLinePunct w:val="0"/>
        <w:autoSpaceDE/>
        <w:autoSpaceDN/>
        <w:bidi w:val="0"/>
        <w:adjustRightInd/>
        <w:snapToGrid w:val="0"/>
        <w:spacing w:line="600" w:lineRule="exact"/>
        <w:ind w:left="0" w:firstLine="640" w:firstLineChars="200"/>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基本支出执行率</w:t>
      </w:r>
      <w:r>
        <w:rPr>
          <w:rFonts w:hint="eastAsia" w:ascii="Times New Roman" w:hAnsi="Times New Roman" w:eastAsia="仿宋_GB2312" w:cs="Times New Roman"/>
          <w:color w:val="auto"/>
          <w:sz w:val="32"/>
          <w:szCs w:val="32"/>
          <w:lang w:val="en-US" w:eastAsia="zh-CN"/>
        </w:rPr>
        <w:t>100</w:t>
      </w:r>
      <w:r>
        <w:rPr>
          <w:rFonts w:hint="default" w:ascii="Times New Roman" w:hAnsi="Times New Roman" w:eastAsia="仿宋_GB2312" w:cs="Times New Roman"/>
          <w:color w:val="auto"/>
          <w:sz w:val="32"/>
          <w:szCs w:val="32"/>
          <w:lang w:val="en-US" w:eastAsia="zh-CN"/>
        </w:rPr>
        <w:t>%</w:t>
      </w:r>
      <w:r>
        <w:rPr>
          <w:rFonts w:hint="eastAsia" w:ascii="Times New Roman" w:hAnsi="Times New Roman" w:eastAsia="仿宋_GB2312" w:cs="Times New Roman"/>
          <w:color w:val="auto"/>
          <w:sz w:val="32"/>
          <w:szCs w:val="32"/>
          <w:lang w:val="en-US" w:eastAsia="zh-CN"/>
        </w:rPr>
        <w:t>。</w:t>
      </w:r>
      <w:r>
        <w:rPr>
          <w:rFonts w:hint="default" w:ascii="Times New Roman" w:hAnsi="Times New Roman" w:eastAsia="仿宋_GB2312" w:cs="Times New Roman"/>
          <w:color w:val="auto"/>
          <w:sz w:val="32"/>
          <w:szCs w:val="32"/>
          <w:lang w:val="en-US" w:eastAsia="zh-CN"/>
        </w:rPr>
        <w:t>项目支出执行率98.74%，主要</w:t>
      </w:r>
      <w:r>
        <w:rPr>
          <w:rFonts w:hint="eastAsia" w:ascii="Times New Roman" w:hAnsi="Times New Roman" w:eastAsia="仿宋_GB2312" w:cs="Times New Roman"/>
          <w:color w:val="auto"/>
          <w:sz w:val="32"/>
          <w:szCs w:val="32"/>
          <w:lang w:val="en-US" w:eastAsia="zh-CN"/>
        </w:rPr>
        <w:t>原因为：1.审计专项补助经费发放不够及时；2.审计中介服务费预算不够细化，未能及时支出。</w:t>
      </w:r>
    </w:p>
    <w:p>
      <w:pPr>
        <w:pStyle w:val="2"/>
        <w:keepNext w:val="0"/>
        <w:keepLines w:val="0"/>
        <w:pageBreakBefore w:val="0"/>
        <w:numPr>
          <w:ilvl w:val="0"/>
          <w:numId w:val="3"/>
        </w:numPr>
        <w:kinsoku/>
        <w:wordWrap/>
        <w:overflowPunct/>
        <w:topLinePunct w:val="0"/>
        <w:autoSpaceDE/>
        <w:autoSpaceDN/>
        <w:bidi w:val="0"/>
        <w:adjustRightInd/>
        <w:spacing w:line="600" w:lineRule="exact"/>
        <w:ind w:left="0" w:leftChars="0" w:firstLine="640" w:firstLineChars="200"/>
        <w:textAlignment w:val="auto"/>
        <w:rPr>
          <w:rFonts w:hint="default" w:ascii="Times New Roman" w:hAnsi="Times New Roman" w:eastAsia="黑体" w:cs="Times New Roman"/>
          <w:lang w:val="en-US" w:eastAsia="zh-CN"/>
        </w:rPr>
      </w:pPr>
      <w:r>
        <w:rPr>
          <w:rFonts w:hint="default" w:ascii="Times New Roman" w:hAnsi="Times New Roman" w:eastAsia="黑体" w:cs="Times New Roman"/>
          <w:lang w:val="en-US" w:eastAsia="zh-CN"/>
        </w:rPr>
        <w:t>部门预算项目支出绩效自评情况分析</w:t>
      </w:r>
    </w:p>
    <w:p>
      <w:pPr>
        <w:pStyle w:val="3"/>
        <w:keepNext w:val="0"/>
        <w:keepLines w:val="0"/>
        <w:pageBreakBefore w:val="0"/>
        <w:kinsoku/>
        <w:wordWrap/>
        <w:overflowPunct/>
        <w:topLinePunct w:val="0"/>
        <w:autoSpaceDE/>
        <w:autoSpaceDN/>
        <w:bidi w:val="0"/>
        <w:adjustRightInd/>
        <w:spacing w:line="600" w:lineRule="exact"/>
        <w:ind w:left="0" w:leftChars="0" w:firstLine="640" w:firstLineChars="20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2020年，本部门预算支出项目1个</w:t>
      </w:r>
      <w:r>
        <w:rPr>
          <w:rFonts w:hint="eastAsia" w:ascii="Times New Roman" w:hAnsi="Times New Roman" w:eastAsia="仿宋_GB2312" w:cs="Times New Roman"/>
          <w:sz w:val="32"/>
          <w:szCs w:val="32"/>
          <w:lang w:val="en-US" w:eastAsia="zh-CN"/>
        </w:rPr>
        <w:t>为审计中介服务费</w:t>
      </w:r>
      <w:r>
        <w:rPr>
          <w:rFonts w:hint="default" w:ascii="Times New Roman" w:hAnsi="Times New Roman" w:eastAsia="仿宋_GB2312" w:cs="Times New Roman"/>
          <w:sz w:val="32"/>
          <w:szCs w:val="32"/>
          <w:lang w:val="en-US" w:eastAsia="zh-CN"/>
        </w:rPr>
        <w:t>，当年财政拨款</w:t>
      </w:r>
      <w:r>
        <w:rPr>
          <w:rFonts w:hint="eastAsia" w:ascii="Times New Roman" w:hAnsi="Times New Roman" w:eastAsia="仿宋_GB2312" w:cs="Times New Roman"/>
          <w:sz w:val="32"/>
          <w:szCs w:val="32"/>
          <w:lang w:val="en-US" w:eastAsia="zh-CN"/>
        </w:rPr>
        <w:t>1681.54</w:t>
      </w:r>
      <w:r>
        <w:rPr>
          <w:rFonts w:hint="default" w:ascii="Times New Roman" w:hAnsi="Times New Roman" w:eastAsia="仿宋_GB2312" w:cs="Times New Roman"/>
          <w:sz w:val="32"/>
          <w:szCs w:val="32"/>
          <w:lang w:val="en-US" w:eastAsia="zh-CN"/>
        </w:rPr>
        <w:t>万元，全年支出</w:t>
      </w:r>
      <w:r>
        <w:rPr>
          <w:rFonts w:hint="eastAsia" w:ascii="Times New Roman" w:hAnsi="Times New Roman" w:eastAsia="仿宋_GB2312" w:cs="Times New Roman"/>
          <w:sz w:val="32"/>
          <w:szCs w:val="32"/>
          <w:lang w:val="en-US" w:eastAsia="zh-CN"/>
        </w:rPr>
        <w:t>1672.54万</w:t>
      </w:r>
      <w:r>
        <w:rPr>
          <w:rFonts w:hint="default" w:ascii="Times New Roman" w:hAnsi="Times New Roman" w:eastAsia="仿宋_GB2312" w:cs="Times New Roman"/>
          <w:sz w:val="32"/>
          <w:szCs w:val="32"/>
          <w:lang w:val="en-US" w:eastAsia="zh-CN"/>
        </w:rPr>
        <w:t>元，执行率</w:t>
      </w:r>
      <w:r>
        <w:rPr>
          <w:rFonts w:hint="eastAsia" w:ascii="Times New Roman" w:hAnsi="Times New Roman" w:eastAsia="仿宋_GB2312" w:cs="Times New Roman"/>
          <w:sz w:val="32"/>
          <w:szCs w:val="32"/>
          <w:lang w:val="en-US" w:eastAsia="zh-CN"/>
        </w:rPr>
        <w:t>99.46</w:t>
      </w:r>
      <w:r>
        <w:rPr>
          <w:rFonts w:hint="default" w:ascii="Times New Roman" w:hAnsi="Times New Roman" w:eastAsia="仿宋_GB2312" w:cs="Times New Roman"/>
          <w:sz w:val="32"/>
          <w:szCs w:val="32"/>
          <w:lang w:val="en-US" w:eastAsia="zh-CN"/>
        </w:rPr>
        <w:t>%。通过自评，项目结果为“优”。项目自评情况分析如下：</w:t>
      </w:r>
    </w:p>
    <w:p>
      <w:pPr>
        <w:pStyle w:val="3"/>
        <w:keepNext w:val="0"/>
        <w:keepLines w:val="0"/>
        <w:pageBreakBefore w:val="0"/>
        <w:numPr>
          <w:ilvl w:val="0"/>
          <w:numId w:val="4"/>
        </w:numPr>
        <w:kinsoku/>
        <w:wordWrap/>
        <w:overflowPunct/>
        <w:topLinePunct w:val="0"/>
        <w:autoSpaceDE/>
        <w:autoSpaceDN/>
        <w:bidi w:val="0"/>
        <w:adjustRightInd/>
        <w:spacing w:line="600" w:lineRule="exact"/>
        <w:ind w:left="0" w:leftChars="0" w:firstLine="640" w:firstLineChars="200"/>
        <w:textAlignment w:val="auto"/>
        <w:rPr>
          <w:rFonts w:hint="default" w:ascii="Times New Roman" w:hAnsi="Times New Roman" w:eastAsia="楷体" w:cs="Times New Roman"/>
          <w:kern w:val="2"/>
          <w:sz w:val="32"/>
          <w:szCs w:val="32"/>
          <w:lang w:val="en-US" w:eastAsia="zh-CN" w:bidi="ar-SA"/>
        </w:rPr>
      </w:pPr>
      <w:r>
        <w:rPr>
          <w:rFonts w:hint="default" w:ascii="Times New Roman" w:hAnsi="Times New Roman" w:eastAsia="楷体" w:cs="Times New Roman"/>
          <w:kern w:val="2"/>
          <w:sz w:val="32"/>
          <w:szCs w:val="32"/>
          <w:lang w:val="en-US" w:eastAsia="zh-CN" w:bidi="ar-SA"/>
        </w:rPr>
        <w:t>项目支出预算执行情况</w:t>
      </w:r>
    </w:p>
    <w:p>
      <w:pPr>
        <w:keepNext w:val="0"/>
        <w:keepLines w:val="0"/>
        <w:pageBreakBefore w:val="0"/>
        <w:numPr>
          <w:ilvl w:val="0"/>
          <w:numId w:val="0"/>
        </w:numPr>
        <w:kinsoku/>
        <w:wordWrap/>
        <w:overflowPunct/>
        <w:topLinePunct w:val="0"/>
        <w:autoSpaceDE/>
        <w:autoSpaceDN/>
        <w:bidi w:val="0"/>
        <w:adjustRightInd/>
        <w:spacing w:line="600" w:lineRule="exact"/>
        <w:ind w:left="0" w:firstLine="640" w:firstLineChars="200"/>
        <w:textAlignment w:val="auto"/>
        <w:rPr>
          <w:rFonts w:hint="default" w:ascii="Times New Roman" w:hAnsi="Times New Roman" w:eastAsia="仿宋_GB2312" w:cs="Times New Roman"/>
          <w:kern w:val="2"/>
          <w:sz w:val="32"/>
          <w:szCs w:val="24"/>
          <w:lang w:val="en-US" w:eastAsia="zh-CN" w:bidi="ar-SA"/>
        </w:rPr>
      </w:pPr>
      <w:r>
        <w:rPr>
          <w:rFonts w:hint="default" w:ascii="Times New Roman" w:hAnsi="Times New Roman" w:eastAsia="仿宋_GB2312" w:cs="Times New Roman"/>
          <w:kern w:val="2"/>
          <w:sz w:val="32"/>
          <w:szCs w:val="24"/>
          <w:lang w:val="en-US" w:eastAsia="zh-CN" w:bidi="ar-SA"/>
        </w:rPr>
        <w:t>审计中介服务费上年结转结余193.34万元，中期追加调整</w:t>
      </w:r>
      <w:r>
        <w:rPr>
          <w:rFonts w:hint="eastAsia" w:ascii="Times New Roman" w:hAnsi="Times New Roman" w:eastAsia="仿宋_GB2312" w:cs="Times New Roman"/>
          <w:kern w:val="2"/>
          <w:sz w:val="32"/>
          <w:szCs w:val="24"/>
          <w:lang w:val="en-US" w:eastAsia="zh-CN" w:bidi="ar-SA"/>
        </w:rPr>
        <w:t>1487.60</w:t>
      </w:r>
      <w:r>
        <w:rPr>
          <w:rFonts w:hint="default" w:ascii="Times New Roman" w:hAnsi="Times New Roman" w:eastAsia="仿宋_GB2312" w:cs="Times New Roman"/>
          <w:kern w:val="2"/>
          <w:sz w:val="32"/>
          <w:szCs w:val="24"/>
          <w:lang w:val="en-US" w:eastAsia="zh-CN" w:bidi="ar-SA"/>
        </w:rPr>
        <w:t>万元，全年预算共计</w:t>
      </w:r>
      <w:r>
        <w:rPr>
          <w:rFonts w:hint="eastAsia" w:ascii="Times New Roman" w:hAnsi="Times New Roman" w:eastAsia="仿宋_GB2312" w:cs="Times New Roman"/>
          <w:kern w:val="2"/>
          <w:sz w:val="32"/>
          <w:szCs w:val="24"/>
          <w:lang w:val="en-US" w:eastAsia="zh-CN" w:bidi="ar-SA"/>
        </w:rPr>
        <w:t>1681.54</w:t>
      </w:r>
      <w:r>
        <w:rPr>
          <w:rFonts w:hint="default" w:ascii="Times New Roman" w:hAnsi="Times New Roman" w:eastAsia="仿宋_GB2312" w:cs="Times New Roman"/>
          <w:kern w:val="2"/>
          <w:sz w:val="32"/>
          <w:szCs w:val="24"/>
          <w:lang w:val="en-US" w:eastAsia="zh-CN" w:bidi="ar-SA"/>
        </w:rPr>
        <w:t>万元，全年支出</w:t>
      </w:r>
      <w:r>
        <w:rPr>
          <w:rFonts w:hint="eastAsia" w:ascii="Times New Roman" w:hAnsi="Times New Roman" w:eastAsia="仿宋_GB2312" w:cs="Times New Roman"/>
          <w:kern w:val="2"/>
          <w:sz w:val="32"/>
          <w:szCs w:val="24"/>
          <w:lang w:val="en-US" w:eastAsia="zh-CN" w:bidi="ar-SA"/>
        </w:rPr>
        <w:t>1672.54</w:t>
      </w:r>
      <w:r>
        <w:rPr>
          <w:rFonts w:hint="default" w:ascii="Times New Roman" w:hAnsi="Times New Roman" w:eastAsia="仿宋_GB2312" w:cs="Times New Roman"/>
          <w:kern w:val="2"/>
          <w:sz w:val="32"/>
          <w:szCs w:val="24"/>
          <w:lang w:val="en-US" w:eastAsia="zh-CN" w:bidi="ar-SA"/>
        </w:rPr>
        <w:t>万元，执行率为</w:t>
      </w:r>
      <w:r>
        <w:rPr>
          <w:rFonts w:hint="eastAsia" w:ascii="Times New Roman" w:hAnsi="Times New Roman" w:eastAsia="仿宋_GB2312" w:cs="Times New Roman"/>
          <w:kern w:val="2"/>
          <w:sz w:val="32"/>
          <w:szCs w:val="24"/>
          <w:lang w:val="en-US" w:eastAsia="zh-CN" w:bidi="ar-SA"/>
        </w:rPr>
        <w:t>99.46</w:t>
      </w:r>
      <w:r>
        <w:rPr>
          <w:rFonts w:hint="default" w:ascii="Times New Roman" w:hAnsi="Times New Roman" w:eastAsia="仿宋_GB2312" w:cs="Times New Roman"/>
          <w:kern w:val="2"/>
          <w:sz w:val="32"/>
          <w:szCs w:val="24"/>
          <w:lang w:val="en-US" w:eastAsia="zh-CN" w:bidi="ar-SA"/>
        </w:rPr>
        <w:t>%。</w:t>
      </w:r>
    </w:p>
    <w:p>
      <w:pPr>
        <w:keepNext w:val="0"/>
        <w:keepLines w:val="0"/>
        <w:pageBreakBefore w:val="0"/>
        <w:kinsoku/>
        <w:wordWrap/>
        <w:overflowPunct/>
        <w:topLinePunct w:val="0"/>
        <w:autoSpaceDE/>
        <w:autoSpaceDN/>
        <w:bidi w:val="0"/>
        <w:adjustRightInd/>
        <w:snapToGrid w:val="0"/>
        <w:spacing w:line="600" w:lineRule="exact"/>
        <w:ind w:left="0" w:firstLine="640" w:firstLineChars="200"/>
        <w:textAlignment w:val="auto"/>
        <w:rPr>
          <w:rFonts w:hint="default" w:ascii="Times New Roman" w:hAnsi="Times New Roman" w:eastAsia="楷体" w:cs="Times New Roman"/>
          <w:kern w:val="2"/>
          <w:sz w:val="32"/>
          <w:szCs w:val="32"/>
          <w:lang w:val="en-US" w:eastAsia="zh-CN" w:bidi="ar-SA"/>
        </w:rPr>
      </w:pPr>
      <w:r>
        <w:rPr>
          <w:rFonts w:hint="default" w:ascii="Times New Roman" w:hAnsi="Times New Roman" w:eastAsia="楷体" w:cs="Times New Roman"/>
          <w:kern w:val="2"/>
          <w:sz w:val="32"/>
          <w:szCs w:val="32"/>
          <w:lang w:val="en-US" w:eastAsia="zh-CN" w:bidi="ar-SA"/>
        </w:rPr>
        <w:t>（二）总体绩效目标完成情况分析</w:t>
      </w:r>
    </w:p>
    <w:p>
      <w:pPr>
        <w:keepNext w:val="0"/>
        <w:keepLines w:val="0"/>
        <w:pageBreakBefore w:val="0"/>
        <w:kinsoku/>
        <w:wordWrap/>
        <w:overflowPunct/>
        <w:topLinePunct w:val="0"/>
        <w:autoSpaceDE/>
        <w:autoSpaceDN/>
        <w:bidi w:val="0"/>
        <w:adjustRightInd/>
        <w:snapToGrid w:val="0"/>
        <w:spacing w:line="600" w:lineRule="exact"/>
        <w:ind w:left="0" w:firstLine="640" w:firstLineChars="200"/>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审计中介服务费总体绩效目标为:完成以前年度未支付的项目审计中介服务费；支付2020年度审计项目中介服务费。以上目标</w:t>
      </w:r>
      <w:r>
        <w:rPr>
          <w:rFonts w:hint="eastAsia" w:ascii="Times New Roman" w:hAnsi="Times New Roman" w:eastAsia="仿宋_GB2312" w:cs="Times New Roman"/>
          <w:color w:val="auto"/>
          <w:sz w:val="32"/>
          <w:szCs w:val="32"/>
          <w:lang w:val="en-US" w:eastAsia="zh-CN"/>
        </w:rPr>
        <w:t>99.46</w:t>
      </w:r>
      <w:r>
        <w:rPr>
          <w:rFonts w:hint="default" w:ascii="Times New Roman" w:hAnsi="Times New Roman" w:eastAsia="仿宋_GB2312" w:cs="Times New Roman"/>
          <w:color w:val="auto"/>
          <w:sz w:val="32"/>
          <w:szCs w:val="32"/>
          <w:lang w:val="en-US" w:eastAsia="zh-CN"/>
        </w:rPr>
        <w:t>%已完成。</w:t>
      </w:r>
    </w:p>
    <w:p>
      <w:pPr>
        <w:keepNext w:val="0"/>
        <w:keepLines w:val="0"/>
        <w:pageBreakBefore w:val="0"/>
        <w:kinsoku/>
        <w:wordWrap/>
        <w:overflowPunct/>
        <w:topLinePunct w:val="0"/>
        <w:autoSpaceDE/>
        <w:autoSpaceDN/>
        <w:bidi w:val="0"/>
        <w:adjustRightInd/>
        <w:snapToGrid w:val="0"/>
        <w:spacing w:line="600" w:lineRule="exact"/>
        <w:ind w:left="0" w:firstLine="640" w:firstLineChars="200"/>
        <w:textAlignment w:val="auto"/>
        <w:rPr>
          <w:rFonts w:hint="default" w:ascii="Times New Roman" w:hAnsi="Times New Roman" w:eastAsia="楷体" w:cs="Times New Roman"/>
          <w:kern w:val="2"/>
          <w:sz w:val="32"/>
          <w:szCs w:val="32"/>
          <w:lang w:val="en-US" w:eastAsia="zh-CN" w:bidi="ar-SA"/>
        </w:rPr>
      </w:pPr>
      <w:r>
        <w:rPr>
          <w:rFonts w:hint="default" w:ascii="Times New Roman" w:hAnsi="Times New Roman" w:eastAsia="楷体" w:cs="Times New Roman"/>
          <w:kern w:val="2"/>
          <w:sz w:val="32"/>
          <w:szCs w:val="32"/>
          <w:lang w:val="en-US" w:eastAsia="zh-CN" w:bidi="ar-SA"/>
        </w:rPr>
        <w:t>（三）各项指标完成情况分析</w:t>
      </w:r>
    </w:p>
    <w:p>
      <w:pPr>
        <w:keepNext w:val="0"/>
        <w:keepLines w:val="0"/>
        <w:pageBreakBefore w:val="0"/>
        <w:kinsoku/>
        <w:wordWrap/>
        <w:overflowPunct/>
        <w:topLinePunct w:val="0"/>
        <w:autoSpaceDE/>
        <w:autoSpaceDN/>
        <w:bidi w:val="0"/>
        <w:adjustRightInd/>
        <w:snapToGrid w:val="0"/>
        <w:spacing w:line="600" w:lineRule="exact"/>
        <w:ind w:left="0" w:firstLine="640" w:firstLineChars="200"/>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年度绩效指标主要有：产出指标、效益指标、满意度指标3个方面，均已经达到年度指标值。</w:t>
      </w:r>
    </w:p>
    <w:p>
      <w:pPr>
        <w:keepNext w:val="0"/>
        <w:keepLines w:val="0"/>
        <w:pageBreakBefore w:val="0"/>
        <w:numPr>
          <w:ilvl w:val="0"/>
          <w:numId w:val="5"/>
        </w:numPr>
        <w:kinsoku/>
        <w:wordWrap/>
        <w:overflowPunct/>
        <w:topLinePunct w:val="0"/>
        <w:autoSpaceDE/>
        <w:autoSpaceDN/>
        <w:bidi w:val="0"/>
        <w:adjustRightInd/>
        <w:snapToGrid w:val="0"/>
        <w:spacing w:line="600" w:lineRule="exact"/>
        <w:ind w:left="0" w:firstLine="640" w:firstLineChars="200"/>
        <w:textAlignment w:val="auto"/>
        <w:rPr>
          <w:rFonts w:hint="default" w:ascii="Times New Roman" w:hAnsi="Times New Roman" w:eastAsia="楷体" w:cs="Times New Roman"/>
          <w:kern w:val="2"/>
          <w:sz w:val="32"/>
          <w:szCs w:val="32"/>
          <w:lang w:val="en-US" w:eastAsia="zh-CN" w:bidi="ar-SA"/>
        </w:rPr>
      </w:pPr>
      <w:r>
        <w:rPr>
          <w:rFonts w:hint="default" w:ascii="Times New Roman" w:hAnsi="Times New Roman" w:eastAsia="楷体" w:cs="Times New Roman"/>
          <w:kern w:val="2"/>
          <w:sz w:val="32"/>
          <w:szCs w:val="32"/>
          <w:lang w:val="en-US" w:eastAsia="zh-CN" w:bidi="ar-SA"/>
        </w:rPr>
        <w:t>偏离绩效目标的原因及下一步改进措施</w:t>
      </w:r>
    </w:p>
    <w:p>
      <w:pPr>
        <w:keepNext w:val="0"/>
        <w:keepLines w:val="0"/>
        <w:pageBreakBefore w:val="0"/>
        <w:numPr>
          <w:ilvl w:val="0"/>
          <w:numId w:val="0"/>
        </w:numPr>
        <w:kinsoku/>
        <w:wordWrap/>
        <w:overflowPunct/>
        <w:topLinePunct w:val="0"/>
        <w:autoSpaceDE/>
        <w:autoSpaceDN/>
        <w:bidi w:val="0"/>
        <w:adjustRightInd/>
        <w:snapToGrid w:val="0"/>
        <w:spacing w:line="600" w:lineRule="exact"/>
        <w:ind w:left="0"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审计中介服务费支出执行率</w:t>
      </w:r>
      <w:r>
        <w:rPr>
          <w:rFonts w:hint="eastAsia" w:ascii="Times New Roman" w:hAnsi="Times New Roman" w:eastAsia="仿宋_GB2312" w:cs="Times New Roman"/>
          <w:sz w:val="32"/>
          <w:szCs w:val="32"/>
          <w:lang w:val="en-US" w:eastAsia="zh-CN"/>
        </w:rPr>
        <w:t>99.46</w:t>
      </w:r>
      <w:r>
        <w:rPr>
          <w:rFonts w:hint="default" w:ascii="Times New Roman" w:hAnsi="Times New Roman" w:eastAsia="仿宋_GB2312" w:cs="Times New Roman"/>
          <w:sz w:val="32"/>
          <w:szCs w:val="32"/>
          <w:lang w:val="en-US" w:eastAsia="zh-CN"/>
        </w:rPr>
        <w:t>%。下一步将进一步细化预算执行率，及时进行支付，争取下一年度做到支付执行率100%。</w:t>
      </w:r>
    </w:p>
    <w:p>
      <w:pPr>
        <w:pStyle w:val="2"/>
        <w:keepNext w:val="0"/>
        <w:keepLines w:val="0"/>
        <w:pageBreakBefore w:val="0"/>
        <w:widowControl w:val="0"/>
        <w:numPr>
          <w:ilvl w:val="0"/>
          <w:numId w:val="0"/>
        </w:numPr>
        <w:kinsoku/>
        <w:wordWrap/>
        <w:overflowPunct/>
        <w:topLinePunct w:val="0"/>
        <w:autoSpaceDE/>
        <w:autoSpaceDN/>
        <w:bidi w:val="0"/>
        <w:adjustRightInd/>
        <w:spacing w:line="560" w:lineRule="exact"/>
        <w:ind w:firstLine="640" w:firstLineChars="200"/>
        <w:textAlignment w:val="auto"/>
        <w:rPr>
          <w:rFonts w:hint="eastAsia" w:ascii="Times New Roman" w:hAnsi="Times New Roman" w:eastAsia="仿宋_GB2312" w:cs="Times New Roman"/>
          <w:kern w:val="2"/>
          <w:sz w:val="32"/>
          <w:szCs w:val="32"/>
          <w:lang w:val="en-US" w:eastAsia="zh-CN" w:bidi="ar-SA"/>
        </w:rPr>
      </w:pPr>
      <w:r>
        <w:rPr>
          <w:rFonts w:hint="eastAsia" w:ascii="Times New Roman" w:hAnsi="Times New Roman" w:eastAsia="黑体" w:cs="Times New Roman"/>
          <w:lang w:val="en-US" w:eastAsia="zh-CN"/>
        </w:rPr>
        <w:t>五、部门管理的省、市对新区转移支付绩效自评情况分析</w:t>
      </w:r>
      <w:r>
        <w:rPr>
          <w:rFonts w:hint="eastAsia" w:ascii="Times New Roman" w:hAnsi="Times New Roman" w:eastAsia="仿宋_GB2312" w:cs="Times New Roman"/>
          <w:kern w:val="2"/>
          <w:sz w:val="32"/>
          <w:szCs w:val="32"/>
          <w:lang w:val="en-US" w:eastAsia="zh-CN" w:bidi="ar-SA"/>
        </w:rPr>
        <w:tab/>
      </w:r>
    </w:p>
    <w:p>
      <w:pPr>
        <w:pStyle w:val="2"/>
        <w:keepNext w:val="0"/>
        <w:keepLines w:val="0"/>
        <w:pageBreakBefore w:val="0"/>
        <w:widowControl w:val="0"/>
        <w:numPr>
          <w:ilvl w:val="0"/>
          <w:numId w:val="0"/>
        </w:numPr>
        <w:kinsoku/>
        <w:wordWrap/>
        <w:overflowPunct/>
        <w:topLinePunct w:val="0"/>
        <w:autoSpaceDE/>
        <w:autoSpaceDN/>
        <w:bidi w:val="0"/>
        <w:adjustRightInd/>
        <w:spacing w:line="560" w:lineRule="exact"/>
        <w:ind w:firstLine="640" w:firstLineChars="200"/>
        <w:textAlignment w:val="auto"/>
        <w:rPr>
          <w:rFonts w:hint="eastAsia"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kern w:val="2"/>
          <w:sz w:val="32"/>
          <w:szCs w:val="32"/>
          <w:lang w:val="en-US" w:eastAsia="zh-CN" w:bidi="ar-SA"/>
        </w:rPr>
        <w:t>2020年，本部门共管理省、市转移支付</w:t>
      </w:r>
      <w:r>
        <w:rPr>
          <w:rFonts w:hint="eastAsia" w:ascii="Times New Roman" w:hAnsi="Times New Roman" w:cs="Times New Roman"/>
          <w:kern w:val="2"/>
          <w:sz w:val="32"/>
          <w:szCs w:val="32"/>
          <w:lang w:val="en-US" w:eastAsia="zh-CN" w:bidi="ar-SA"/>
        </w:rPr>
        <w:t>1</w:t>
      </w:r>
      <w:r>
        <w:rPr>
          <w:rFonts w:hint="eastAsia" w:ascii="Times New Roman" w:hAnsi="Times New Roman" w:eastAsia="仿宋_GB2312" w:cs="Times New Roman"/>
          <w:kern w:val="2"/>
          <w:sz w:val="32"/>
          <w:szCs w:val="32"/>
          <w:lang w:val="en-US" w:eastAsia="zh-CN" w:bidi="ar-SA"/>
        </w:rPr>
        <w:t>项</w:t>
      </w:r>
      <w:r>
        <w:rPr>
          <w:rFonts w:hint="eastAsia" w:ascii="Times New Roman" w:hAnsi="Times New Roman" w:cs="Times New Roman"/>
          <w:kern w:val="2"/>
          <w:sz w:val="32"/>
          <w:szCs w:val="32"/>
          <w:lang w:val="en-US" w:eastAsia="zh-CN" w:bidi="ar-SA"/>
        </w:rPr>
        <w:t>为审计专项补助经费</w:t>
      </w:r>
      <w:r>
        <w:rPr>
          <w:rFonts w:hint="eastAsia" w:ascii="Times New Roman" w:hAnsi="Times New Roman" w:eastAsia="仿宋_GB2312" w:cs="Times New Roman"/>
          <w:kern w:val="2"/>
          <w:sz w:val="32"/>
          <w:szCs w:val="32"/>
          <w:lang w:val="en-US" w:eastAsia="zh-CN" w:bidi="ar-SA"/>
        </w:rPr>
        <w:t>，</w:t>
      </w:r>
      <w:r>
        <w:rPr>
          <w:rFonts w:hint="eastAsia" w:ascii="Times New Roman" w:hAnsi="Times New Roman" w:cs="Times New Roman"/>
          <w:kern w:val="2"/>
          <w:sz w:val="32"/>
          <w:szCs w:val="32"/>
          <w:lang w:val="en-US" w:eastAsia="zh-CN" w:bidi="ar-SA"/>
        </w:rPr>
        <w:t>省级</w:t>
      </w:r>
      <w:r>
        <w:rPr>
          <w:rFonts w:hint="eastAsia" w:ascii="Times New Roman" w:hAnsi="Times New Roman" w:eastAsia="仿宋_GB2312" w:cs="Times New Roman"/>
          <w:kern w:val="2"/>
          <w:sz w:val="32"/>
          <w:szCs w:val="32"/>
          <w:lang w:val="en-US" w:eastAsia="zh-CN" w:bidi="ar-SA"/>
        </w:rPr>
        <w:t>预算共安排</w:t>
      </w:r>
      <w:r>
        <w:rPr>
          <w:rFonts w:hint="eastAsia" w:ascii="Times New Roman" w:hAnsi="Times New Roman" w:cs="Times New Roman"/>
          <w:kern w:val="2"/>
          <w:sz w:val="32"/>
          <w:szCs w:val="32"/>
          <w:lang w:val="en-US" w:eastAsia="zh-CN" w:bidi="ar-SA"/>
        </w:rPr>
        <w:t>7</w:t>
      </w:r>
      <w:r>
        <w:rPr>
          <w:rFonts w:hint="eastAsia" w:ascii="Times New Roman" w:hAnsi="Times New Roman" w:eastAsia="仿宋_GB2312" w:cs="Times New Roman"/>
          <w:kern w:val="2"/>
          <w:sz w:val="32"/>
          <w:szCs w:val="32"/>
          <w:lang w:val="en-US" w:eastAsia="zh-CN" w:bidi="ar-SA"/>
        </w:rPr>
        <w:t>万元</w:t>
      </w:r>
      <w:r>
        <w:rPr>
          <w:rFonts w:hint="eastAsia" w:ascii="Times New Roman" w:hAnsi="Times New Roman" w:cs="Times New Roman"/>
          <w:kern w:val="2"/>
          <w:sz w:val="32"/>
          <w:szCs w:val="32"/>
          <w:lang w:val="en-US" w:eastAsia="zh-CN" w:bidi="ar-SA"/>
        </w:rPr>
        <w:t>，年初结转结余8.16万元</w:t>
      </w:r>
      <w:r>
        <w:rPr>
          <w:rFonts w:hint="eastAsia" w:ascii="Times New Roman" w:hAnsi="Times New Roman" w:eastAsia="仿宋_GB2312" w:cs="Times New Roman"/>
          <w:kern w:val="2"/>
          <w:sz w:val="32"/>
          <w:szCs w:val="32"/>
          <w:lang w:val="en-US" w:eastAsia="zh-CN" w:bidi="ar-SA"/>
        </w:rPr>
        <w:t>，</w:t>
      </w:r>
      <w:r>
        <w:rPr>
          <w:rFonts w:hint="eastAsia" w:ascii="Times New Roman" w:hAnsi="Times New Roman" w:cs="Times New Roman"/>
          <w:kern w:val="2"/>
          <w:sz w:val="32"/>
          <w:szCs w:val="32"/>
          <w:lang w:val="en-US" w:eastAsia="zh-CN" w:bidi="ar-SA"/>
        </w:rPr>
        <w:t>全年</w:t>
      </w:r>
      <w:r>
        <w:rPr>
          <w:rFonts w:hint="eastAsia" w:ascii="Times New Roman" w:hAnsi="Times New Roman" w:eastAsia="仿宋_GB2312" w:cs="Times New Roman"/>
          <w:kern w:val="2"/>
          <w:sz w:val="32"/>
          <w:szCs w:val="32"/>
          <w:lang w:val="en-US" w:eastAsia="zh-CN" w:bidi="ar-SA"/>
        </w:rPr>
        <w:t>支出</w:t>
      </w:r>
      <w:r>
        <w:rPr>
          <w:rFonts w:hint="eastAsia" w:ascii="Times New Roman" w:hAnsi="Times New Roman" w:cs="Times New Roman"/>
          <w:kern w:val="2"/>
          <w:sz w:val="32"/>
          <w:szCs w:val="32"/>
          <w:lang w:val="en-US" w:eastAsia="zh-CN" w:bidi="ar-SA"/>
        </w:rPr>
        <w:t>7.02</w:t>
      </w:r>
      <w:r>
        <w:rPr>
          <w:rFonts w:hint="eastAsia" w:ascii="Times New Roman" w:hAnsi="Times New Roman" w:eastAsia="仿宋_GB2312" w:cs="Times New Roman"/>
          <w:kern w:val="2"/>
          <w:sz w:val="32"/>
          <w:szCs w:val="32"/>
          <w:lang w:val="en-US" w:eastAsia="zh-CN" w:bidi="ar-SA"/>
        </w:rPr>
        <w:t>万元，执行率</w:t>
      </w:r>
      <w:r>
        <w:rPr>
          <w:rFonts w:hint="eastAsia" w:ascii="Times New Roman" w:hAnsi="Times New Roman" w:cs="Times New Roman"/>
          <w:kern w:val="2"/>
          <w:sz w:val="32"/>
          <w:szCs w:val="32"/>
          <w:lang w:val="en-US" w:eastAsia="zh-CN" w:bidi="ar-SA"/>
        </w:rPr>
        <w:t>46</w:t>
      </w:r>
      <w:r>
        <w:rPr>
          <w:rFonts w:hint="eastAsia" w:ascii="Times New Roman" w:hAnsi="Times New Roman" w:eastAsia="仿宋_GB2312" w:cs="Times New Roman"/>
          <w:kern w:val="2"/>
          <w:sz w:val="32"/>
          <w:szCs w:val="32"/>
          <w:lang w:val="en-US" w:eastAsia="zh-CN" w:bidi="ar-SA"/>
        </w:rPr>
        <w:t>%。项目自评情况分析如下：</w:t>
      </w:r>
    </w:p>
    <w:p>
      <w:pPr>
        <w:pStyle w:val="2"/>
        <w:keepNext w:val="0"/>
        <w:keepLines w:val="0"/>
        <w:pageBreakBefore w:val="0"/>
        <w:widowControl w:val="0"/>
        <w:numPr>
          <w:ilvl w:val="0"/>
          <w:numId w:val="6"/>
        </w:numPr>
        <w:kinsoku/>
        <w:wordWrap/>
        <w:overflowPunct/>
        <w:topLinePunct w:val="0"/>
        <w:autoSpaceDE/>
        <w:autoSpaceDN/>
        <w:bidi w:val="0"/>
        <w:adjustRightInd/>
        <w:spacing w:line="560" w:lineRule="exact"/>
        <w:ind w:firstLine="640" w:firstLineChars="200"/>
        <w:textAlignment w:val="auto"/>
        <w:rPr>
          <w:rFonts w:hint="eastAsia" w:ascii="Times New Roman" w:hAnsi="Times New Roman" w:eastAsia="仿宋_GB2312" w:cs="Times New Roman"/>
          <w:kern w:val="2"/>
          <w:sz w:val="32"/>
          <w:szCs w:val="32"/>
          <w:lang w:val="en-US" w:eastAsia="zh-CN" w:bidi="ar-SA"/>
        </w:rPr>
      </w:pPr>
      <w:r>
        <w:rPr>
          <w:rFonts w:hint="eastAsia" w:ascii="Times New Roman" w:hAnsi="Times New Roman" w:eastAsia="楷体" w:cs="Times New Roman"/>
          <w:kern w:val="2"/>
          <w:sz w:val="32"/>
          <w:szCs w:val="32"/>
          <w:lang w:val="en-US" w:eastAsia="zh-CN" w:bidi="ar-SA"/>
        </w:rPr>
        <w:t>转移支付预算执行情况。</w:t>
      </w:r>
    </w:p>
    <w:p>
      <w:pPr>
        <w:pStyle w:val="2"/>
        <w:keepNext w:val="0"/>
        <w:keepLines w:val="0"/>
        <w:pageBreakBefore w:val="0"/>
        <w:widowControl w:val="0"/>
        <w:numPr>
          <w:ilvl w:val="0"/>
          <w:numId w:val="0"/>
        </w:numPr>
        <w:kinsoku/>
        <w:wordWrap/>
        <w:overflowPunct/>
        <w:topLinePunct w:val="0"/>
        <w:autoSpaceDE/>
        <w:autoSpaceDN/>
        <w:bidi w:val="0"/>
        <w:adjustRightInd/>
        <w:spacing w:line="560" w:lineRule="exact"/>
        <w:ind w:firstLine="640" w:firstLineChars="200"/>
        <w:textAlignment w:val="auto"/>
        <w:rPr>
          <w:rFonts w:hint="eastAsia" w:ascii="Times New Roman" w:hAnsi="Times New Roman" w:eastAsia="仿宋_GB2312" w:cs="Times New Roman"/>
          <w:kern w:val="2"/>
          <w:sz w:val="32"/>
          <w:szCs w:val="32"/>
          <w:lang w:val="en-US" w:eastAsia="zh-CN" w:bidi="ar-SA"/>
        </w:rPr>
      </w:pPr>
      <w:r>
        <w:rPr>
          <w:rFonts w:hint="eastAsia" w:ascii="Times New Roman" w:hAnsi="Times New Roman" w:cs="Times New Roman"/>
          <w:kern w:val="2"/>
          <w:sz w:val="32"/>
          <w:szCs w:val="32"/>
          <w:lang w:val="en-US" w:eastAsia="zh-CN" w:bidi="ar-SA"/>
        </w:rPr>
        <w:t>省级</w:t>
      </w:r>
      <w:r>
        <w:rPr>
          <w:rFonts w:hint="eastAsia" w:ascii="Times New Roman" w:hAnsi="Times New Roman" w:eastAsia="仿宋_GB2312" w:cs="Times New Roman"/>
          <w:kern w:val="2"/>
          <w:sz w:val="32"/>
          <w:szCs w:val="32"/>
          <w:lang w:val="en-US" w:eastAsia="zh-CN" w:bidi="ar-SA"/>
        </w:rPr>
        <w:t>预算共安排</w:t>
      </w:r>
      <w:r>
        <w:rPr>
          <w:rFonts w:hint="eastAsia" w:ascii="Times New Roman" w:hAnsi="Times New Roman" w:cs="Times New Roman"/>
          <w:kern w:val="2"/>
          <w:sz w:val="32"/>
          <w:szCs w:val="32"/>
          <w:lang w:val="en-US" w:eastAsia="zh-CN" w:bidi="ar-SA"/>
        </w:rPr>
        <w:t>7</w:t>
      </w:r>
      <w:r>
        <w:rPr>
          <w:rFonts w:hint="eastAsia" w:ascii="Times New Roman" w:hAnsi="Times New Roman" w:eastAsia="仿宋_GB2312" w:cs="Times New Roman"/>
          <w:kern w:val="2"/>
          <w:sz w:val="32"/>
          <w:szCs w:val="32"/>
          <w:lang w:val="en-US" w:eastAsia="zh-CN" w:bidi="ar-SA"/>
        </w:rPr>
        <w:t>万元</w:t>
      </w:r>
      <w:r>
        <w:rPr>
          <w:rFonts w:hint="eastAsia" w:ascii="Times New Roman" w:hAnsi="Times New Roman" w:cs="Times New Roman"/>
          <w:kern w:val="2"/>
          <w:sz w:val="32"/>
          <w:szCs w:val="32"/>
          <w:lang w:val="en-US" w:eastAsia="zh-CN" w:bidi="ar-SA"/>
        </w:rPr>
        <w:t>，年初结转结余8.16万元</w:t>
      </w:r>
      <w:r>
        <w:rPr>
          <w:rFonts w:hint="eastAsia" w:ascii="Times New Roman" w:hAnsi="Times New Roman" w:eastAsia="仿宋_GB2312" w:cs="Times New Roman"/>
          <w:kern w:val="2"/>
          <w:sz w:val="32"/>
          <w:szCs w:val="32"/>
          <w:lang w:val="en-US" w:eastAsia="zh-CN" w:bidi="ar-SA"/>
        </w:rPr>
        <w:t>，</w:t>
      </w:r>
      <w:r>
        <w:rPr>
          <w:rFonts w:hint="eastAsia" w:ascii="Times New Roman" w:hAnsi="Times New Roman" w:cs="Times New Roman"/>
          <w:kern w:val="2"/>
          <w:sz w:val="32"/>
          <w:szCs w:val="32"/>
          <w:lang w:val="en-US" w:eastAsia="zh-CN" w:bidi="ar-SA"/>
        </w:rPr>
        <w:t>全年</w:t>
      </w:r>
      <w:r>
        <w:rPr>
          <w:rFonts w:hint="eastAsia" w:ascii="Times New Roman" w:hAnsi="Times New Roman" w:eastAsia="仿宋_GB2312" w:cs="Times New Roman"/>
          <w:kern w:val="2"/>
          <w:sz w:val="32"/>
          <w:szCs w:val="32"/>
          <w:lang w:val="en-US" w:eastAsia="zh-CN" w:bidi="ar-SA"/>
        </w:rPr>
        <w:t>支出</w:t>
      </w:r>
      <w:r>
        <w:rPr>
          <w:rFonts w:hint="eastAsia" w:ascii="Times New Roman" w:hAnsi="Times New Roman" w:cs="Times New Roman"/>
          <w:kern w:val="2"/>
          <w:sz w:val="32"/>
          <w:szCs w:val="32"/>
          <w:lang w:val="en-US" w:eastAsia="zh-CN" w:bidi="ar-SA"/>
        </w:rPr>
        <w:t>7.02</w:t>
      </w:r>
      <w:r>
        <w:rPr>
          <w:rFonts w:hint="eastAsia" w:ascii="Times New Roman" w:hAnsi="Times New Roman" w:eastAsia="仿宋_GB2312" w:cs="Times New Roman"/>
          <w:kern w:val="2"/>
          <w:sz w:val="32"/>
          <w:szCs w:val="32"/>
          <w:lang w:val="en-US" w:eastAsia="zh-CN" w:bidi="ar-SA"/>
        </w:rPr>
        <w:t>万元，执行率</w:t>
      </w:r>
      <w:r>
        <w:rPr>
          <w:rFonts w:hint="eastAsia" w:ascii="Times New Roman" w:hAnsi="Times New Roman" w:cs="Times New Roman"/>
          <w:kern w:val="2"/>
          <w:sz w:val="32"/>
          <w:szCs w:val="32"/>
          <w:lang w:val="en-US" w:eastAsia="zh-CN" w:bidi="ar-SA"/>
        </w:rPr>
        <w:t>46</w:t>
      </w:r>
      <w:r>
        <w:rPr>
          <w:rFonts w:hint="eastAsia" w:ascii="Times New Roman" w:hAnsi="Times New Roman" w:eastAsia="仿宋_GB2312" w:cs="Times New Roman"/>
          <w:kern w:val="2"/>
          <w:sz w:val="32"/>
          <w:szCs w:val="32"/>
          <w:lang w:val="en-US" w:eastAsia="zh-CN" w:bidi="ar-SA"/>
        </w:rPr>
        <w:t>%。</w:t>
      </w:r>
    </w:p>
    <w:p>
      <w:pPr>
        <w:pStyle w:val="2"/>
        <w:keepNext w:val="0"/>
        <w:keepLines w:val="0"/>
        <w:pageBreakBefore w:val="0"/>
        <w:widowControl w:val="0"/>
        <w:numPr>
          <w:ilvl w:val="0"/>
          <w:numId w:val="6"/>
        </w:numPr>
        <w:kinsoku/>
        <w:wordWrap/>
        <w:overflowPunct/>
        <w:topLinePunct w:val="0"/>
        <w:autoSpaceDE/>
        <w:autoSpaceDN/>
        <w:bidi w:val="0"/>
        <w:adjustRightInd/>
        <w:spacing w:line="560" w:lineRule="exact"/>
        <w:ind w:firstLine="640" w:firstLineChars="200"/>
        <w:textAlignment w:val="auto"/>
        <w:rPr>
          <w:rFonts w:hint="eastAsia" w:ascii="Times New Roman" w:hAnsi="Times New Roman" w:eastAsia="楷体" w:cs="Times New Roman"/>
          <w:kern w:val="2"/>
          <w:sz w:val="32"/>
          <w:szCs w:val="32"/>
          <w:lang w:val="en-US" w:eastAsia="zh-CN" w:bidi="ar-SA"/>
        </w:rPr>
      </w:pPr>
      <w:r>
        <w:rPr>
          <w:rFonts w:hint="eastAsia" w:ascii="Times New Roman" w:hAnsi="Times New Roman" w:eastAsia="楷体" w:cs="Times New Roman"/>
          <w:kern w:val="2"/>
          <w:sz w:val="32"/>
          <w:szCs w:val="32"/>
          <w:lang w:val="en-US" w:eastAsia="zh-CN" w:bidi="ar-SA"/>
        </w:rPr>
        <w:t>总体绩效目标完成情况分析。</w:t>
      </w:r>
    </w:p>
    <w:p>
      <w:pPr>
        <w:pStyle w:val="3"/>
        <w:keepNext w:val="0"/>
        <w:keepLines w:val="0"/>
        <w:pageBreakBefore w:val="0"/>
        <w:widowControl w:val="0"/>
        <w:numPr>
          <w:ilvl w:val="0"/>
          <w:numId w:val="0"/>
        </w:numPr>
        <w:kinsoku/>
        <w:wordWrap/>
        <w:overflowPunct/>
        <w:topLinePunct w:val="0"/>
        <w:autoSpaceDE/>
        <w:autoSpaceDN/>
        <w:bidi w:val="0"/>
        <w:adjustRightInd/>
        <w:spacing w:line="560" w:lineRule="exact"/>
        <w:ind w:firstLine="640" w:firstLineChars="200"/>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审计</w:t>
      </w:r>
      <w:r>
        <w:rPr>
          <w:rFonts w:hint="eastAsia" w:ascii="Times New Roman" w:hAnsi="Times New Roman" w:eastAsia="仿宋_GB2312" w:cs="Times New Roman"/>
          <w:color w:val="auto"/>
          <w:sz w:val="32"/>
          <w:szCs w:val="32"/>
          <w:lang w:val="en-US" w:eastAsia="zh-CN"/>
        </w:rPr>
        <w:t>专项补助经费</w:t>
      </w:r>
      <w:r>
        <w:rPr>
          <w:rFonts w:hint="default" w:ascii="Times New Roman" w:hAnsi="Times New Roman" w:eastAsia="仿宋_GB2312" w:cs="Times New Roman"/>
          <w:color w:val="auto"/>
          <w:sz w:val="32"/>
          <w:szCs w:val="32"/>
          <w:lang w:val="en-US" w:eastAsia="zh-CN"/>
        </w:rPr>
        <w:t>总体绩效目标为:</w:t>
      </w:r>
    </w:p>
    <w:p>
      <w:pPr>
        <w:pStyle w:val="3"/>
        <w:keepNext w:val="0"/>
        <w:keepLines w:val="0"/>
        <w:pageBreakBefore w:val="0"/>
        <w:widowControl w:val="0"/>
        <w:numPr>
          <w:ilvl w:val="0"/>
          <w:numId w:val="0"/>
        </w:numPr>
        <w:kinsoku/>
        <w:wordWrap/>
        <w:overflowPunct/>
        <w:topLinePunct w:val="0"/>
        <w:autoSpaceDE/>
        <w:autoSpaceDN/>
        <w:bidi w:val="0"/>
        <w:adjustRightInd/>
        <w:spacing w:line="560" w:lineRule="exact"/>
        <w:ind w:firstLine="640" w:firstLineChars="200"/>
        <w:textAlignment w:val="auto"/>
        <w:rPr>
          <w:rFonts w:hint="eastAsia"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kern w:val="2"/>
          <w:sz w:val="32"/>
          <w:szCs w:val="32"/>
          <w:lang w:val="en-US" w:eastAsia="zh-CN" w:bidi="ar-SA"/>
        </w:rPr>
        <w:t>1.围绕新区重点工作任务，推进年度经济责任审计、专项资金审计、国有企业全覆盖审计，进一步深化财政审计预算执行审计；对直接审计、调查和核查的事项依法进行审计评价，做出审计决定或提出审计建议。</w:t>
      </w:r>
    </w:p>
    <w:p>
      <w:pPr>
        <w:pStyle w:val="3"/>
        <w:keepNext w:val="0"/>
        <w:keepLines w:val="0"/>
        <w:pageBreakBefore w:val="0"/>
        <w:widowControl w:val="0"/>
        <w:numPr>
          <w:ilvl w:val="0"/>
          <w:numId w:val="0"/>
        </w:numPr>
        <w:kinsoku/>
        <w:wordWrap/>
        <w:overflowPunct/>
        <w:topLinePunct w:val="0"/>
        <w:autoSpaceDE/>
        <w:autoSpaceDN/>
        <w:bidi w:val="0"/>
        <w:adjustRightInd/>
        <w:spacing w:line="560" w:lineRule="exact"/>
        <w:ind w:firstLine="640" w:firstLineChars="200"/>
        <w:textAlignment w:val="auto"/>
        <w:rPr>
          <w:rFonts w:hint="default"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kern w:val="2"/>
          <w:sz w:val="32"/>
          <w:szCs w:val="32"/>
          <w:lang w:val="en-US" w:eastAsia="zh-CN" w:bidi="ar-SA"/>
        </w:rPr>
        <w:t>2.开展审计业务与培训，提高培训效率，注重成果转化与应用。</w:t>
      </w:r>
    </w:p>
    <w:p>
      <w:pPr>
        <w:keepNext w:val="0"/>
        <w:keepLines w:val="0"/>
        <w:pageBreakBefore w:val="0"/>
        <w:widowControl w:val="0"/>
        <w:kinsoku/>
        <w:wordWrap/>
        <w:overflowPunct/>
        <w:topLinePunct w:val="0"/>
        <w:autoSpaceDE/>
        <w:autoSpaceDN/>
        <w:bidi w:val="0"/>
        <w:adjustRightInd/>
        <w:snapToGrid w:val="0"/>
        <w:spacing w:line="560" w:lineRule="exact"/>
        <w:ind w:left="0" w:firstLine="640" w:firstLineChars="200"/>
        <w:textAlignment w:val="auto"/>
        <w:rPr>
          <w:rFonts w:hint="eastAsia" w:ascii="Times New Roman" w:hAnsi="Times New Roman" w:eastAsia="楷体" w:cs="Times New Roman"/>
          <w:kern w:val="2"/>
          <w:sz w:val="32"/>
          <w:szCs w:val="32"/>
          <w:lang w:val="en-US" w:eastAsia="zh-CN" w:bidi="ar-SA"/>
        </w:rPr>
      </w:pPr>
      <w:r>
        <w:rPr>
          <w:rFonts w:hint="eastAsia" w:ascii="Times New Roman" w:hAnsi="Times New Roman" w:eastAsia="楷体" w:cs="Times New Roman"/>
          <w:kern w:val="2"/>
          <w:sz w:val="32"/>
          <w:szCs w:val="32"/>
          <w:lang w:val="en-US" w:eastAsia="zh-CN" w:bidi="ar-SA"/>
        </w:rPr>
        <w:t>（三）各项指标完成情况分析。</w:t>
      </w:r>
    </w:p>
    <w:p>
      <w:pPr>
        <w:keepNext w:val="0"/>
        <w:keepLines w:val="0"/>
        <w:pageBreakBefore w:val="0"/>
        <w:widowControl w:val="0"/>
        <w:kinsoku/>
        <w:wordWrap/>
        <w:overflowPunct/>
        <w:topLinePunct w:val="0"/>
        <w:autoSpaceDE/>
        <w:autoSpaceDN/>
        <w:bidi w:val="0"/>
        <w:adjustRightInd/>
        <w:snapToGrid w:val="0"/>
        <w:spacing w:line="560" w:lineRule="exact"/>
        <w:ind w:left="0" w:firstLine="640" w:firstLineChars="200"/>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年度绩效指标主要有：产出指标、效益指标、满意度指标3个方面</w:t>
      </w:r>
      <w:r>
        <w:rPr>
          <w:rFonts w:hint="eastAsia" w:ascii="Times New Roman" w:hAnsi="Times New Roman" w:eastAsia="仿宋_GB2312" w:cs="Times New Roman"/>
          <w:color w:val="auto"/>
          <w:sz w:val="32"/>
          <w:szCs w:val="32"/>
          <w:lang w:val="en-US" w:eastAsia="zh-CN"/>
        </w:rPr>
        <w:t>；产出指标达标率为95.56%、</w:t>
      </w:r>
      <w:r>
        <w:rPr>
          <w:rFonts w:hint="default" w:ascii="Times New Roman" w:hAnsi="Times New Roman" w:eastAsia="仿宋_GB2312" w:cs="Times New Roman"/>
          <w:color w:val="auto"/>
          <w:sz w:val="32"/>
          <w:szCs w:val="32"/>
          <w:lang w:val="en-US" w:eastAsia="zh-CN"/>
        </w:rPr>
        <w:t>效益指标</w:t>
      </w:r>
      <w:r>
        <w:rPr>
          <w:rFonts w:hint="eastAsia" w:ascii="Times New Roman" w:hAnsi="Times New Roman" w:eastAsia="仿宋_GB2312" w:cs="Times New Roman"/>
          <w:color w:val="auto"/>
          <w:sz w:val="32"/>
          <w:szCs w:val="32"/>
          <w:lang w:val="en-US" w:eastAsia="zh-CN"/>
        </w:rPr>
        <w:t>达标率90%</w:t>
      </w:r>
      <w:r>
        <w:rPr>
          <w:rFonts w:hint="default" w:ascii="Times New Roman" w:hAnsi="Times New Roman" w:eastAsia="仿宋_GB2312" w:cs="Times New Roman"/>
          <w:color w:val="auto"/>
          <w:sz w:val="32"/>
          <w:szCs w:val="32"/>
          <w:lang w:val="en-US" w:eastAsia="zh-CN"/>
        </w:rPr>
        <w:t>、满意度指标</w:t>
      </w:r>
      <w:r>
        <w:rPr>
          <w:rFonts w:hint="eastAsia" w:ascii="Times New Roman" w:hAnsi="Times New Roman" w:eastAsia="仿宋_GB2312" w:cs="Times New Roman"/>
          <w:color w:val="auto"/>
          <w:sz w:val="32"/>
          <w:szCs w:val="32"/>
          <w:lang w:val="en-US" w:eastAsia="zh-CN"/>
        </w:rPr>
        <w:t>达标率均为100%。</w:t>
      </w: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firstLine="640" w:firstLineChars="200"/>
        <w:textAlignment w:val="auto"/>
        <w:rPr>
          <w:rFonts w:hint="default" w:ascii="Times New Roman" w:hAnsi="Times New Roman" w:eastAsia="楷体" w:cs="Times New Roman"/>
          <w:kern w:val="2"/>
          <w:sz w:val="32"/>
          <w:szCs w:val="32"/>
          <w:lang w:val="en-US" w:eastAsia="zh-CN" w:bidi="ar-SA"/>
        </w:rPr>
      </w:pPr>
      <w:r>
        <w:rPr>
          <w:rFonts w:hint="eastAsia" w:ascii="Times New Roman" w:hAnsi="Times New Roman" w:eastAsia="楷体" w:cs="Times New Roman"/>
          <w:kern w:val="2"/>
          <w:sz w:val="32"/>
          <w:szCs w:val="32"/>
          <w:lang w:val="en-US" w:eastAsia="zh-CN" w:bidi="ar-SA"/>
        </w:rPr>
        <w:t>（四）</w:t>
      </w:r>
      <w:r>
        <w:rPr>
          <w:rFonts w:hint="default" w:ascii="Times New Roman" w:hAnsi="Times New Roman" w:eastAsia="楷体" w:cs="Times New Roman"/>
          <w:kern w:val="2"/>
          <w:sz w:val="32"/>
          <w:szCs w:val="32"/>
          <w:lang w:val="en-US" w:eastAsia="zh-CN" w:bidi="ar-SA"/>
        </w:rPr>
        <w:t>偏离绩效目标的原因及下一步改进措施</w:t>
      </w:r>
    </w:p>
    <w:p>
      <w:pPr>
        <w:keepNext w:val="0"/>
        <w:keepLines w:val="0"/>
        <w:pageBreakBefore w:val="0"/>
        <w:widowControl w:val="0"/>
        <w:kinsoku/>
        <w:wordWrap/>
        <w:overflowPunct/>
        <w:topLinePunct w:val="0"/>
        <w:autoSpaceDE/>
        <w:autoSpaceDN/>
        <w:bidi w:val="0"/>
        <w:adjustRightInd/>
        <w:snapToGrid w:val="0"/>
        <w:spacing w:line="560" w:lineRule="exact"/>
        <w:ind w:left="0" w:firstLine="640" w:firstLineChars="200"/>
        <w:textAlignment w:val="auto"/>
        <w:rPr>
          <w:rFonts w:hint="default" w:ascii="黑体" w:hAnsi="黑体" w:eastAsia="黑体" w:cs="黑体"/>
          <w:lang w:val="en-US" w:eastAsia="zh-CN"/>
        </w:rPr>
      </w:pPr>
      <w:r>
        <w:rPr>
          <w:rFonts w:hint="eastAsia" w:ascii="Times New Roman" w:hAnsi="Times New Roman" w:eastAsia="仿宋_GB2312" w:cs="Times New Roman"/>
          <w:color w:val="auto"/>
          <w:sz w:val="32"/>
          <w:szCs w:val="32"/>
          <w:lang w:val="en-US" w:eastAsia="zh-CN"/>
        </w:rPr>
        <w:t>审计专项补助经费目标执行率为46%，主要原因为产出指标中：1.审计整改到位率未完全达标，主要原因为未到整改时限，部分问题未及整改。2.及时补充审计干部工作经费未达标，主要原因是前期报账相关资料不全。</w:t>
      </w:r>
    </w:p>
    <w:p>
      <w:pPr>
        <w:pStyle w:val="2"/>
        <w:keepNext w:val="0"/>
        <w:keepLines w:val="0"/>
        <w:pageBreakBefore w:val="0"/>
        <w:numPr>
          <w:ilvl w:val="0"/>
          <w:numId w:val="3"/>
        </w:numPr>
        <w:kinsoku/>
        <w:wordWrap/>
        <w:overflowPunct/>
        <w:topLinePunct w:val="0"/>
        <w:autoSpaceDE/>
        <w:autoSpaceDN/>
        <w:bidi w:val="0"/>
        <w:adjustRightInd/>
        <w:spacing w:line="600" w:lineRule="exact"/>
        <w:ind w:left="0" w:leftChars="0" w:firstLine="640" w:firstLineChars="200"/>
        <w:textAlignment w:val="auto"/>
        <w:rPr>
          <w:rFonts w:hint="eastAsia" w:ascii="黑体" w:hAnsi="黑体" w:eastAsia="黑体" w:cs="黑体"/>
          <w:lang w:val="en-US" w:eastAsia="zh-CN"/>
        </w:rPr>
      </w:pPr>
      <w:r>
        <w:rPr>
          <w:rFonts w:hint="eastAsia" w:ascii="黑体" w:hAnsi="黑体" w:eastAsia="黑体" w:cs="黑体"/>
          <w:lang w:val="en-US" w:eastAsia="zh-CN"/>
        </w:rPr>
        <w:t>绩效自评结果拟应用和公开情况</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pacing w:before="0" w:beforeAutospacing="0" w:after="0" w:afterAutospacing="0" w:line="600" w:lineRule="exact"/>
        <w:ind w:left="0" w:right="0" w:firstLine="645"/>
        <w:jc w:val="left"/>
        <w:textAlignment w:val="auto"/>
        <w:rPr>
          <w:rFonts w:hint="default" w:ascii="Times New Roman" w:hAnsi="Times New Roman" w:eastAsia="仿宋_GB2312" w:cs="Times New Roman"/>
          <w:kern w:val="2"/>
          <w:sz w:val="32"/>
          <w:szCs w:val="32"/>
          <w:lang w:val="en-US" w:eastAsia="zh-CN" w:bidi="ar-SA"/>
        </w:rPr>
      </w:pPr>
      <w:r>
        <w:rPr>
          <w:rFonts w:hint="default" w:ascii="Times New Roman" w:hAnsi="Times New Roman" w:eastAsia="仿宋_GB2312" w:cs="Times New Roman"/>
          <w:kern w:val="2"/>
          <w:sz w:val="32"/>
          <w:szCs w:val="32"/>
          <w:lang w:val="en-US" w:eastAsia="zh-CN" w:bidi="ar-SA"/>
        </w:rPr>
        <w:t>1、从部门管理、履职效果、能力建设及服务对象满意度等方面综合评价，</w:t>
      </w:r>
      <w:r>
        <w:rPr>
          <w:rFonts w:hint="eastAsia" w:ascii="Times New Roman" w:hAnsi="Times New Roman" w:eastAsia="仿宋_GB2312" w:cs="Times New Roman"/>
          <w:kern w:val="2"/>
          <w:sz w:val="32"/>
          <w:szCs w:val="32"/>
          <w:lang w:val="en-US" w:eastAsia="zh-CN" w:bidi="ar-SA"/>
        </w:rPr>
        <w:t>2020</w:t>
      </w:r>
      <w:r>
        <w:rPr>
          <w:rFonts w:hint="default" w:ascii="Times New Roman" w:hAnsi="Times New Roman" w:eastAsia="仿宋_GB2312" w:cs="Times New Roman"/>
          <w:kern w:val="2"/>
          <w:sz w:val="32"/>
          <w:szCs w:val="32"/>
          <w:lang w:val="en-US" w:eastAsia="zh-CN" w:bidi="ar-SA"/>
        </w:rPr>
        <w:t>年</w:t>
      </w:r>
      <w:r>
        <w:rPr>
          <w:rFonts w:hint="eastAsia" w:ascii="Times New Roman" w:hAnsi="Times New Roman" w:eastAsia="仿宋_GB2312" w:cs="Times New Roman"/>
          <w:kern w:val="2"/>
          <w:sz w:val="32"/>
          <w:szCs w:val="32"/>
          <w:lang w:val="en-US" w:eastAsia="zh-CN" w:bidi="ar-SA"/>
        </w:rPr>
        <w:t>我局</w:t>
      </w:r>
      <w:r>
        <w:rPr>
          <w:rFonts w:hint="default" w:ascii="Times New Roman" w:hAnsi="Times New Roman" w:eastAsia="仿宋_GB2312" w:cs="Times New Roman"/>
          <w:kern w:val="2"/>
          <w:sz w:val="32"/>
          <w:szCs w:val="32"/>
          <w:lang w:val="en-US" w:eastAsia="zh-CN" w:bidi="ar-SA"/>
        </w:rPr>
        <w:t>整体支出资金项目绩效评价得分为</w:t>
      </w:r>
      <w:r>
        <w:rPr>
          <w:rFonts w:hint="eastAsia" w:ascii="Times New Roman" w:hAnsi="Times New Roman" w:eastAsia="仿宋_GB2312" w:cs="Times New Roman"/>
          <w:kern w:val="2"/>
          <w:sz w:val="32"/>
          <w:szCs w:val="32"/>
          <w:lang w:val="en-US" w:eastAsia="zh-CN" w:bidi="ar-SA"/>
        </w:rPr>
        <w:t>99.8分。</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pacing w:before="0" w:beforeAutospacing="0" w:after="0" w:afterAutospacing="0" w:line="600" w:lineRule="exact"/>
        <w:ind w:left="0" w:right="0" w:firstLine="645"/>
        <w:jc w:val="left"/>
        <w:textAlignment w:val="auto"/>
        <w:rPr>
          <w:rFonts w:hint="eastAsia"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kern w:val="2"/>
          <w:sz w:val="32"/>
          <w:szCs w:val="32"/>
          <w:lang w:val="en-US" w:eastAsia="zh-CN" w:bidi="ar-SA"/>
        </w:rPr>
        <w:t>2、从</w:t>
      </w:r>
      <w:r>
        <w:rPr>
          <w:rFonts w:hint="default" w:ascii="Times New Roman" w:hAnsi="Times New Roman" w:eastAsia="仿宋_GB2312" w:cs="Times New Roman"/>
          <w:kern w:val="2"/>
          <w:sz w:val="32"/>
          <w:szCs w:val="32"/>
          <w:lang w:val="en-US" w:eastAsia="zh-CN" w:bidi="ar-SA"/>
        </w:rPr>
        <w:t>产出指标、效益指标、满意度指标</w:t>
      </w:r>
      <w:r>
        <w:rPr>
          <w:rFonts w:hint="eastAsia" w:ascii="Times New Roman" w:hAnsi="Times New Roman" w:eastAsia="仿宋_GB2312" w:cs="Times New Roman"/>
          <w:kern w:val="2"/>
          <w:sz w:val="32"/>
          <w:szCs w:val="32"/>
          <w:lang w:val="en-US" w:eastAsia="zh-CN" w:bidi="ar-SA"/>
        </w:rPr>
        <w:t>等方面对项目支出逐项评分进行综合评价，2020年度项目整体绩效评价等次为优秀。</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pacing w:before="0" w:beforeAutospacing="0" w:after="0" w:afterAutospacing="0" w:line="600" w:lineRule="exact"/>
        <w:ind w:left="0" w:right="0" w:firstLine="645"/>
        <w:jc w:val="left"/>
        <w:textAlignment w:val="auto"/>
        <w:rPr>
          <w:rFonts w:hint="eastAsia" w:ascii="Times New Roman" w:hAnsi="Times New Roman" w:eastAsia="仿宋_GB2312" w:cs="Times New Roman"/>
          <w:kern w:val="2"/>
          <w:sz w:val="32"/>
          <w:szCs w:val="32"/>
          <w:lang w:val="en-US" w:eastAsia="zh-CN" w:bidi="ar-SA"/>
        </w:rPr>
      </w:pP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pacing w:before="0" w:beforeAutospacing="0" w:after="0" w:afterAutospacing="0" w:line="600" w:lineRule="exact"/>
        <w:ind w:left="0" w:right="0" w:firstLine="645"/>
        <w:jc w:val="left"/>
        <w:textAlignment w:val="auto"/>
        <w:rPr>
          <w:rFonts w:hint="eastAsia" w:ascii="Times New Roman" w:hAnsi="Times New Roman" w:eastAsia="仿宋_GB2312" w:cs="Times New Roman"/>
          <w:kern w:val="2"/>
          <w:sz w:val="32"/>
          <w:szCs w:val="32"/>
          <w:lang w:val="en-US" w:eastAsia="zh-CN" w:bidi="ar-SA"/>
        </w:rPr>
      </w:pP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pacing w:before="0" w:beforeAutospacing="0" w:after="0" w:afterAutospacing="0" w:line="600" w:lineRule="exact"/>
        <w:ind w:left="0" w:right="0" w:firstLine="645"/>
        <w:jc w:val="left"/>
        <w:textAlignment w:val="auto"/>
        <w:rPr>
          <w:rFonts w:hint="eastAsia" w:ascii="Times New Roman" w:hAnsi="Times New Roman" w:eastAsia="仿宋_GB2312" w:cs="Times New Roman"/>
          <w:kern w:val="2"/>
          <w:sz w:val="32"/>
          <w:szCs w:val="32"/>
          <w:lang w:val="en-US" w:eastAsia="zh-CN" w:bidi="ar-SA"/>
        </w:rPr>
      </w:pP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pacing w:before="0" w:beforeAutospacing="0" w:after="0" w:afterAutospacing="0" w:line="600" w:lineRule="exact"/>
        <w:ind w:left="0" w:right="0" w:firstLine="5456" w:firstLineChars="1705"/>
        <w:jc w:val="left"/>
        <w:textAlignment w:val="auto"/>
        <w:rPr>
          <w:rFonts w:hint="eastAsia"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kern w:val="2"/>
          <w:sz w:val="32"/>
          <w:szCs w:val="32"/>
          <w:lang w:val="en-US" w:eastAsia="zh-CN" w:bidi="ar-SA"/>
        </w:rPr>
        <w:t>兰州新区审计局</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pacing w:before="0" w:beforeAutospacing="0" w:after="0" w:afterAutospacing="0" w:line="600" w:lineRule="exact"/>
        <w:ind w:left="0" w:right="0" w:firstLine="5456" w:firstLineChars="1705"/>
        <w:jc w:val="left"/>
        <w:textAlignment w:val="auto"/>
        <w:rPr>
          <w:rFonts w:hint="default"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kern w:val="2"/>
          <w:sz w:val="32"/>
          <w:szCs w:val="32"/>
          <w:lang w:val="en-US" w:eastAsia="zh-CN" w:bidi="ar-SA"/>
        </w:rPr>
        <w:t>2021年3月12日</w:t>
      </w:r>
    </w:p>
    <w:sectPr>
      <w:footerReference r:id="rId3" w:type="default"/>
      <w:pgSz w:w="11906" w:h="16838"/>
      <w:pgMar w:top="2098" w:right="1474" w:bottom="1984" w:left="1587"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-209550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rFonts w:hint="eastAsia" w:eastAsiaTheme="minorEastAsia"/>
                              <w:lang w:eastAsia="zh-CN"/>
                            </w:rPr>
                          </w:pP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1</w:t>
                          </w:r>
                          <w:r>
                            <w:rPr>
                              <w:rFonts w:hint="eastAsia" w:asciiTheme="minorEastAsia" w:hAnsiTheme="minorEastAsia" w:eastAsiaTheme="minorEastAsia" w:cstheme="minorEastAsia"/>
                              <w:sz w:val="28"/>
                              <w:szCs w:val="2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16.5pt;height:144pt;width:144pt;mso-position-horizontal:outside;mso-position-horizontal-relative:margin;mso-wrap-style:none;z-index:251658240;mso-width-relative:page;mso-height-relative:page;" filled="f" stroked="f" coordsize="21600,21600" o:gfxdata="UEsDBAoAAAAAAIdO4kAAAAAAAAAAAAAAAAAEAAAAZHJzL1BLAwQUAAAACACHTuJAnJ6qT9QAAAAI&#10;AQAADwAAAGRycy9kb3ducmV2LnhtbE2PwU7DMBBE70j8g7VI3FqnDUVRiFOJinBEouHA0Y2XJGCv&#10;I9tNw9+znOD2VjOanan2i7NixhBHTwo26wwEUufNSL2Ct7ZZFSBi0mS09YQKvjHCvr6+qnRp/IVe&#10;cT6mXnAIxVIrGFKaSiljN6DTce0nJNY+fHA68Rl6aYK+cLizcptl99LpkfjDoCc8DNh9Hc9OwaFp&#10;2zBjDPYdn5v88+XxDp8WpW5vNtkDiIRL+jPDb32uDjV3OvkzmSisAh6SFKzynIHlbVEwnBh2uwxk&#10;Xcn/A+ofUEsDBBQAAAAIAIdO4kBrhfn7MQIAAGEEAAAOAAAAZHJzL2Uyb0RvYy54bWytVM2O0zAQ&#10;viPxDpbvNGkRqypquipbFSFV7EoFcXYdp4nkP9luk/IA8AacuHDnufocfM5PFy0c9sDFGXvG38z3&#10;zTiL21ZJchLO10bndDpJKRGam6LWh5x++rh5NafEB6YLJo0WOT0LT2+XL18sGpuJmamMLIQjANE+&#10;a2xOqxBsliSeV0IxPzFWaDhL4xQL2LpDUjjWAF3JZJamN0ljXGGd4cJ7nK57Jx0Q3XMATVnWXKwN&#10;PyqhQ4/qhGQBlHxVW0+XXbVlKXi4L0svApE5BdPQrUgCex/XZLlg2cExW9V8KIE9p4QnnBSrNZJe&#10;odYsMHJ09V9QqubOeFOGCTcq6Yl0ioDFNH2iza5iVnRcILW3V9H9/4PlH04PjtQFJoESzRQafvn+&#10;7fLj1+XnVzKN8jTWZ4jaWcSF9q1pY+hw7nEYWbelU/ELPgR+iHu+iivaQHi8NJ/N5ylcHL5xA5zk&#10;8bp1PrwTRpFo5NShe52o7LT1oQ8dQ2I2bTa1lDhnmdSkyenN6zdpd+HqAbjUyBFJ9MVGK7T7dmCw&#10;N8UZxJzpJ8NbvqmRfMt8eGAOo4CC8VjCPZZSGiQxg0VJZdyXf53HeHQIXkoajFZONV4SJfK9RucA&#10;GEbDjcZ+NPRR3RnMKrqBWjoTF1yQo1k6oz7jBa1iDriY5siU0zCad6Efb7xALlarLuhoXX2o+guY&#10;O8vCVu8sj2miet6ujgFidhpHgXpVBt0weV2XhlcSR/vPfRf1+GdY/gZ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eBAAAW0NvbnRlbnRfVHlwZXNd&#10;LnhtbFBLAQIUAAoAAAAAAIdO4kAAAAAAAAAAAAAAAAAGAAAAAAAAAAAAEAAAAIADAABfcmVscy9Q&#10;SwECFAAUAAAACACHTuJAihRmPNEAAACUAQAACwAAAAAAAAABACAAAACkAwAAX3JlbHMvLnJlbHNQ&#10;SwECFAAKAAAAAACHTuJAAAAAAAAAAAAAAAAABAAAAAAAAAAAABAAAAAAAAAAZHJzL1BLAQIUABQA&#10;AAAIAIdO4kCcnqpP1AAAAAgBAAAPAAAAAAAAAAEAIAAAACIAAABkcnMvZG93bnJldi54bWxQSwEC&#10;FAAUAAAACACHTuJAa4X5+zECAABhBAAADgAAAAAAAAABACAAAAAjAQAAZHJzL2Uyb0RvYy54bWxQ&#10;SwUGAAAAAAYABgBZAQAAxgUAAAAA&#10;">
              <v:fill on="f" focussize="0,0"/>
              <v:stroke on="f" weight="0.5pt"/>
              <v:imagedata o:title=""/>
              <o:lock v:ext="edit" aspectratio="f"/>
              <v:textbox inset="0mm,0mm,0mm,0mm" style="mso-fit-shape-to-text:t;">
                <w:txbxContent>
                  <w:p>
                    <w:pPr>
                      <w:pStyle w:val="4"/>
                      <w:rPr>
                        <w:rFonts w:hint="eastAsia" w:eastAsiaTheme="minorEastAsia"/>
                        <w:lang w:eastAsia="zh-CN"/>
                      </w:rPr>
                    </w:pP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1</w:t>
                    </w:r>
                    <w:r>
                      <w:rPr>
                        <w:rFonts w:hint="eastAsia" w:asciiTheme="minorEastAsia" w:hAnsiTheme="minorEastAsia" w:eastAsiaTheme="minorEastAsia" w:cstheme="minorEastAsia"/>
                        <w:sz w:val="28"/>
                        <w:szCs w:val="28"/>
                        <w:lang w:eastAsia="zh-CN"/>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FC4D0C1"/>
    <w:multiLevelType w:val="singleLevel"/>
    <w:tmpl w:val="AFC4D0C1"/>
    <w:lvl w:ilvl="0" w:tentative="0">
      <w:start w:val="4"/>
      <w:numFmt w:val="chineseCounting"/>
      <w:suff w:val="nothing"/>
      <w:lvlText w:val="（%1）"/>
      <w:lvlJc w:val="left"/>
      <w:rPr>
        <w:rFonts w:hint="eastAsia"/>
      </w:rPr>
    </w:lvl>
  </w:abstractNum>
  <w:abstractNum w:abstractNumId="1">
    <w:nsid w:val="B35B6EF9"/>
    <w:multiLevelType w:val="singleLevel"/>
    <w:tmpl w:val="B35B6EF9"/>
    <w:lvl w:ilvl="0" w:tentative="0">
      <w:start w:val="1"/>
      <w:numFmt w:val="chineseCounting"/>
      <w:suff w:val="nothing"/>
      <w:lvlText w:val="（%1）"/>
      <w:lvlJc w:val="left"/>
      <w:rPr>
        <w:rFonts w:hint="eastAsia"/>
      </w:rPr>
    </w:lvl>
  </w:abstractNum>
  <w:abstractNum w:abstractNumId="2">
    <w:nsid w:val="DCB92E83"/>
    <w:multiLevelType w:val="singleLevel"/>
    <w:tmpl w:val="DCB92E83"/>
    <w:lvl w:ilvl="0" w:tentative="0">
      <w:start w:val="4"/>
      <w:numFmt w:val="chineseCounting"/>
      <w:suff w:val="nothing"/>
      <w:lvlText w:val="%1、"/>
      <w:lvlJc w:val="left"/>
      <w:pPr>
        <w:ind w:left="160" w:leftChars="0" w:firstLine="0" w:firstLineChars="0"/>
      </w:pPr>
      <w:rPr>
        <w:rFonts w:hint="eastAsia"/>
      </w:rPr>
    </w:lvl>
  </w:abstractNum>
  <w:abstractNum w:abstractNumId="3">
    <w:nsid w:val="E65B703B"/>
    <w:multiLevelType w:val="singleLevel"/>
    <w:tmpl w:val="E65B703B"/>
    <w:lvl w:ilvl="0" w:tentative="0">
      <w:start w:val="1"/>
      <w:numFmt w:val="chineseCounting"/>
      <w:suff w:val="nothing"/>
      <w:lvlText w:val="%1、"/>
      <w:lvlJc w:val="left"/>
      <w:rPr>
        <w:rFonts w:hint="eastAsia"/>
      </w:rPr>
    </w:lvl>
  </w:abstractNum>
  <w:abstractNum w:abstractNumId="4">
    <w:nsid w:val="2D3C9D56"/>
    <w:multiLevelType w:val="singleLevel"/>
    <w:tmpl w:val="2D3C9D56"/>
    <w:lvl w:ilvl="0" w:tentative="0">
      <w:start w:val="1"/>
      <w:numFmt w:val="chineseCounting"/>
      <w:suff w:val="nothing"/>
      <w:lvlText w:val="（%1）"/>
      <w:lvlJc w:val="left"/>
      <w:pPr>
        <w:ind w:left="480" w:leftChars="0" w:firstLine="0" w:firstLineChars="0"/>
      </w:pPr>
      <w:rPr>
        <w:rFonts w:hint="eastAsia"/>
      </w:rPr>
    </w:lvl>
  </w:abstractNum>
  <w:abstractNum w:abstractNumId="5">
    <w:nsid w:val="4B2C038D"/>
    <w:multiLevelType w:val="singleLevel"/>
    <w:tmpl w:val="4B2C038D"/>
    <w:lvl w:ilvl="0" w:tentative="0">
      <w:start w:val="1"/>
      <w:numFmt w:val="chineseCounting"/>
      <w:suff w:val="nothing"/>
      <w:lvlText w:val="（%1）"/>
      <w:lvlJc w:val="left"/>
      <w:rPr>
        <w:rFonts w:hint="eastAsia"/>
      </w:rPr>
    </w:lvl>
  </w:abstractNum>
  <w:num w:numId="1">
    <w:abstractNumId w:val="3"/>
  </w:num>
  <w:num w:numId="2">
    <w:abstractNumId w:val="4"/>
  </w:num>
  <w:num w:numId="3">
    <w:abstractNumId w:val="2"/>
  </w:num>
  <w:num w:numId="4">
    <w:abstractNumId w:val="1"/>
  </w:num>
  <w:num w:numId="5">
    <w:abstractNumId w:val="0"/>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ABF083D"/>
    <w:rsid w:val="136939DB"/>
    <w:rsid w:val="178D3E8E"/>
    <w:rsid w:val="1ABF083D"/>
    <w:rsid w:val="6CD323A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qFormat="1"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customStyle="1" w:styleId="2">
    <w:name w:val="样式1"/>
    <w:basedOn w:val="1"/>
    <w:next w:val="3"/>
    <w:qFormat/>
    <w:uiPriority w:val="0"/>
    <w:rPr>
      <w:rFonts w:eastAsia="仿宋_GB2312"/>
      <w:sz w:val="32"/>
    </w:rPr>
  </w:style>
  <w:style w:type="paragraph" w:styleId="3">
    <w:name w:val="index 9"/>
    <w:basedOn w:val="1"/>
    <w:next w:val="1"/>
    <w:qFormat/>
    <w:uiPriority w:val="0"/>
    <w:pPr>
      <w:ind w:left="1600" w:leftChars="1600"/>
    </w:p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qFormat/>
    <w:uiPriority w:val="0"/>
    <w:pPr>
      <w:spacing w:before="0" w:beforeAutospacing="1" w:after="0" w:afterAutospacing="1"/>
      <w:ind w:left="0" w:right="0"/>
      <w:jc w:val="left"/>
    </w:pPr>
    <w:rPr>
      <w:kern w:val="0"/>
      <w:sz w:val="24"/>
      <w:lang w:val="en-US" w:eastAsia="zh-CN" w:bidi="ar"/>
    </w:rPr>
  </w:style>
  <w:style w:type="character" w:styleId="9">
    <w:name w:val="FollowedHyperlink"/>
    <w:basedOn w:val="8"/>
    <w:uiPriority w:val="0"/>
    <w:rPr>
      <w:rFonts w:hint="eastAsia" w:ascii="微软雅黑" w:hAnsi="微软雅黑" w:eastAsia="微软雅黑" w:cs="微软雅黑"/>
      <w:color w:val="000000"/>
      <w:sz w:val="18"/>
      <w:szCs w:val="18"/>
      <w:u w:val="none"/>
    </w:rPr>
  </w:style>
  <w:style w:type="character" w:styleId="10">
    <w:name w:val="Hyperlink"/>
    <w:basedOn w:val="8"/>
    <w:uiPriority w:val="0"/>
    <w:rPr>
      <w:rFonts w:hint="eastAsia" w:ascii="微软雅黑" w:hAnsi="微软雅黑" w:eastAsia="微软雅黑" w:cs="微软雅黑"/>
      <w:color w:val="000000"/>
      <w:sz w:val="18"/>
      <w:szCs w:val="18"/>
      <w:u w:val="none"/>
    </w:rPr>
  </w:style>
  <w:style w:type="character" w:customStyle="1" w:styleId="11">
    <w:name w:val="font11"/>
    <w:basedOn w:val="8"/>
    <w:qFormat/>
    <w:uiPriority w:val="0"/>
    <w:rPr>
      <w:rFonts w:ascii="Arial" w:hAnsi="Arial" w:cs="Arial"/>
      <w:color w:val="000000"/>
      <w:sz w:val="32"/>
      <w:szCs w:val="32"/>
      <w:u w:val="none"/>
    </w:rPr>
  </w:style>
  <w:style w:type="character" w:customStyle="1" w:styleId="12">
    <w:name w:val="font21"/>
    <w:basedOn w:val="8"/>
    <w:qFormat/>
    <w:uiPriority w:val="0"/>
    <w:rPr>
      <w:rFonts w:hint="eastAsia" w:ascii="楷体" w:hAnsi="楷体" w:eastAsia="楷体" w:cs="楷体"/>
      <w:color w:val="000000"/>
      <w:sz w:val="32"/>
      <w:szCs w:val="32"/>
      <w:u w:val="none"/>
    </w:rPr>
  </w:style>
  <w:style w:type="character" w:customStyle="1" w:styleId="13">
    <w:name w:val="font01"/>
    <w:basedOn w:val="8"/>
    <w:qFormat/>
    <w:uiPriority w:val="0"/>
    <w:rPr>
      <w:rFonts w:ascii="仿宋_GB2312" w:eastAsia="仿宋_GB2312" w:cs="仿宋_GB2312"/>
      <w:color w:val="000000"/>
      <w:sz w:val="32"/>
      <w:szCs w:val="32"/>
      <w:u w:val="none"/>
    </w:rPr>
  </w:style>
  <w:style w:type="character" w:customStyle="1" w:styleId="14">
    <w:name w:val="field_label"/>
    <w:basedOn w:val="8"/>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23</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2021-03-02T08:19:00Z</dcterms:created>
  <dc:creator>纪 树与影</dc:creator>
  <cp:lastModifiedBy>纪 树与影</cp:lastModifiedBy>
  <cp:lastPrinted>2021-03-12T03:48:00Z</cp:lastPrinted>
  <dcterms:modified xsi:type="dcterms:W3CDTF">2021-03-12T06:52:14Z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