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pStyle w:val="2"/>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兰州新区经济合作局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2020年度部门预算执行情况绩效自评报告</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lang w:val="en-US" w:eastAsia="zh-CN"/>
        </w:rPr>
      </w:pP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一、部门基本情况</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sz w:val="32"/>
          <w:szCs w:val="32"/>
          <w:u w:val="none"/>
          <w:lang w:val="en-US" w:eastAsia="zh-CN"/>
        </w:rPr>
      </w:pPr>
      <w:r>
        <w:rPr>
          <w:rFonts w:hint="eastAsia" w:ascii="仿宋_GB2312" w:hAnsi="仿宋_GB2312" w:eastAsia="仿宋_GB2312" w:cs="仿宋_GB2312"/>
          <w:color w:val="auto"/>
          <w:sz w:val="32"/>
          <w:szCs w:val="32"/>
          <w:lang w:eastAsia="zh-CN"/>
        </w:rPr>
        <w:t>兰州新区经济合作</w:t>
      </w:r>
      <w:r>
        <w:rPr>
          <w:rFonts w:hint="eastAsia" w:ascii="仿宋_GB2312" w:hAnsi="仿宋_GB2312" w:eastAsia="仿宋_GB2312" w:cs="仿宋_GB2312"/>
          <w:color w:val="auto"/>
          <w:sz w:val="32"/>
          <w:szCs w:val="32"/>
        </w:rPr>
        <w:t>局</w:t>
      </w:r>
      <w:r>
        <w:rPr>
          <w:rStyle w:val="7"/>
          <w:rFonts w:hint="eastAsia" w:ascii="仿宋_GB2312" w:hAnsi="仿宋_GB2312" w:eastAsia="仿宋_GB2312" w:cs="仿宋_GB2312"/>
          <w:b w:val="0"/>
          <w:bCs/>
          <w:color w:val="000000"/>
          <w:spacing w:val="-11"/>
          <w:sz w:val="32"/>
          <w:szCs w:val="32"/>
          <w:shd w:val="clear" w:fill="FFFFFF"/>
        </w:rPr>
        <w:t>共有干部</w:t>
      </w:r>
      <w:r>
        <w:rPr>
          <w:rStyle w:val="7"/>
          <w:rFonts w:hint="eastAsia" w:ascii="仿宋_GB2312" w:hAnsi="仿宋_GB2312" w:eastAsia="仿宋_GB2312" w:cs="仿宋_GB2312"/>
          <w:b w:val="0"/>
          <w:bCs/>
          <w:color w:val="000000"/>
          <w:spacing w:val="-11"/>
          <w:sz w:val="32"/>
          <w:szCs w:val="32"/>
          <w:shd w:val="clear" w:fill="FFFFFF"/>
          <w:lang w:val="en-US" w:eastAsia="zh-CN"/>
        </w:rPr>
        <w:t>28</w:t>
      </w:r>
      <w:r>
        <w:rPr>
          <w:rStyle w:val="7"/>
          <w:rFonts w:hint="eastAsia" w:ascii="仿宋_GB2312" w:hAnsi="仿宋_GB2312" w:eastAsia="仿宋_GB2312" w:cs="仿宋_GB2312"/>
          <w:b w:val="0"/>
          <w:bCs/>
          <w:color w:val="000000"/>
          <w:spacing w:val="-11"/>
          <w:sz w:val="32"/>
          <w:szCs w:val="32"/>
          <w:shd w:val="clear" w:fill="FFFFFF"/>
        </w:rPr>
        <w:t>人，其中</w:t>
      </w:r>
      <w:r>
        <w:rPr>
          <w:rStyle w:val="7"/>
          <w:rFonts w:hint="eastAsia" w:ascii="仿宋_GB2312" w:hAnsi="仿宋_GB2312" w:eastAsia="仿宋_GB2312" w:cs="仿宋_GB2312"/>
          <w:b w:val="0"/>
          <w:bCs/>
          <w:color w:val="000000"/>
          <w:spacing w:val="-11"/>
          <w:sz w:val="32"/>
          <w:szCs w:val="32"/>
          <w:shd w:val="clear" w:fill="FFFFFF"/>
          <w:lang w:eastAsia="zh-CN"/>
        </w:rPr>
        <w:t>县</w:t>
      </w:r>
      <w:r>
        <w:rPr>
          <w:rStyle w:val="7"/>
          <w:rFonts w:hint="eastAsia" w:ascii="仿宋_GB2312" w:hAnsi="仿宋_GB2312" w:eastAsia="仿宋_GB2312" w:cs="仿宋_GB2312"/>
          <w:b w:val="0"/>
          <w:bCs/>
          <w:color w:val="000000"/>
          <w:spacing w:val="-11"/>
          <w:sz w:val="32"/>
          <w:szCs w:val="32"/>
          <w:shd w:val="clear" w:fill="FFFFFF"/>
        </w:rPr>
        <w:t>级干部</w:t>
      </w:r>
      <w:r>
        <w:rPr>
          <w:rStyle w:val="7"/>
          <w:rFonts w:hint="eastAsia" w:ascii="仿宋_GB2312" w:hAnsi="仿宋_GB2312" w:eastAsia="仿宋_GB2312" w:cs="仿宋_GB2312"/>
          <w:b w:val="0"/>
          <w:bCs/>
          <w:color w:val="000000"/>
          <w:spacing w:val="-11"/>
          <w:sz w:val="32"/>
          <w:szCs w:val="32"/>
          <w:shd w:val="clear" w:fill="FFFFFF"/>
          <w:lang w:val="en-US" w:eastAsia="zh-CN"/>
        </w:rPr>
        <w:t>4</w:t>
      </w:r>
      <w:r>
        <w:rPr>
          <w:rStyle w:val="7"/>
          <w:rFonts w:hint="eastAsia" w:ascii="仿宋_GB2312" w:hAnsi="仿宋_GB2312" w:eastAsia="仿宋_GB2312" w:cs="仿宋_GB2312"/>
          <w:b w:val="0"/>
          <w:bCs/>
          <w:color w:val="000000"/>
          <w:spacing w:val="-11"/>
          <w:sz w:val="32"/>
          <w:szCs w:val="32"/>
          <w:shd w:val="clear" w:fill="FFFFFF"/>
        </w:rPr>
        <w:t>人，科级干部</w:t>
      </w:r>
      <w:r>
        <w:rPr>
          <w:rStyle w:val="7"/>
          <w:rFonts w:hint="eastAsia" w:ascii="仿宋_GB2312" w:hAnsi="仿宋_GB2312" w:eastAsia="仿宋_GB2312" w:cs="仿宋_GB2312"/>
          <w:b w:val="0"/>
          <w:bCs/>
          <w:color w:val="000000"/>
          <w:spacing w:val="-11"/>
          <w:sz w:val="32"/>
          <w:szCs w:val="32"/>
          <w:shd w:val="clear" w:fill="FFFFFF"/>
          <w:lang w:val="en-US" w:eastAsia="zh-CN"/>
        </w:rPr>
        <w:t>12</w:t>
      </w:r>
      <w:r>
        <w:rPr>
          <w:rStyle w:val="7"/>
          <w:rFonts w:hint="eastAsia" w:ascii="仿宋_GB2312" w:hAnsi="仿宋_GB2312" w:eastAsia="仿宋_GB2312" w:cs="仿宋_GB2312"/>
          <w:b w:val="0"/>
          <w:bCs/>
          <w:color w:val="000000"/>
          <w:spacing w:val="-11"/>
          <w:sz w:val="32"/>
          <w:szCs w:val="32"/>
          <w:shd w:val="clear" w:fill="FFFFFF"/>
        </w:rPr>
        <w:t>人，科员</w:t>
      </w:r>
      <w:r>
        <w:rPr>
          <w:rStyle w:val="7"/>
          <w:rFonts w:hint="eastAsia" w:ascii="仿宋_GB2312" w:hAnsi="仿宋_GB2312" w:eastAsia="仿宋_GB2312" w:cs="仿宋_GB2312"/>
          <w:b w:val="0"/>
          <w:bCs/>
          <w:color w:val="000000"/>
          <w:spacing w:val="-11"/>
          <w:sz w:val="32"/>
          <w:szCs w:val="32"/>
          <w:shd w:val="clear" w:fill="FFFFFF"/>
          <w:lang w:val="en-US" w:eastAsia="zh-CN"/>
        </w:rPr>
        <w:t>10</w:t>
      </w:r>
      <w:r>
        <w:rPr>
          <w:rStyle w:val="7"/>
          <w:rFonts w:hint="eastAsia" w:ascii="仿宋_GB2312" w:hAnsi="仿宋_GB2312" w:eastAsia="仿宋_GB2312" w:cs="仿宋_GB2312"/>
          <w:b w:val="0"/>
          <w:bCs/>
          <w:color w:val="000000"/>
          <w:spacing w:val="-11"/>
          <w:sz w:val="32"/>
          <w:szCs w:val="32"/>
          <w:shd w:val="clear" w:fill="FFFFFF"/>
        </w:rPr>
        <w:t>人，工勤</w:t>
      </w:r>
      <w:r>
        <w:rPr>
          <w:rStyle w:val="7"/>
          <w:rFonts w:hint="eastAsia" w:ascii="仿宋_GB2312" w:hAnsi="仿宋_GB2312" w:eastAsia="仿宋_GB2312" w:cs="仿宋_GB2312"/>
          <w:b w:val="0"/>
          <w:bCs/>
          <w:color w:val="000000"/>
          <w:spacing w:val="-11"/>
          <w:sz w:val="32"/>
          <w:szCs w:val="32"/>
          <w:shd w:val="clear" w:fill="FFFFFF"/>
          <w:lang w:val="en-US" w:eastAsia="zh-CN"/>
        </w:rPr>
        <w:t>2</w:t>
      </w:r>
      <w:r>
        <w:rPr>
          <w:rStyle w:val="7"/>
          <w:rFonts w:hint="eastAsia" w:ascii="仿宋_GB2312" w:hAnsi="仿宋_GB2312" w:eastAsia="仿宋_GB2312" w:cs="仿宋_GB2312"/>
          <w:b w:val="0"/>
          <w:bCs/>
          <w:color w:val="000000"/>
          <w:spacing w:val="-11"/>
          <w:sz w:val="32"/>
          <w:szCs w:val="32"/>
          <w:shd w:val="clear" w:fill="FFFFFF"/>
        </w:rPr>
        <w:t>人，</w:t>
      </w:r>
      <w:r>
        <w:rPr>
          <w:rStyle w:val="7"/>
          <w:rFonts w:hint="eastAsia" w:ascii="仿宋_GB2312" w:hAnsi="仿宋_GB2312" w:eastAsia="仿宋_GB2312" w:cs="仿宋_GB2312"/>
          <w:b w:val="0"/>
          <w:bCs/>
          <w:color w:val="000000"/>
          <w:spacing w:val="-11"/>
          <w:sz w:val="32"/>
          <w:szCs w:val="32"/>
          <w:shd w:val="clear" w:fill="FFFFFF"/>
          <w:lang w:eastAsia="zh-CN"/>
        </w:rPr>
        <w:t>其中</w:t>
      </w:r>
      <w:r>
        <w:rPr>
          <w:rStyle w:val="7"/>
          <w:rFonts w:hint="eastAsia" w:ascii="仿宋_GB2312" w:hAnsi="仿宋_GB2312" w:eastAsia="仿宋_GB2312" w:cs="仿宋_GB2312"/>
          <w:b w:val="0"/>
          <w:bCs/>
          <w:color w:val="000000"/>
          <w:spacing w:val="-11"/>
          <w:sz w:val="32"/>
          <w:szCs w:val="32"/>
          <w:shd w:val="clear" w:fill="FFFFFF"/>
        </w:rPr>
        <w:t>聘用人员</w:t>
      </w:r>
      <w:r>
        <w:rPr>
          <w:rStyle w:val="7"/>
          <w:rFonts w:hint="eastAsia" w:ascii="仿宋_GB2312" w:hAnsi="仿宋_GB2312" w:eastAsia="仿宋_GB2312" w:cs="仿宋_GB2312"/>
          <w:b w:val="0"/>
          <w:bCs/>
          <w:color w:val="000000"/>
          <w:spacing w:val="-11"/>
          <w:sz w:val="32"/>
          <w:szCs w:val="32"/>
          <w:shd w:val="clear" w:fill="FFFFFF"/>
          <w:lang w:val="en-US" w:eastAsia="zh-CN"/>
        </w:rPr>
        <w:t>13</w:t>
      </w:r>
      <w:r>
        <w:rPr>
          <w:rStyle w:val="7"/>
          <w:rFonts w:hint="eastAsia" w:ascii="仿宋_GB2312" w:hAnsi="仿宋_GB2312" w:eastAsia="仿宋_GB2312" w:cs="仿宋_GB2312"/>
          <w:b w:val="0"/>
          <w:bCs/>
          <w:color w:val="000000"/>
          <w:spacing w:val="-11"/>
          <w:sz w:val="32"/>
          <w:szCs w:val="32"/>
          <w:shd w:val="clear" w:fill="FFFFFF"/>
        </w:rPr>
        <w:t>人，财政全额拨款供养人数</w:t>
      </w:r>
      <w:r>
        <w:rPr>
          <w:rStyle w:val="7"/>
          <w:rFonts w:hint="eastAsia" w:ascii="仿宋_GB2312" w:hAnsi="仿宋_GB2312" w:eastAsia="仿宋_GB2312" w:cs="仿宋_GB2312"/>
          <w:b w:val="0"/>
          <w:bCs/>
          <w:color w:val="000000"/>
          <w:spacing w:val="-11"/>
          <w:sz w:val="32"/>
          <w:szCs w:val="32"/>
          <w:shd w:val="clear" w:fill="FFFFFF"/>
          <w:lang w:val="en-US" w:eastAsia="zh-CN"/>
        </w:rPr>
        <w:t>28</w:t>
      </w:r>
      <w:r>
        <w:rPr>
          <w:rStyle w:val="7"/>
          <w:rFonts w:hint="eastAsia" w:ascii="仿宋_GB2312" w:hAnsi="仿宋_GB2312" w:eastAsia="仿宋_GB2312" w:cs="仿宋_GB2312"/>
          <w:b w:val="0"/>
          <w:bCs/>
          <w:color w:val="000000"/>
          <w:spacing w:val="-11"/>
          <w:sz w:val="32"/>
          <w:szCs w:val="32"/>
          <w:shd w:val="clear" w:fill="FFFFFF"/>
        </w:rPr>
        <w:t>人。</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color w:val="auto"/>
          <w:sz w:val="32"/>
          <w:szCs w:val="32"/>
          <w:u w:val="none"/>
        </w:rPr>
      </w:pPr>
      <w:r>
        <w:rPr>
          <w:rFonts w:hint="eastAsia" w:ascii="黑体" w:hAnsi="黑体" w:eastAsia="黑体" w:cs="黑体"/>
          <w:color w:val="auto"/>
          <w:sz w:val="32"/>
          <w:szCs w:val="32"/>
          <w:u w:val="none"/>
          <w:lang w:eastAsia="zh-CN"/>
        </w:rPr>
        <w:t>二、</w:t>
      </w:r>
      <w:r>
        <w:rPr>
          <w:rFonts w:hint="eastAsia" w:ascii="黑体" w:hAnsi="黑体" w:eastAsia="黑体" w:cs="黑体"/>
          <w:color w:val="auto"/>
          <w:sz w:val="32"/>
          <w:szCs w:val="32"/>
          <w:u w:val="none"/>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一）贯彻执行国家及省、市、新区对外开放、经济技术合作和招商引资的方针政策、法律、法规；拟订新区招商引资、经济技术合作、对外开放的政策措施；根据新区经济社会发展规划，编制新区招商引资、经济技术合作、对外开放的中长期规划，并组织实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二）负责制定新区招商引资活动方案并组织实施；负责同境内外各类经济团体及工商企业、金融组织、商务机构和其他投资者的联系，组织开展各类经济技术合作和招商引资活动；承办新区管委会组团赴外开展经济技术合作、招商引资活动的联络、洽谈等相关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三）负责新区经济技术合作和招商引资项目库建设和管理工作；承担经济技术合作和招商引资重点项目的推介、洽谈和跟踪服务工作；负责编制新区投资指南、经济技术合作和招商引资项目宣传资料；负责新区经济技术合作和招商引资信息工作及网络建设。</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（四）负责指导、协调各园区及有关部门（单位）、企业的对外开放、经济技术合作、招商引资工作。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（五）负责新区经济技术合作、招商引资年度工作目标的制定、分解、考核等工作；负责新区经济技术合作、招商引资的统计、汇总、分析工作；承担新区经济合作部门的人员培训。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（六）负责新区会展活动组织工作，承担新区在境内外举办各类项目洽谈会、经贸展会的组织、联络、洽谈、协调工作。</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（七）负责区域性经济技术合作交流新区方的组织工作和省内都市经济圈等区域经济技术合作的促进工作；负责新区与国内友好城市经济技术合作的联络与交流工作。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（八）负责新区招商引资重大经济技术合作项目合同履约实施过程的监督管理和协调服务工作；负责受理外来投资企业的投诉，会同有关部门协调解决外来投资企业在建设、经营中遇到的各种问题。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（九）负责研究制定推进重大签约项目落地的具体办法和措施，并负责督促落实，对项目落地情况进行监督；负责报告项目落地进展情况，以及影响项目落地推进的原因和事项。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 xml:space="preserve">　　（十）承担兰州新区“兰洽会”领导小组办公室日常工作，牵头组织落实“兰洽会”筹办期间兰州新区方面的有关工作。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（十一）负责境外地区（含港、澳、台地区）特别是“一带一路”沿线国家招商引资项目的对接、服务工作。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十二</w:t>
      </w:r>
      <w:r>
        <w:rPr>
          <w:rFonts w:hint="eastAsia" w:ascii="仿宋_GB2312" w:hAnsi="仿宋_GB2312" w:eastAsia="仿宋_GB2312" w:cs="仿宋_GB2312"/>
          <w:color w:val="auto"/>
          <w:sz w:val="32"/>
          <w:szCs w:val="32"/>
        </w:rPr>
        <w:t>） 完成新区党工委、管委会和上级业务部门交办的其他任务。</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u w:val="none"/>
          <w:lang w:val="en-US" w:eastAsia="zh-CN"/>
        </w:rPr>
        <w:t xml:space="preserve">    </w:t>
      </w:r>
      <w:r>
        <w:rPr>
          <w:rFonts w:hint="eastAsia" w:ascii="黑体" w:hAnsi="黑体" w:eastAsia="黑体" w:cs="黑体"/>
          <w:b w:val="0"/>
          <w:bCs w:val="0"/>
          <w:color w:val="auto"/>
          <w:sz w:val="32"/>
          <w:szCs w:val="32"/>
          <w:u w:val="none"/>
          <w:lang w:eastAsia="zh-CN"/>
        </w:rPr>
        <w:t>三、</w:t>
      </w:r>
      <w:r>
        <w:rPr>
          <w:rFonts w:hint="eastAsia" w:ascii="黑体" w:hAnsi="黑体" w:eastAsia="黑体" w:cs="黑体"/>
          <w:b w:val="0"/>
          <w:bCs w:val="0"/>
          <w:color w:val="auto"/>
          <w:sz w:val="32"/>
          <w:szCs w:val="32"/>
          <w:u w:val="none"/>
        </w:rPr>
        <w:t>机构设置</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rPr>
        <w:t>新区</w:t>
      </w:r>
      <w:r>
        <w:rPr>
          <w:rFonts w:hint="eastAsia" w:ascii="仿宋_GB2312" w:hAnsi="仿宋_GB2312" w:eastAsia="仿宋_GB2312" w:cs="仿宋_GB2312"/>
          <w:color w:val="auto"/>
          <w:sz w:val="32"/>
          <w:szCs w:val="32"/>
          <w:u w:val="none"/>
          <w:lang w:eastAsia="zh-CN"/>
        </w:rPr>
        <w:t>经济合作</w:t>
      </w:r>
      <w:r>
        <w:rPr>
          <w:rFonts w:hint="eastAsia" w:ascii="仿宋_GB2312" w:hAnsi="仿宋_GB2312" w:eastAsia="仿宋_GB2312" w:cs="仿宋_GB2312"/>
          <w:color w:val="auto"/>
          <w:sz w:val="32"/>
          <w:szCs w:val="32"/>
          <w:u w:val="none"/>
        </w:rPr>
        <w:t>局内设机构</w:t>
      </w:r>
      <w:r>
        <w:rPr>
          <w:rFonts w:hint="eastAsia" w:ascii="仿宋_GB2312" w:hAnsi="仿宋_GB2312" w:eastAsia="仿宋_GB2312" w:cs="仿宋_GB2312"/>
          <w:color w:val="auto"/>
          <w:sz w:val="32"/>
          <w:szCs w:val="32"/>
          <w:u w:val="none"/>
          <w:lang w:val="en-US" w:eastAsia="zh-CN"/>
        </w:rPr>
        <w:t>6</w:t>
      </w:r>
      <w:r>
        <w:rPr>
          <w:rFonts w:hint="eastAsia" w:ascii="仿宋_GB2312" w:hAnsi="仿宋_GB2312" w:eastAsia="仿宋_GB2312" w:cs="仿宋_GB2312"/>
          <w:color w:val="auto"/>
          <w:sz w:val="32"/>
          <w:szCs w:val="32"/>
          <w:u w:val="none"/>
        </w:rPr>
        <w:t>个，分别为：</w:t>
      </w:r>
      <w:r>
        <w:rPr>
          <w:rFonts w:hint="eastAsia" w:ascii="仿宋_GB2312" w:hAnsi="仿宋_GB2312" w:eastAsia="仿宋_GB2312" w:cs="仿宋_GB2312"/>
          <w:color w:val="auto"/>
          <w:sz w:val="32"/>
          <w:szCs w:val="32"/>
          <w:u w:val="none"/>
          <w:lang w:eastAsia="zh-CN"/>
        </w:rPr>
        <w:t>办公室</w:t>
      </w:r>
      <w:r>
        <w:rPr>
          <w:rFonts w:hint="eastAsia" w:ascii="仿宋_GB2312" w:hAnsi="仿宋_GB2312" w:eastAsia="仿宋_GB2312" w:cs="仿宋_GB2312"/>
          <w:color w:val="auto"/>
          <w:sz w:val="32"/>
          <w:szCs w:val="32"/>
          <w:u w:val="none"/>
        </w:rPr>
        <w:t>、</w:t>
      </w:r>
      <w:r>
        <w:rPr>
          <w:rFonts w:hint="eastAsia" w:ascii="仿宋_GB2312" w:hAnsi="仿宋" w:eastAsia="仿宋_GB2312" w:cs="仿宋"/>
          <w:color w:val="auto"/>
          <w:sz w:val="32"/>
          <w:szCs w:val="32"/>
          <w:lang w:eastAsia="zh-CN"/>
        </w:rPr>
        <w:t>联络协作</w:t>
      </w:r>
      <w:r>
        <w:rPr>
          <w:rFonts w:hint="eastAsia" w:ascii="仿宋_GB2312" w:hAnsi="仿宋" w:eastAsia="仿宋_GB2312" w:cs="仿宋"/>
          <w:color w:val="auto"/>
          <w:sz w:val="32"/>
          <w:szCs w:val="32"/>
          <w:lang w:val="en-US" w:eastAsia="zh-CN"/>
        </w:rPr>
        <w:t>科</w:t>
      </w:r>
      <w:r>
        <w:rPr>
          <w:rFonts w:hint="eastAsia" w:ascii="仿宋_GB2312" w:hAnsi="仿宋_GB2312" w:eastAsia="仿宋_GB2312" w:cs="仿宋_GB2312"/>
          <w:color w:val="auto"/>
          <w:sz w:val="32"/>
          <w:szCs w:val="32"/>
          <w:u w:val="none"/>
          <w:lang w:eastAsia="zh-CN"/>
        </w:rPr>
        <w:t>、</w:t>
      </w:r>
      <w:r>
        <w:rPr>
          <w:rFonts w:hint="eastAsia" w:ascii="仿宋_GB2312" w:hAnsi="仿宋" w:eastAsia="仿宋_GB2312" w:cs="仿宋"/>
          <w:color w:val="auto"/>
          <w:sz w:val="32"/>
          <w:szCs w:val="32"/>
          <w:lang w:eastAsia="zh-CN"/>
        </w:rPr>
        <w:t>项目推进科</w:t>
      </w:r>
      <w:r>
        <w:rPr>
          <w:rFonts w:hint="eastAsia" w:ascii="仿宋_GB2312" w:hAnsi="仿宋_GB2312" w:eastAsia="仿宋_GB2312" w:cs="仿宋_GB2312"/>
          <w:color w:val="auto"/>
          <w:sz w:val="32"/>
          <w:szCs w:val="32"/>
          <w:u w:val="none"/>
          <w:lang w:eastAsia="zh-CN"/>
        </w:rPr>
        <w:t>、经合一科、经合二科、</w:t>
      </w:r>
      <w:r>
        <w:rPr>
          <w:rFonts w:hint="eastAsia" w:ascii="仿宋_GB2312" w:hAnsi="仿宋_GB2312" w:eastAsia="仿宋_GB2312" w:cs="仿宋_GB2312"/>
          <w:b w:val="0"/>
          <w:bCs w:val="0"/>
          <w:color w:val="auto"/>
          <w:sz w:val="32"/>
          <w:szCs w:val="32"/>
          <w:lang w:eastAsia="zh-CN"/>
        </w:rPr>
        <w:t>经合三科</w:t>
      </w:r>
      <w:r>
        <w:rPr>
          <w:rFonts w:hint="eastAsia" w:ascii="仿宋_GB2312" w:hAnsi="仿宋_GB2312" w:eastAsia="仿宋_GB2312" w:cs="仿宋_GB2312"/>
          <w:color w:val="auto"/>
          <w:sz w:val="32"/>
          <w:szCs w:val="32"/>
          <w:u w:val="none"/>
        </w:rPr>
        <w:t>。</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四、绩</w:t>
      </w:r>
      <w:bookmarkStart w:id="0" w:name="_GoBack"/>
      <w:bookmarkEnd w:id="0"/>
      <w:r>
        <w:rPr>
          <w:rFonts w:hint="eastAsia" w:ascii="黑体" w:hAnsi="黑体" w:eastAsia="黑体" w:cs="黑体"/>
          <w:sz w:val="32"/>
          <w:szCs w:val="32"/>
          <w:lang w:val="en-US" w:eastAsia="zh-CN"/>
        </w:rPr>
        <w:t>效自评工作组织开展情况</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单位主要负责招商引资工作的日常管理与统筹协调工作。本年度绩效自评工作在6个内设机构进行，对支出项目实际产出较年初绩效目标进行比较，主要从项目实施管理过程、资金使用是否合规等方面分析评价，参照预算管理制度与办公室内控制度自查2020年度预算执行情况。经核查，本年度预算项目按照相关规定执行，资金使用项目均按照计划方案组织实施，内控制度较为完整，项目监督程序健全，有效保障项目资金专款专用、无截留、无挪用。</w:t>
      </w:r>
    </w:p>
    <w:p>
      <w:pPr>
        <w:keepNext w:val="0"/>
        <w:keepLines w:val="0"/>
        <w:pageBreakBefore w:val="0"/>
        <w:numPr>
          <w:ilvl w:val="0"/>
          <w:numId w:val="0"/>
        </w:numPr>
        <w:tabs>
          <w:tab w:val="center" w:pos="4153"/>
        </w:tabs>
        <w:kinsoku/>
        <w:wordWrap/>
        <w:overflowPunct/>
        <w:topLinePunct w:val="0"/>
        <w:autoSpaceDE/>
        <w:autoSpaceDN/>
        <w:bidi w:val="0"/>
        <w:adjustRightInd/>
        <w:snapToGrid/>
        <w:spacing w:line="560" w:lineRule="exact"/>
        <w:ind w:left="16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五、部门预算项目支出绩效自评情况分析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 xml:space="preserve"> </w:t>
      </w:r>
      <w:r>
        <w:rPr>
          <w:rFonts w:hint="eastAsia" w:ascii="仿宋_GB2312" w:hAnsi="仿宋_GB2312" w:eastAsia="仿宋_GB2312" w:cs="仿宋_GB2312"/>
          <w:sz w:val="32"/>
          <w:szCs w:val="32"/>
          <w:lang w:val="en-US" w:eastAsia="zh-CN"/>
        </w:rPr>
        <w:t>2020年，本部门预算支出项目为1项，招商引资专项工作经费，全年共计安排项目预算100万元，其中当年财政拨款100万元，上年结转资金60.28万元，全年支出156.99万元，执行率97.94%。通过自评，招商引资专项工作经费支出绩效自评结果为“优”，招商引资专项工作经费支出绩效自评结果为“优”，自评情况分析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（一）项目支出预算执行情况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2020年年初我单位项目预算安排仅为招商引资工作经费一项，预算安排金额为100万元，</w:t>
      </w:r>
      <w:r>
        <w:rPr>
          <w:rFonts w:hint="eastAsia" w:ascii="仿宋_GB2312" w:hAnsi="仿宋_GB2312" w:eastAsia="仿宋_GB2312" w:cs="仿宋_GB2312"/>
          <w:color w:val="auto"/>
          <w:sz w:val="32"/>
          <w:szCs w:val="32"/>
          <w:lang w:val="en-US" w:eastAsia="zh-CN"/>
        </w:rPr>
        <w:t>上年度结转经费60.28万元全年调整预算数160.28万元，全年实际支出项目经费预算资金156.99万元。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（二）总体绩效目标完成情况分析</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2020年招商引资工作经费全年全年预算数为160.28万元，全年实际支出156.99万元，执行率为97.94%。</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（三）各项指标完成情况分析</w:t>
      </w:r>
    </w:p>
    <w:p>
      <w:pPr>
        <w:keepNext w:val="0"/>
        <w:keepLines w:val="0"/>
        <w:pageBreakBefore w:val="0"/>
        <w:widowControl w:val="0"/>
        <w:numPr>
          <w:ilvl w:val="0"/>
          <w:numId w:val="1"/>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产出指标完成情况分析。项目管理经费预算执行率为97.94%，报销流程合规；全年完成50次外出招商，</w:t>
      </w:r>
      <w:r>
        <w:rPr>
          <w:rFonts w:hint="eastAsia" w:ascii="仿宋_GB2312" w:hAnsi="仿宋_GB2312" w:eastAsia="仿宋_GB2312" w:cs="仿宋_GB2312"/>
          <w:sz w:val="32"/>
          <w:szCs w:val="32"/>
          <w:lang w:eastAsia="zh-CN"/>
        </w:rPr>
        <w:t>成功</w:t>
      </w:r>
      <w:r>
        <w:rPr>
          <w:rFonts w:hint="eastAsia" w:ascii="仿宋_GB2312" w:hAnsi="仿宋_GB2312" w:eastAsia="仿宋_GB2312" w:cs="仿宋_GB2312"/>
          <w:sz w:val="32"/>
          <w:szCs w:val="32"/>
        </w:rPr>
        <w:t>举办第26届兰洽会</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南京招商引资推介座谈会。参加医疗辅助器械博览会、“津企陇上行”、药博会、兰州科博会、兰州市（北京）招商引资推介会暨项目签约仪式等大型展会活动8个</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1"/>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效益指标完成情况分析。第26届兰洽会</w:t>
      </w:r>
      <w:r>
        <w:rPr>
          <w:rFonts w:hint="eastAsia" w:ascii="仿宋_GB2312" w:hAnsi="仿宋_GB2312" w:eastAsia="仿宋_GB2312" w:cs="仿宋_GB2312"/>
          <w:sz w:val="32"/>
          <w:szCs w:val="32"/>
        </w:rPr>
        <w:t>邀请到30多个团组、200多名宾客参展参会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线上线下签约项目100个、签约总额451亿元，分别同比增长32%、3.5%；高标准布展设计网上虚拟展馆，累计浏览量达到8万多人（次）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南京招商引资推介座谈会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委、管委会主要领导带队赴南京市举办推介座谈会，与江苏省化工行业协会、江苏中旗科技股份有限公司等50多家行业组织及企业代表面对面沟通座谈，围绕化工产业转型、产业链延伸共叙发展，就企业关心的问题现场解答，推动江苏农药研究所、江苏清源环境科技、江苏富鼎化学等6家企业落户新区，项目总投资35亿元以上</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积极参加省内外展会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对接企业200多家，搜集有效项目线索65条，签约山东滨农科技农药原药及中间体等项目14个，签约金额29.43亿元。</w:t>
      </w:r>
    </w:p>
    <w:p>
      <w:pPr>
        <w:keepNext w:val="0"/>
        <w:keepLines w:val="0"/>
        <w:pageBreakBefore w:val="0"/>
        <w:widowControl w:val="0"/>
        <w:numPr>
          <w:ilvl w:val="0"/>
          <w:numId w:val="1"/>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满意度指标完成情况分析。协同各职能部门服务企业服务项目力度还不够，项目准入落地速的速度还不够快，导致个别企业对招商引资工作中服务满意度较低；因项目审核清算，本年度预算执行率较高，新区财政满意度较高。 </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四、部门管理的省、市对新区转移支付绩效自评情况分析</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仿宋_GB2312" w:hAnsi="仿宋_GB2312" w:eastAsia="仿宋_GB2312" w:cs="仿宋_GB2312"/>
          <w:sz w:val="32"/>
          <w:szCs w:val="32"/>
          <w:lang w:val="en-US" w:eastAsia="zh-CN"/>
        </w:rPr>
        <w:t>2020年，我单位无省、市转移支付项目。</w:t>
      </w:r>
    </w:p>
    <w:p>
      <w:pPr>
        <w:keepNext w:val="0"/>
        <w:keepLines w:val="0"/>
        <w:pageBreakBefore w:val="0"/>
        <w:widowControl w:val="0"/>
        <w:numPr>
          <w:ilvl w:val="0"/>
          <w:numId w:val="2"/>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绩效自评结果拟应用和公开情况</w:t>
      </w:r>
    </w:p>
    <w:p>
      <w:pPr>
        <w:keepNext w:val="0"/>
        <w:keepLines w:val="0"/>
        <w:pageBreakBefore w:val="0"/>
        <w:widowControl w:val="0"/>
        <w:numPr>
          <w:ilvl w:val="0"/>
          <w:numId w:val="0"/>
        </w:numPr>
        <w:tabs>
          <w:tab w:val="center" w:pos="4153"/>
        </w:tabs>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rPr>
        <w:t>我单位</w:t>
      </w:r>
      <w:r>
        <w:rPr>
          <w:rFonts w:hint="eastAsia" w:ascii="仿宋_GB2312" w:hAnsi="仿宋_GB2312" w:eastAsia="仿宋_GB2312" w:cs="仿宋_GB2312"/>
          <w:i w:val="0"/>
          <w:caps w:val="0"/>
          <w:color w:val="333333"/>
          <w:spacing w:val="0"/>
          <w:sz w:val="32"/>
          <w:szCs w:val="32"/>
          <w:lang w:val="en-US" w:eastAsia="zh-CN"/>
        </w:rPr>
        <w:t>通过项目支出</w:t>
      </w:r>
      <w:r>
        <w:rPr>
          <w:rFonts w:hint="eastAsia" w:ascii="仿宋_GB2312" w:hAnsi="仿宋_GB2312" w:eastAsia="仿宋_GB2312" w:cs="仿宋_GB2312"/>
          <w:i w:val="0"/>
          <w:caps w:val="0"/>
          <w:color w:val="333333"/>
          <w:spacing w:val="0"/>
          <w:sz w:val="32"/>
          <w:szCs w:val="32"/>
        </w:rPr>
        <w:t>绩效</w:t>
      </w:r>
      <w:r>
        <w:rPr>
          <w:rFonts w:hint="eastAsia" w:ascii="仿宋_GB2312" w:hAnsi="仿宋_GB2312" w:eastAsia="仿宋_GB2312" w:cs="仿宋_GB2312"/>
          <w:i w:val="0"/>
          <w:caps w:val="0"/>
          <w:color w:val="333333"/>
          <w:spacing w:val="0"/>
          <w:sz w:val="32"/>
          <w:szCs w:val="32"/>
          <w:lang w:val="en-US" w:eastAsia="zh-CN"/>
        </w:rPr>
        <w:t>目标与实际完成值对比分析后，确定</w:t>
      </w:r>
      <w:r>
        <w:rPr>
          <w:rFonts w:hint="eastAsia" w:ascii="仿宋_GB2312" w:hAnsi="仿宋_GB2312" w:eastAsia="仿宋_GB2312" w:cs="仿宋_GB2312"/>
          <w:sz w:val="32"/>
          <w:szCs w:val="32"/>
          <w:lang w:val="en-US" w:eastAsia="zh-CN"/>
        </w:rPr>
        <w:t>绩效自评得分为</w:t>
      </w:r>
      <w:r>
        <w:rPr>
          <w:rFonts w:hint="eastAsia" w:ascii="仿宋_GB2312" w:hAnsi="仿宋_GB2312" w:eastAsia="仿宋_GB2312" w:cs="仿宋_GB2312"/>
          <w:color w:val="auto"/>
          <w:sz w:val="32"/>
          <w:szCs w:val="32"/>
          <w:lang w:val="en-US" w:eastAsia="zh-CN"/>
        </w:rPr>
        <w:t>98.9</w:t>
      </w:r>
      <w:r>
        <w:rPr>
          <w:rFonts w:hint="eastAsia" w:ascii="仿宋_GB2312" w:hAnsi="仿宋_GB2312" w:eastAsia="仿宋_GB2312" w:cs="仿宋_GB2312"/>
          <w:sz w:val="32"/>
          <w:szCs w:val="32"/>
          <w:lang w:val="en-US" w:eastAsia="zh-CN"/>
        </w:rPr>
        <w:t>分。</w:t>
      </w:r>
    </w:p>
    <w:p>
      <w:pPr>
        <w:keepNext w:val="0"/>
        <w:keepLines w:val="0"/>
        <w:pageBreakBefore w:val="0"/>
        <w:widowControl w:val="0"/>
        <w:numPr>
          <w:ilvl w:val="0"/>
          <w:numId w:val="2"/>
        </w:numPr>
        <w:tabs>
          <w:tab w:val="center" w:pos="4153"/>
        </w:tabs>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其他需要说明的问题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333333"/>
          <w:spacing w:val="0"/>
          <w:sz w:val="32"/>
          <w:szCs w:val="32"/>
          <w:lang w:val="en-US" w:eastAsia="zh-CN"/>
        </w:rPr>
        <w:t>无</w:t>
      </w:r>
      <w:r>
        <w:rPr>
          <w:rFonts w:hint="eastAsia" w:ascii="仿宋_GB2312" w:hAnsi="仿宋_GB2312" w:eastAsia="仿宋_GB2312" w:cs="仿宋_GB2312"/>
          <w:sz w:val="32"/>
          <w:szCs w:val="32"/>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4480" w:firstLineChars="14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兰州新区经济合作局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2021年2月24日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82847B6"/>
    <w:multiLevelType w:val="singleLevel"/>
    <w:tmpl w:val="A82847B6"/>
    <w:lvl w:ilvl="0" w:tentative="0">
      <w:start w:val="1"/>
      <w:numFmt w:val="decimal"/>
      <w:suff w:val="nothing"/>
      <w:lvlText w:val="%1、"/>
      <w:lvlJc w:val="left"/>
    </w:lvl>
  </w:abstractNum>
  <w:abstractNum w:abstractNumId="1">
    <w:nsid w:val="3121B1AE"/>
    <w:multiLevelType w:val="singleLevel"/>
    <w:tmpl w:val="3121B1AE"/>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C20DA"/>
    <w:rsid w:val="00B63EE8"/>
    <w:rsid w:val="05680321"/>
    <w:rsid w:val="05CE0EC2"/>
    <w:rsid w:val="096B5327"/>
    <w:rsid w:val="0CD65A03"/>
    <w:rsid w:val="167E0AA7"/>
    <w:rsid w:val="1A51745E"/>
    <w:rsid w:val="21355AF2"/>
    <w:rsid w:val="2966277A"/>
    <w:rsid w:val="2C1C20DA"/>
    <w:rsid w:val="2D601084"/>
    <w:rsid w:val="347C1809"/>
    <w:rsid w:val="37192937"/>
    <w:rsid w:val="3AB836BE"/>
    <w:rsid w:val="3B823650"/>
    <w:rsid w:val="3DE550E9"/>
    <w:rsid w:val="4C394BAD"/>
    <w:rsid w:val="4DD57825"/>
    <w:rsid w:val="55E5367B"/>
    <w:rsid w:val="57C651F7"/>
    <w:rsid w:val="650A7C85"/>
    <w:rsid w:val="66D82B33"/>
    <w:rsid w:val="67EF270A"/>
    <w:rsid w:val="6A9A5E35"/>
    <w:rsid w:val="6AA41651"/>
    <w:rsid w:val="738A00C8"/>
    <w:rsid w:val="769177A9"/>
    <w:rsid w:val="774E2F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rPr>
      <w:rFonts w:eastAsia="仿宋_GB2312"/>
      <w:sz w:val="32"/>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Title"/>
    <w:basedOn w:val="1"/>
    <w:next w:val="1"/>
    <w:qFormat/>
    <w:uiPriority w:val="0"/>
    <w:pPr>
      <w:spacing w:before="240" w:after="60"/>
      <w:jc w:val="center"/>
      <w:outlineLvl w:val="0"/>
    </w:pPr>
    <w:rPr>
      <w:rFonts w:ascii="Calibri Light" w:hAnsi="Calibri Light"/>
      <w:b/>
      <w:bCs/>
      <w:sz w:val="32"/>
      <w:szCs w:val="32"/>
    </w:rPr>
  </w:style>
  <w:style w:type="character" w:styleId="7">
    <w:name w:val="Strong"/>
    <w:basedOn w:val="6"/>
    <w:qFormat/>
    <w:uiPriority w:val="22"/>
    <w:rPr>
      <w:b/>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2021-02-22T08:50:00Z</dcterms:created>
  <dc:creator>Zengtongfei</dc:creator>
  <cp:lastModifiedBy>张婉婷</cp:lastModifiedBy>
  <cp:lastPrinted>2021-09-01T09:15:01Z</cp:lastPrinted>
  <dcterms:modified xsi:type="dcterms:W3CDTF">2021-09-01T09:45:12Z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0F84FEAB71F14DF6925479A6106E701E</vt:lpwstr>
  </property>
</Properties>
</file>