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outlineLvl w:val="9"/>
        <w:rPr>
          <w:rFonts w:hint="eastAsia" w:ascii="方正小标宋简体" w:hAnsi="Calibri" w:eastAsia="方正小标宋简体" w:cs="Times New Roman"/>
          <w:kern w:val="2"/>
          <w:sz w:val="44"/>
          <w:szCs w:val="44"/>
          <w:lang w:eastAsia="zh-CN"/>
        </w:rPr>
      </w:pPr>
      <w:r>
        <w:rPr>
          <w:rFonts w:hint="eastAsia" w:ascii="方正小标宋简体" w:hAnsi="Calibri" w:eastAsia="方正小标宋简体" w:cs="Times New Roman"/>
          <w:kern w:val="2"/>
          <w:sz w:val="44"/>
          <w:szCs w:val="44"/>
        </w:rPr>
        <w:t>兰州新区</w:t>
      </w:r>
      <w:r>
        <w:rPr>
          <w:rFonts w:hint="eastAsia" w:ascii="方正小标宋简体" w:hAnsi="Calibri" w:eastAsia="方正小标宋简体" w:cs="Times New Roman"/>
          <w:kern w:val="2"/>
          <w:sz w:val="44"/>
          <w:szCs w:val="44"/>
          <w:lang w:eastAsia="zh-CN"/>
        </w:rPr>
        <w:t>中川园区管理委员会</w:t>
      </w:r>
    </w:p>
    <w:p>
      <w:pPr>
        <w:spacing w:line="576" w:lineRule="exact"/>
        <w:jc w:val="center"/>
        <w:rPr>
          <w:rFonts w:hint="eastAsia" w:ascii="方正小标宋简体" w:hAnsi="Calibri" w:eastAsia="方正小标宋简体" w:cs="Times New Roman"/>
          <w:kern w:val="2"/>
          <w:sz w:val="44"/>
          <w:szCs w:val="44"/>
          <w:lang w:eastAsia="zh-CN"/>
        </w:rPr>
      </w:pPr>
      <w:r>
        <w:rPr>
          <w:rFonts w:hint="eastAsia" w:ascii="方正小标宋简体" w:hAnsi="Calibri" w:eastAsia="方正小标宋简体" w:cs="Times New Roman"/>
          <w:kern w:val="2"/>
          <w:sz w:val="44"/>
          <w:szCs w:val="44"/>
          <w:lang w:eastAsia="zh-CN"/>
        </w:rPr>
        <w:t>20</w:t>
      </w:r>
      <w:r>
        <w:rPr>
          <w:rFonts w:hint="eastAsia" w:ascii="方正小标宋简体" w:hAnsi="Calibri" w:eastAsia="方正小标宋简体" w:cs="Times New Roman"/>
          <w:kern w:val="2"/>
          <w:sz w:val="44"/>
          <w:szCs w:val="44"/>
          <w:lang w:val="en-US" w:eastAsia="zh-CN"/>
        </w:rPr>
        <w:t>20</w:t>
      </w:r>
      <w:r>
        <w:rPr>
          <w:rFonts w:hint="eastAsia" w:ascii="方正小标宋简体" w:hAnsi="Calibri" w:eastAsia="方正小标宋简体" w:cs="Times New Roman"/>
          <w:kern w:val="2"/>
          <w:sz w:val="44"/>
          <w:szCs w:val="44"/>
          <w:lang w:eastAsia="zh-CN"/>
        </w:rPr>
        <w:t>年部门预算执行情况自评报告</w:t>
      </w:r>
    </w:p>
    <w:p>
      <w:pPr>
        <w:spacing w:line="576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</w:p>
    <w:p>
      <w:pPr>
        <w:spacing w:line="576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一、基本情况</w:t>
      </w:r>
    </w:p>
    <w:p>
      <w:pPr>
        <w:spacing w:line="576" w:lineRule="exact"/>
        <w:ind w:firstLine="320" w:firstLineChars="1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（一）部门主要职能。   </w:t>
      </w:r>
    </w:p>
    <w:p>
      <w:pPr>
        <w:pStyle w:val="5"/>
        <w:widowControl w:val="0"/>
        <w:spacing w:line="56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  <w:t>兰州新区中川园区管理委员会（以下简称中川园区管委会），正县级建制，隶属于兰州新区管理委员会管理。在新区党工委、管委会指导下具体负责组织实施本区域内开发建设任务、全面管理各项社会事务。</w:t>
      </w:r>
    </w:p>
    <w:p>
      <w:pPr>
        <w:spacing w:line="576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主要职责包括：(1)贯彻执行省、市党委、政府及新区党工委、管委会的各项方针政策，认真落实好上级关于新区开发建设的各项决策部署。(2)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负责园区党的建设，做好党风廉政建设工作；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按照干部管理权限，负责园区管干部队伍的建设管理，做好干部的选拔任用、考核评价、教育培训等工作；负责辖区内精神文明、工会、妇联、共青团等群团组织管理工作。(3)配合制定园区总体发展规划和各专项规划，按照新区管委会授权情况，负责区域内有关项目的审核和报批工作，协调解决园区发展中出现的问题。(4)研究制定园区社会经济发展的总体目标和年度计划，并负责组织实施。</w:t>
      </w:r>
      <w:r>
        <w:rPr>
          <w:rFonts w:hint="eastAsia" w:ascii="仿宋_GB2312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(5)负责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园区</w:t>
      </w:r>
      <w:r>
        <w:rPr>
          <w:rFonts w:hint="eastAsia" w:ascii="仿宋_GB2312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的经济运行协调和企业生产要素的保障，组织开展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园区</w:t>
      </w:r>
      <w:r>
        <w:rPr>
          <w:rFonts w:hint="eastAsia" w:ascii="仿宋_GB2312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统计调查和数据分析；负责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园区</w:t>
      </w:r>
      <w:r>
        <w:rPr>
          <w:rFonts w:hint="eastAsia" w:ascii="仿宋_GB2312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发展改革和政策研究；负责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园区</w:t>
      </w:r>
      <w:r>
        <w:rPr>
          <w:rFonts w:hint="eastAsia" w:ascii="仿宋_GB2312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科技创新和“双创”工作；负责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园区</w:t>
      </w:r>
      <w:r>
        <w:rPr>
          <w:rFonts w:hint="eastAsia" w:ascii="仿宋_GB2312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工业和信息化融合工作。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(6)根据国家有关法律、法规和新区管委会的授权情况，保证区域范围内的土地资源在管委会统一规划下合理开发利用，负责园区基础设施和公用设施的建设与管理，做好园区内的建管、城管、房管和环境保护及园林绿化工作。 </w:t>
      </w:r>
      <w:r>
        <w:rPr>
          <w:rFonts w:hint="eastAsia" w:ascii="仿宋_GB2312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(7)根据新区管委会统一规划，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负责园区内项目和产业布局，研究确定和服务管理园区内建设项目，做好项目的基础设施配套、手续代办等协调服务工作。(8)负责园区招商引资、对外经济技术合作及交流工作。(9)负责园区财政预、决算的编制和投融资工作，做好国有资产管理工作和园区的非税收入管理工作，组织筹措各类建设资金。 (10)负责园区农业、林业、水务工作。(11)负责园区教育、文化、体育、广电、卫生、人口和计生、民政、社区管理、残联等社会事业；负责园区信访、社会治安综合治理、维护社会稳定、反邪教、国家安全、人民防线、司法等工作；负责推进园区依法行政工作，加强法制建设；负责与公安、检察院、法院、司法等部门的联系与协调工作。 (12)负责园区食品药品安全监管工作。(13)负责园区安全生产监督管理工作。</w:t>
      </w:r>
      <w:r>
        <w:rPr>
          <w:rFonts w:hint="eastAsia" w:ascii="仿宋_GB2312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(14)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负责园区内综合行政执法、劳动和社会保障工作。(15)负责园区市场监督管理工作。</w:t>
      </w:r>
      <w:r>
        <w:rPr>
          <w:rFonts w:hint="eastAsia" w:ascii="仿宋_GB2312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(16)负责代管兰州新区婚姻登记处。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(17)承办上级交办的其他事项。</w:t>
      </w:r>
    </w:p>
    <w:p>
      <w:pPr>
        <w:numPr>
          <w:ilvl w:val="0"/>
          <w:numId w:val="1"/>
        </w:numPr>
        <w:spacing w:line="576" w:lineRule="exact"/>
        <w:ind w:firstLine="320" w:firstLineChars="1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内设机构及所属单位概况。</w:t>
      </w:r>
    </w:p>
    <w:p>
      <w:pPr>
        <w:pStyle w:val="5"/>
        <w:widowControl w:val="0"/>
        <w:spacing w:line="56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  <w:t>中川园区管委会内设1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  <w:t>个机构，均为正科级建制，包括：综合办公室、党群工作部、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纪委筹备组、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  <w:t>组织人事局、经济发展局、财政金融局、经济合作局、城市（乡）建设管理局、农林水务局、公共服务局、安全生产监督局、环境保护和国土资源局、市场监督管理局。</w:t>
      </w:r>
    </w:p>
    <w:p>
      <w:pPr>
        <w:spacing w:line="576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二、绩效自评工作组织开展情况</w:t>
      </w:r>
      <w:r>
        <w:rPr>
          <w:rFonts w:hint="eastAsia" w:ascii="黑体" w:hAnsi="黑体" w:eastAsia="黑体" w:cs="黑体"/>
          <w:sz w:val="32"/>
          <w:szCs w:val="32"/>
        </w:rPr>
        <w:tab/>
      </w:r>
    </w:p>
    <w:p>
      <w:pPr>
        <w:spacing w:line="600" w:lineRule="exact"/>
        <w:ind w:firstLine="321" w:firstLineChars="100"/>
        <w:rPr>
          <w:rFonts w:ascii="楷体_GB2312" w:hAnsi="楷体_GB2312" w:eastAsia="楷体_GB2312" w:cs="楷体_GB2312"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（一）绩效评价目的</w:t>
      </w:r>
    </w:p>
    <w:p>
      <w:pPr>
        <w:spacing w:line="60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深化预算管理制度改革，强化对预算编制的宏观指导。推进财政支出标准化，强化预算约束和绩效管理。园区财政在继续加强对园区各单位项目预算资金的监督管理，加快支出进度，减少财政资金沉淀的的同时，将重点做好预算绩效评价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，将评价结果作为以后园区相关部门年度编制预算、完善政策、改进预算管理的重要参考依据。</w:t>
      </w:r>
    </w:p>
    <w:p>
      <w:pPr>
        <w:spacing w:line="600" w:lineRule="exact"/>
        <w:ind w:firstLine="321" w:firstLineChars="100"/>
        <w:rPr>
          <w:rFonts w:ascii="楷体" w:hAnsi="楷体" w:eastAsia="楷体" w:cs="楷体"/>
          <w:b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（二）绩效评价原则、评价指标体系、评价方法</w:t>
      </w:r>
    </w:p>
    <w:p>
      <w:pPr>
        <w:spacing w:line="60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1.绩效评价原则。</w:t>
      </w:r>
      <w:r>
        <w:rPr>
          <w:rFonts w:hint="eastAsia" w:ascii="仿宋_GB2312" w:eastAsia="仿宋_GB2312"/>
          <w:sz w:val="32"/>
          <w:szCs w:val="32"/>
        </w:rPr>
        <w:t>坚持真实、科学、公正的原则；坚持定量分析与定性分析的原则。</w:t>
      </w:r>
    </w:p>
    <w:p>
      <w:pPr>
        <w:spacing w:line="600" w:lineRule="exact"/>
        <w:ind w:firstLine="643" w:firstLineChars="200"/>
        <w:rPr>
          <w:rFonts w:ascii="仿宋_GB2312" w:eastAsia="仿宋_GB2312"/>
          <w:color w:val="0000FF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2.绩效指标体系。</w:t>
      </w:r>
      <w:r>
        <w:rPr>
          <w:rFonts w:hint="eastAsia" w:ascii="仿宋_GB2312" w:hAnsi="Times New Roman" w:eastAsia="仿宋_GB2312" w:cs="Times New Roman"/>
          <w:sz w:val="32"/>
          <w:szCs w:val="32"/>
        </w:rPr>
        <w:t>在参考财政部《财政支出绩效评价管理暂行办法》给出的绩效评价指标体系，充分考虑党群工作部工作涉及的目标要求，重点对“项目绩效”指标进行设计，其中“项目产出”“项目效果”尽量做到量化。</w:t>
      </w:r>
    </w:p>
    <w:p>
      <w:pPr>
        <w:spacing w:line="60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3.评价方法。</w:t>
      </w:r>
      <w:r>
        <w:rPr>
          <w:rFonts w:hint="eastAsia" w:ascii="仿宋_GB2312" w:eastAsia="仿宋_GB2312"/>
          <w:sz w:val="32"/>
          <w:szCs w:val="32"/>
        </w:rPr>
        <w:t>本次绩效评价采用定量与定性相结合、运用比较法、因素分析法、公众评议法等进行评价。</w:t>
      </w:r>
    </w:p>
    <w:p>
      <w:pPr>
        <w:spacing w:line="576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    三、部门整体支出绩效自评情况分析</w:t>
      </w:r>
    </w:p>
    <w:p>
      <w:pPr>
        <w:spacing w:line="576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2020年，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整体</w:t>
      </w:r>
      <w:r>
        <w:rPr>
          <w:rFonts w:hint="eastAsia" w:ascii="仿宋_GB2312" w:hAnsi="仿宋_GB2312" w:eastAsia="仿宋_GB2312" w:cs="仿宋_GB2312"/>
          <w:sz w:val="32"/>
          <w:szCs w:val="32"/>
        </w:rPr>
        <w:t>财政预算拨款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收入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9786.35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其中：基本预算收入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1193.73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，项目预算收入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8592.62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；实际支出合计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6938.51万元，其中：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基本支出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745.38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，项目支出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6193.13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，预算执行率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70.9%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</w:p>
    <w:p>
      <w:pPr>
        <w:spacing w:line="576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预算执行率不高的主要原因是年初受疫情的影响，园区对外招商和驻区企业项目建设都受到一定的影响，造成许多项目不能按原计划施工，达不到付款条件。专项资金滞留在园区账户无法拨付。</w:t>
      </w:r>
      <w:r>
        <w:rPr>
          <w:rFonts w:hint="eastAsia" w:ascii="黑体" w:hAnsi="黑体" w:eastAsia="黑体" w:cs="黑体"/>
          <w:sz w:val="32"/>
          <w:szCs w:val="32"/>
        </w:rPr>
        <w:t xml:space="preserve"> </w:t>
      </w:r>
    </w:p>
    <w:p>
      <w:pPr>
        <w:spacing w:line="576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四、部门预算项目支出绩效自评情况分析 </w:t>
      </w:r>
    </w:p>
    <w:p>
      <w:pPr>
        <w:spacing w:line="576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2020年，本部门预算支出项目39个，当年财政预算拨款926万元，上年结转结余专项资金279.4万元，合计1205.4万元，全年支出794.94万元，执行率66%。通过自评，有14个项目结果为“优”，18个项目结果为“良”，7个项目结果为“中”。</w:t>
      </w:r>
    </w:p>
    <w:p>
      <w:pPr>
        <w:spacing w:line="576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五、部门管理的省、市对新区转移支付绩效自评情况分析</w:t>
      </w:r>
    </w:p>
    <w:p>
      <w:pPr>
        <w:spacing w:line="576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2020年，中川园区共管理省、市、新区转移支付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116</w:t>
      </w:r>
      <w:r>
        <w:rPr>
          <w:rFonts w:hint="eastAsia" w:ascii="仿宋_GB2312" w:hAnsi="仿宋_GB2312" w:eastAsia="仿宋_GB2312" w:cs="仿宋_GB2312"/>
          <w:sz w:val="32"/>
          <w:szCs w:val="32"/>
        </w:rPr>
        <w:t>项，当年各级预算共安排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9239.85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万元，当年支出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4896.07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万元，执行率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52.98</w:t>
      </w:r>
      <w:r>
        <w:rPr>
          <w:rFonts w:hint="eastAsia" w:ascii="仿宋_GB2312" w:hAnsi="仿宋_GB2312" w:eastAsia="仿宋_GB2312" w:cs="仿宋_GB2312"/>
          <w:sz w:val="32"/>
          <w:szCs w:val="32"/>
        </w:rPr>
        <w:t>%。通过自评，有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36</w:t>
      </w:r>
      <w:r>
        <w:rPr>
          <w:rFonts w:hint="eastAsia" w:ascii="仿宋_GB2312" w:hAnsi="仿宋_GB2312" w:eastAsia="仿宋_GB2312" w:cs="仿宋_GB2312"/>
          <w:sz w:val="32"/>
          <w:szCs w:val="32"/>
        </w:rPr>
        <w:t>个项目结果为“优”，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41</w:t>
      </w:r>
      <w:r>
        <w:rPr>
          <w:rFonts w:hint="eastAsia" w:ascii="仿宋_GB2312" w:hAnsi="仿宋_GB2312" w:eastAsia="仿宋_GB2312" w:cs="仿宋_GB2312"/>
          <w:sz w:val="32"/>
          <w:szCs w:val="32"/>
        </w:rPr>
        <w:t>个项目结果为“良”，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39</w:t>
      </w:r>
      <w:r>
        <w:rPr>
          <w:rFonts w:hint="eastAsia" w:ascii="仿宋_GB2312" w:hAnsi="仿宋_GB2312" w:eastAsia="仿宋_GB2312" w:cs="仿宋_GB2312"/>
          <w:sz w:val="32"/>
          <w:szCs w:val="32"/>
        </w:rPr>
        <w:t>个项目结果为“中”。</w:t>
      </w: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F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4EE42B7"/>
    <w:multiLevelType w:val="singleLevel"/>
    <w:tmpl w:val="F4EE42B7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6DA7"/>
    <w:rsid w:val="001D6B00"/>
    <w:rsid w:val="002A6DA7"/>
    <w:rsid w:val="00AB763A"/>
    <w:rsid w:val="00D227A4"/>
    <w:rsid w:val="03192E7E"/>
    <w:rsid w:val="05E51C4B"/>
    <w:rsid w:val="06A32B56"/>
    <w:rsid w:val="07E81F07"/>
    <w:rsid w:val="08D41900"/>
    <w:rsid w:val="098A5E06"/>
    <w:rsid w:val="0AA03225"/>
    <w:rsid w:val="0F3A1A4D"/>
    <w:rsid w:val="14D0542F"/>
    <w:rsid w:val="16C81436"/>
    <w:rsid w:val="16CC4CD2"/>
    <w:rsid w:val="17110842"/>
    <w:rsid w:val="174F0A91"/>
    <w:rsid w:val="187E5CC4"/>
    <w:rsid w:val="1993010A"/>
    <w:rsid w:val="1B6347AA"/>
    <w:rsid w:val="1B686977"/>
    <w:rsid w:val="1B851268"/>
    <w:rsid w:val="1B9A0B27"/>
    <w:rsid w:val="1DDB0C22"/>
    <w:rsid w:val="1DEE11A1"/>
    <w:rsid w:val="1FCA766C"/>
    <w:rsid w:val="1FDC3C37"/>
    <w:rsid w:val="20123228"/>
    <w:rsid w:val="211A2E7D"/>
    <w:rsid w:val="22A65BB3"/>
    <w:rsid w:val="23334344"/>
    <w:rsid w:val="239902F4"/>
    <w:rsid w:val="289E67E0"/>
    <w:rsid w:val="298A23CA"/>
    <w:rsid w:val="29C60EA4"/>
    <w:rsid w:val="2A1101DA"/>
    <w:rsid w:val="2B1C4ACA"/>
    <w:rsid w:val="2C8767EA"/>
    <w:rsid w:val="2CE100F4"/>
    <w:rsid w:val="346C0694"/>
    <w:rsid w:val="34FD35C0"/>
    <w:rsid w:val="35F641BC"/>
    <w:rsid w:val="35FD5880"/>
    <w:rsid w:val="370043E2"/>
    <w:rsid w:val="38747C40"/>
    <w:rsid w:val="393D41C0"/>
    <w:rsid w:val="3A5D7AF4"/>
    <w:rsid w:val="3C9645F5"/>
    <w:rsid w:val="3FB96D4A"/>
    <w:rsid w:val="3FFD7AAA"/>
    <w:rsid w:val="42191CFF"/>
    <w:rsid w:val="423045B4"/>
    <w:rsid w:val="4283385A"/>
    <w:rsid w:val="428E00FC"/>
    <w:rsid w:val="482350B5"/>
    <w:rsid w:val="4884059B"/>
    <w:rsid w:val="4A182301"/>
    <w:rsid w:val="4A993239"/>
    <w:rsid w:val="4AF51111"/>
    <w:rsid w:val="4FAA6F92"/>
    <w:rsid w:val="50FC751F"/>
    <w:rsid w:val="51954A11"/>
    <w:rsid w:val="53945C65"/>
    <w:rsid w:val="540C3C63"/>
    <w:rsid w:val="548D252A"/>
    <w:rsid w:val="55A1328B"/>
    <w:rsid w:val="591E3A08"/>
    <w:rsid w:val="5C7A6555"/>
    <w:rsid w:val="5FAF08EB"/>
    <w:rsid w:val="60BA6D5F"/>
    <w:rsid w:val="60BE5DC5"/>
    <w:rsid w:val="65B40CE0"/>
    <w:rsid w:val="666E32C9"/>
    <w:rsid w:val="6A083F08"/>
    <w:rsid w:val="6A1B32B3"/>
    <w:rsid w:val="6AC45B22"/>
    <w:rsid w:val="6B4B11DC"/>
    <w:rsid w:val="6D46133C"/>
    <w:rsid w:val="6E157F18"/>
    <w:rsid w:val="6FC87261"/>
    <w:rsid w:val="72157AF3"/>
    <w:rsid w:val="72C4154F"/>
    <w:rsid w:val="75C47F3A"/>
    <w:rsid w:val="770826C0"/>
    <w:rsid w:val="77670966"/>
    <w:rsid w:val="777C1BB7"/>
    <w:rsid w:val="790041C7"/>
    <w:rsid w:val="794A4CDC"/>
    <w:rsid w:val="79BF6300"/>
    <w:rsid w:val="7D470DCA"/>
    <w:rsid w:val="7E796DC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semiHidden/>
    <w:unhideWhenUsed/>
    <w:qFormat/>
    <w:uiPriority w:val="99"/>
    <w:pPr>
      <w:snapToGrid w:val="0"/>
      <w:jc w:val="left"/>
    </w:pPr>
    <w:rPr>
      <w:sz w:val="18"/>
    </w:rPr>
  </w:style>
  <w:style w:type="paragraph" w:styleId="3">
    <w:name w:val="header"/>
    <w:basedOn w:val="1"/>
    <w:next w:val="2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snapToGrid w:val="0"/>
    </w:pPr>
    <w:rPr>
      <w:sz w:val="18"/>
    </w:rPr>
  </w:style>
  <w:style w:type="paragraph" w:styleId="4">
    <w:name w:val="Body Text Indent 2"/>
    <w:basedOn w:val="1"/>
    <w:qFormat/>
    <w:uiPriority w:val="0"/>
    <w:pPr>
      <w:widowControl/>
      <w:spacing w:line="620" w:lineRule="exact"/>
      <w:ind w:firstLine="570"/>
      <w:jc w:val="left"/>
    </w:pPr>
    <w:rPr>
      <w:rFonts w:ascii="仿宋_GB2312" w:hAnsi="宋体" w:eastAsia="仿宋_GB2312"/>
      <w:color w:val="FF0000"/>
      <w:sz w:val="28"/>
      <w:szCs w:val="27"/>
    </w:rPr>
  </w:style>
  <w:style w:type="paragraph" w:styleId="5">
    <w:name w:val="Body Text 2"/>
    <w:basedOn w:val="1"/>
    <w:qFormat/>
    <w:uiPriority w:val="0"/>
    <w:pPr>
      <w:widowControl/>
      <w:spacing w:line="300" w:lineRule="atLeast"/>
    </w:pPr>
    <w:rPr>
      <w:rFonts w:ascii="宋体"/>
      <w:snapToGrid w:val="0"/>
      <w:color w:val="FF0000"/>
      <w:sz w:val="22"/>
      <w:lang w:val="en-GB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font11"/>
    <w:basedOn w:val="8"/>
    <w:qFormat/>
    <w:uiPriority w:val="0"/>
    <w:rPr>
      <w:rFonts w:hint="eastAsia" w:ascii="宋体" w:hAnsi="宋体" w:eastAsia="宋体" w:cs="宋体"/>
      <w:b/>
      <w:color w:val="000000"/>
      <w:sz w:val="44"/>
      <w:szCs w:val="44"/>
      <w:u w:val="none"/>
    </w:rPr>
  </w:style>
  <w:style w:type="character" w:customStyle="1" w:styleId="11">
    <w:name w:val="font71"/>
    <w:basedOn w:val="8"/>
    <w:qFormat/>
    <w:uiPriority w:val="0"/>
    <w:rPr>
      <w:rFonts w:hint="eastAsia" w:ascii="宋体" w:hAnsi="宋体" w:eastAsia="宋体" w:cs="宋体"/>
      <w:b/>
      <w:color w:val="000000"/>
      <w:sz w:val="44"/>
      <w:szCs w:val="44"/>
      <w:u w:val="single"/>
    </w:rPr>
  </w:style>
  <w:style w:type="character" w:customStyle="1" w:styleId="12">
    <w:name w:val="font31"/>
    <w:basedOn w:val="8"/>
    <w:qFormat/>
    <w:uiPriority w:val="0"/>
    <w:rPr>
      <w:rFonts w:ascii="仿宋_GB2312" w:eastAsia="仿宋_GB2312" w:cs="仿宋_GB2312"/>
      <w:color w:val="000000"/>
      <w:sz w:val="44"/>
      <w:szCs w:val="44"/>
      <w:u w:val="none"/>
    </w:rPr>
  </w:style>
  <w:style w:type="character" w:customStyle="1" w:styleId="13">
    <w:name w:val="font21"/>
    <w:basedOn w:val="8"/>
    <w:qFormat/>
    <w:uiPriority w:val="0"/>
    <w:rPr>
      <w:rFonts w:hint="eastAsia" w:ascii="黑体" w:hAnsi="宋体" w:eastAsia="黑体" w:cs="黑体"/>
      <w:color w:val="000000"/>
      <w:sz w:val="32"/>
      <w:szCs w:val="32"/>
      <w:u w:val="none"/>
    </w:rPr>
  </w:style>
  <w:style w:type="character" w:customStyle="1" w:styleId="14">
    <w:name w:val="font81"/>
    <w:basedOn w:val="8"/>
    <w:qFormat/>
    <w:uiPriority w:val="0"/>
    <w:rPr>
      <w:rFonts w:ascii="Arial" w:hAnsi="Arial" w:cs="Arial"/>
      <w:color w:val="000000"/>
      <w:sz w:val="32"/>
      <w:szCs w:val="32"/>
      <w:u w:val="none"/>
    </w:rPr>
  </w:style>
  <w:style w:type="character" w:customStyle="1" w:styleId="15">
    <w:name w:val="font61"/>
    <w:basedOn w:val="8"/>
    <w:qFormat/>
    <w:uiPriority w:val="0"/>
    <w:rPr>
      <w:rFonts w:hint="eastAsia" w:ascii="楷体" w:hAnsi="楷体" w:eastAsia="楷体" w:cs="楷体"/>
      <w:color w:val="000000"/>
      <w:sz w:val="32"/>
      <w:szCs w:val="32"/>
      <w:u w:val="none"/>
    </w:rPr>
  </w:style>
  <w:style w:type="character" w:customStyle="1" w:styleId="16">
    <w:name w:val="font41"/>
    <w:basedOn w:val="8"/>
    <w:qFormat/>
    <w:uiPriority w:val="0"/>
    <w:rPr>
      <w:rFonts w:hint="eastAsia" w:ascii="仿宋_GB2312" w:eastAsia="仿宋_GB2312" w:cs="仿宋_GB2312"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84</Pages>
  <Words>6244</Words>
  <Characters>35591</Characters>
  <Lines>296</Lines>
  <Paragraphs>83</Paragraphs>
  <TotalTime>0</TotalTime>
  <ScaleCrop>false</ScaleCrop>
  <LinksUpToDate>false</LinksUpToDate>
  <CharactersWithSpaces>41752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2021-02-24T06:36:00Z</dcterms:created>
  <dc:creator>Administrator</dc:creator>
  <cp:lastModifiedBy>李盛</cp:lastModifiedBy>
  <dcterms:modified xsi:type="dcterms:W3CDTF">2021-09-07T03:54:24Z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