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pStyle w:val="9"/>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兰州新区经济合作局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2021年度部门预算执行情况自评报告</w:t>
      </w:r>
    </w:p>
    <w:p>
      <w:pPr>
        <w:pStyle w:val="9"/>
        <w:keepNext w:val="0"/>
        <w:keepLines w:val="0"/>
        <w:pageBreakBefore w:val="0"/>
        <w:kinsoku/>
        <w:wordWrap/>
        <w:overflowPunct/>
        <w:topLinePunct w:val="0"/>
        <w:autoSpaceDE/>
        <w:autoSpaceDN/>
        <w:bidi w:val="0"/>
        <w:adjustRightInd/>
        <w:snapToGrid/>
        <w:spacing w:line="560" w:lineRule="exact"/>
        <w:textAlignment w:val="auto"/>
        <w:rPr>
          <w:rFonts w:hint="eastAsia"/>
          <w:lang w:val="en-US" w:eastAsia="zh-CN"/>
        </w:rPr>
      </w:pP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Chars="200" w:right="0" w:rightChars="0"/>
        <w:jc w:val="both"/>
        <w:textAlignment w:val="auto"/>
        <w:rPr>
          <w:rFonts w:hint="eastAsia" w:ascii="黑体" w:hAnsi="黑体" w:eastAsia="黑体" w:cs="黑体"/>
          <w:color w:val="auto"/>
          <w:sz w:val="32"/>
          <w:szCs w:val="32"/>
          <w:u w:val="none"/>
          <w:lang w:eastAsia="zh-CN"/>
        </w:rPr>
      </w:pPr>
      <w:r>
        <w:rPr>
          <w:rFonts w:hint="eastAsia" w:ascii="黑体" w:hAnsi="黑体" w:eastAsia="黑体" w:cs="黑体"/>
          <w:color w:val="auto"/>
          <w:sz w:val="32"/>
          <w:szCs w:val="32"/>
          <w:u w:val="none"/>
          <w:lang w:eastAsia="zh-CN"/>
        </w:rPr>
        <w:t>一、基本情况</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 w:hAnsi="楷体" w:eastAsia="楷体" w:cs="楷体"/>
          <w:color w:val="auto"/>
          <w:sz w:val="32"/>
          <w:szCs w:val="32"/>
          <w:u w:val="none"/>
          <w:lang w:eastAsia="zh-CN"/>
        </w:rPr>
      </w:pPr>
      <w:r>
        <w:rPr>
          <w:rFonts w:hint="eastAsia" w:ascii="楷体" w:hAnsi="楷体" w:eastAsia="楷体" w:cs="楷体"/>
          <w:color w:val="auto"/>
          <w:sz w:val="32"/>
          <w:szCs w:val="32"/>
          <w:u w:val="none"/>
          <w:lang w:eastAsia="zh-CN"/>
        </w:rPr>
        <w:t>（一）部门主要职能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lang w:val="en-US" w:eastAsia="zh-CN"/>
        </w:rPr>
        <w:t>1.</w:t>
      </w:r>
      <w:r>
        <w:rPr>
          <w:rFonts w:hint="eastAsia" w:ascii="仿宋_GB2312" w:hAnsi="仿宋" w:eastAsia="仿宋_GB2312" w:cs="仿宋"/>
          <w:color w:val="auto"/>
          <w:sz w:val="32"/>
          <w:szCs w:val="32"/>
        </w:rPr>
        <w:t>贯彻执行国家及省、市、新区对外开放、经济技术合作和招商引资的方针政策、法律、法规；拟订新区招商引资、经济技术合作、对外开放的政策措施；根据新区经济社会发展规划，编制新区招商引资、经济技术合作、对外开放的中长期规划，并组织实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　　</w:t>
      </w:r>
      <w:r>
        <w:rPr>
          <w:rFonts w:hint="eastAsia" w:ascii="仿宋_GB2312" w:hAnsi="仿宋" w:eastAsia="仿宋_GB2312" w:cs="仿宋"/>
          <w:color w:val="auto"/>
          <w:sz w:val="32"/>
          <w:szCs w:val="32"/>
          <w:lang w:val="en-US" w:eastAsia="zh-CN"/>
        </w:rPr>
        <w:t>2.</w:t>
      </w:r>
      <w:r>
        <w:rPr>
          <w:rFonts w:hint="eastAsia" w:ascii="仿宋_GB2312" w:hAnsi="仿宋" w:eastAsia="仿宋_GB2312" w:cs="仿宋"/>
          <w:color w:val="auto"/>
          <w:sz w:val="32"/>
          <w:szCs w:val="32"/>
        </w:rPr>
        <w:t>负责制定新区招商引资活动方案并组织实施；负责同境内外各类经济团体及工商企业、金融组织、商务机构和其他投资者的联系，组织开展各类经济技术合作和招商引资活动；承办新区管委会组团赴外开展经济技术合作、招商引资活动的联络、洽谈等相关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　　</w:t>
      </w:r>
      <w:r>
        <w:rPr>
          <w:rFonts w:hint="eastAsia" w:ascii="仿宋_GB2312" w:hAnsi="仿宋" w:eastAsia="仿宋_GB2312" w:cs="仿宋"/>
          <w:color w:val="auto"/>
          <w:sz w:val="32"/>
          <w:szCs w:val="32"/>
          <w:lang w:val="en-US" w:eastAsia="zh-CN"/>
        </w:rPr>
        <w:t>3.</w:t>
      </w:r>
      <w:r>
        <w:rPr>
          <w:rFonts w:hint="eastAsia" w:ascii="仿宋_GB2312" w:hAnsi="仿宋" w:eastAsia="仿宋_GB2312" w:cs="仿宋"/>
          <w:color w:val="auto"/>
          <w:sz w:val="32"/>
          <w:szCs w:val="32"/>
        </w:rPr>
        <w:t>负责新区经济技术合作和招商引资项目库建设和管理工作；承担经济技术合作和招商引资重点项目的推介、洽谈和跟踪服务工作；负责编制新区投资指南、经济技术合作和招商引资项目宣传资料；负责新区经济技术合作和招商引资信息工作及网络建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　　</w:t>
      </w:r>
      <w:r>
        <w:rPr>
          <w:rFonts w:hint="eastAsia" w:ascii="仿宋_GB2312" w:hAnsi="仿宋" w:eastAsia="仿宋_GB2312" w:cs="仿宋"/>
          <w:color w:val="auto"/>
          <w:sz w:val="32"/>
          <w:szCs w:val="32"/>
          <w:lang w:val="en-US" w:eastAsia="zh-CN"/>
        </w:rPr>
        <w:t>4.</w:t>
      </w:r>
      <w:r>
        <w:rPr>
          <w:rFonts w:hint="eastAsia" w:ascii="仿宋_GB2312" w:hAnsi="仿宋" w:eastAsia="仿宋_GB2312" w:cs="仿宋"/>
          <w:color w:val="auto"/>
          <w:sz w:val="32"/>
          <w:szCs w:val="32"/>
        </w:rPr>
        <w:t>负责指导、协调各园区及有关部门（单位）、企业的对外开放、经济技术合作、招商引资工作。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lang w:val="en-US" w:eastAsia="zh-CN"/>
        </w:rPr>
        <w:t>5.</w:t>
      </w:r>
      <w:r>
        <w:rPr>
          <w:rFonts w:hint="eastAsia" w:ascii="仿宋_GB2312" w:hAnsi="仿宋" w:eastAsia="仿宋_GB2312" w:cs="仿宋"/>
          <w:color w:val="auto"/>
          <w:sz w:val="32"/>
          <w:szCs w:val="32"/>
        </w:rPr>
        <w:t>负责新区经济技术合作、招商引资年度工作目标的制定、分解、考核等工作；负责新区经济技术合作、招商引资的统计、汇总、分析工作；承担新区经济合作部门的人员培训。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lang w:val="en-US" w:eastAsia="zh-CN"/>
        </w:rPr>
        <w:t>6.</w:t>
      </w:r>
      <w:r>
        <w:rPr>
          <w:rFonts w:hint="eastAsia" w:ascii="仿宋_GB2312" w:hAnsi="仿宋" w:eastAsia="仿宋_GB2312" w:cs="仿宋"/>
          <w:color w:val="auto"/>
          <w:sz w:val="32"/>
          <w:szCs w:val="32"/>
        </w:rPr>
        <w:t>负责新区会展活动组织工作，承担新区在境内外举办各类项目洽谈会、经贸展会的组织、联络、洽谈、协调工作。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　　</w:t>
      </w:r>
      <w:r>
        <w:rPr>
          <w:rFonts w:hint="eastAsia" w:ascii="仿宋_GB2312" w:hAnsi="仿宋" w:eastAsia="仿宋_GB2312" w:cs="仿宋"/>
          <w:color w:val="auto"/>
          <w:sz w:val="32"/>
          <w:szCs w:val="32"/>
          <w:lang w:val="en-US" w:eastAsia="zh-CN"/>
        </w:rPr>
        <w:t>7.</w:t>
      </w:r>
      <w:r>
        <w:rPr>
          <w:rFonts w:hint="eastAsia" w:ascii="仿宋_GB2312" w:hAnsi="仿宋" w:eastAsia="仿宋_GB2312" w:cs="仿宋"/>
          <w:color w:val="auto"/>
          <w:sz w:val="32"/>
          <w:szCs w:val="32"/>
        </w:rPr>
        <w:t>负责区域性经济技术合作交流新区方的组织工作和省内都市经济圈等区域经济技术合作的促进工作；负责新区与国内友好城市经济技术合作的联络与交流工作。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lang w:val="en-US" w:eastAsia="zh-CN"/>
        </w:rPr>
        <w:t>8.</w:t>
      </w:r>
      <w:r>
        <w:rPr>
          <w:rFonts w:hint="eastAsia" w:ascii="仿宋_GB2312" w:hAnsi="仿宋" w:eastAsia="仿宋_GB2312" w:cs="仿宋"/>
          <w:color w:val="auto"/>
          <w:sz w:val="32"/>
          <w:szCs w:val="32"/>
        </w:rPr>
        <w:t>负责新区招商引资重大经济技术合作项目合同履约实施过程的监督管理和协调服务工作；负责受理外来投资企业的投诉，会同有关部门协调解决外来投资企业在建设、经营中遇到的各种问题。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lang w:val="en-US" w:eastAsia="zh-CN"/>
        </w:rPr>
        <w:t>9.</w:t>
      </w:r>
      <w:r>
        <w:rPr>
          <w:rFonts w:hint="eastAsia" w:ascii="仿宋_GB2312" w:hAnsi="仿宋" w:eastAsia="仿宋_GB2312" w:cs="仿宋"/>
          <w:color w:val="auto"/>
          <w:sz w:val="32"/>
          <w:szCs w:val="32"/>
        </w:rPr>
        <w:t>负责研究制定推进重大签约项目落地的具体办法和措施，并负责督促落实，对项目落地情况进行监督；负责报告项目落地进展情况，以及影响项目落地推进的原因和事项。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　　</w:t>
      </w:r>
      <w:r>
        <w:rPr>
          <w:rFonts w:hint="eastAsia" w:ascii="仿宋_GB2312" w:hAnsi="仿宋" w:eastAsia="仿宋_GB2312" w:cs="仿宋"/>
          <w:color w:val="auto"/>
          <w:sz w:val="32"/>
          <w:szCs w:val="32"/>
          <w:lang w:val="en-US" w:eastAsia="zh-CN"/>
        </w:rPr>
        <w:t>10.</w:t>
      </w:r>
      <w:r>
        <w:rPr>
          <w:rFonts w:hint="eastAsia" w:ascii="仿宋_GB2312" w:hAnsi="仿宋" w:eastAsia="仿宋_GB2312" w:cs="仿宋"/>
          <w:color w:val="auto"/>
          <w:sz w:val="32"/>
          <w:szCs w:val="32"/>
        </w:rPr>
        <w:t xml:space="preserve">承担兰州新区“兰洽会”领导小组办公室日常工作，牵头组织落实“兰洽会”筹办期间兰州新区方面的有关工作。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lang w:val="en-US" w:eastAsia="zh-CN"/>
        </w:rPr>
        <w:t>11.</w:t>
      </w:r>
      <w:r>
        <w:rPr>
          <w:rFonts w:hint="eastAsia" w:ascii="仿宋_GB2312" w:hAnsi="仿宋" w:eastAsia="仿宋_GB2312" w:cs="仿宋"/>
          <w:color w:val="auto"/>
          <w:sz w:val="32"/>
          <w:szCs w:val="32"/>
        </w:rPr>
        <w:t>负责境外地区（含港、澳、台地区）特别是“一带一路”沿线国家招商引资项目的对接、服务工作。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完成新区党工委、管委会和上级业务部门交办的其他任务。</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 w:hAnsi="楷体" w:eastAsia="楷体" w:cs="楷体"/>
          <w:color w:val="auto"/>
          <w:sz w:val="32"/>
          <w:szCs w:val="32"/>
          <w:u w:val="none"/>
          <w:lang w:eastAsia="zh-CN"/>
        </w:rPr>
      </w:pPr>
      <w:r>
        <w:rPr>
          <w:rFonts w:hint="eastAsia" w:ascii="楷体" w:hAnsi="楷体" w:eastAsia="楷体" w:cs="楷体"/>
          <w:color w:val="auto"/>
          <w:sz w:val="32"/>
          <w:szCs w:val="32"/>
          <w:u w:val="none"/>
          <w:lang w:eastAsia="zh-CN"/>
        </w:rPr>
        <w:t>（二）内设机构及所属单位概况</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eastAsia="zh-CN"/>
        </w:rPr>
        <w:t>兰州新区经济合作</w:t>
      </w:r>
      <w:r>
        <w:rPr>
          <w:rFonts w:hint="eastAsia" w:ascii="仿宋_GB2312" w:hAnsi="仿宋_GB2312" w:eastAsia="仿宋_GB2312" w:cs="仿宋_GB2312"/>
          <w:color w:val="auto"/>
          <w:sz w:val="32"/>
          <w:szCs w:val="32"/>
        </w:rPr>
        <w:t>局202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末</w:t>
      </w:r>
      <w:r>
        <w:rPr>
          <w:rFonts w:hint="eastAsia" w:ascii="仿宋_GB2312" w:hAnsi="仿宋_GB2312" w:eastAsia="仿宋_GB2312" w:cs="仿宋_GB2312"/>
          <w:color w:val="auto"/>
          <w:sz w:val="32"/>
          <w:szCs w:val="32"/>
        </w:rPr>
        <w:t>共有机构数1家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其中全额预算单位1家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none"/>
        </w:rPr>
        <w:t>内设机构</w:t>
      </w:r>
      <w:r>
        <w:rPr>
          <w:rFonts w:hint="eastAsia" w:ascii="仿宋_GB2312" w:hAnsi="仿宋_GB2312" w:eastAsia="仿宋_GB2312" w:cs="仿宋_GB2312"/>
          <w:color w:val="auto"/>
          <w:sz w:val="32"/>
          <w:szCs w:val="32"/>
          <w:u w:val="none"/>
          <w:lang w:val="en-US" w:eastAsia="zh-CN"/>
        </w:rPr>
        <w:t>6</w:t>
      </w:r>
      <w:r>
        <w:rPr>
          <w:rFonts w:hint="eastAsia" w:ascii="仿宋_GB2312" w:hAnsi="仿宋_GB2312" w:eastAsia="仿宋_GB2312" w:cs="仿宋_GB2312"/>
          <w:color w:val="auto"/>
          <w:sz w:val="32"/>
          <w:szCs w:val="32"/>
          <w:u w:val="none"/>
        </w:rPr>
        <w:t>个，</w:t>
      </w:r>
      <w:r>
        <w:rPr>
          <w:rFonts w:hint="eastAsia" w:ascii="仿宋_GB2312" w:hAnsi="仿宋_GB2312" w:eastAsia="仿宋_GB2312" w:cs="仿宋_GB2312"/>
          <w:color w:val="auto"/>
          <w:sz w:val="32"/>
          <w:szCs w:val="32"/>
        </w:rPr>
        <w:t>均为正科级建制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none"/>
        </w:rPr>
        <w:t>分别为：</w:t>
      </w:r>
      <w:r>
        <w:rPr>
          <w:rFonts w:hint="eastAsia" w:ascii="仿宋_GB2312" w:hAnsi="仿宋_GB2312" w:eastAsia="仿宋_GB2312" w:cs="仿宋_GB2312"/>
          <w:color w:val="auto"/>
          <w:sz w:val="32"/>
          <w:szCs w:val="32"/>
          <w:u w:val="none"/>
          <w:lang w:eastAsia="zh-CN"/>
        </w:rPr>
        <w:t>办公室</w:t>
      </w:r>
      <w:r>
        <w:rPr>
          <w:rFonts w:hint="eastAsia" w:ascii="仿宋_GB2312" w:hAnsi="仿宋_GB2312" w:eastAsia="仿宋_GB2312" w:cs="仿宋_GB2312"/>
          <w:color w:val="auto"/>
          <w:sz w:val="32"/>
          <w:szCs w:val="32"/>
          <w:u w:val="none"/>
        </w:rPr>
        <w:t>、</w:t>
      </w:r>
      <w:r>
        <w:rPr>
          <w:rFonts w:hint="eastAsia" w:ascii="仿宋_GB2312" w:hAnsi="仿宋" w:eastAsia="仿宋_GB2312" w:cs="仿宋"/>
          <w:color w:val="auto"/>
          <w:sz w:val="32"/>
          <w:szCs w:val="32"/>
          <w:lang w:eastAsia="zh-CN"/>
        </w:rPr>
        <w:t>联络协作</w:t>
      </w:r>
      <w:r>
        <w:rPr>
          <w:rFonts w:hint="eastAsia" w:ascii="仿宋_GB2312" w:hAnsi="仿宋" w:eastAsia="仿宋_GB2312" w:cs="仿宋"/>
          <w:color w:val="auto"/>
          <w:sz w:val="32"/>
          <w:szCs w:val="32"/>
          <w:lang w:val="en-US" w:eastAsia="zh-CN"/>
        </w:rPr>
        <w:t>科</w:t>
      </w:r>
      <w:r>
        <w:rPr>
          <w:rFonts w:hint="eastAsia" w:ascii="仿宋_GB2312" w:hAnsi="仿宋_GB2312" w:eastAsia="仿宋_GB2312" w:cs="仿宋_GB2312"/>
          <w:color w:val="auto"/>
          <w:sz w:val="32"/>
          <w:szCs w:val="32"/>
          <w:u w:val="none"/>
          <w:lang w:eastAsia="zh-CN"/>
        </w:rPr>
        <w:t>、</w:t>
      </w:r>
      <w:r>
        <w:rPr>
          <w:rFonts w:hint="eastAsia" w:ascii="仿宋_GB2312" w:hAnsi="仿宋" w:eastAsia="仿宋_GB2312" w:cs="仿宋"/>
          <w:color w:val="auto"/>
          <w:sz w:val="32"/>
          <w:szCs w:val="32"/>
          <w:lang w:eastAsia="zh-CN"/>
        </w:rPr>
        <w:t>项目推进科</w:t>
      </w:r>
      <w:r>
        <w:rPr>
          <w:rFonts w:hint="eastAsia" w:ascii="仿宋_GB2312" w:hAnsi="仿宋_GB2312" w:eastAsia="仿宋_GB2312" w:cs="仿宋_GB2312"/>
          <w:color w:val="auto"/>
          <w:sz w:val="32"/>
          <w:szCs w:val="32"/>
          <w:u w:val="none"/>
          <w:lang w:eastAsia="zh-CN"/>
        </w:rPr>
        <w:t>、经合一科、经合二科、</w:t>
      </w:r>
      <w:r>
        <w:rPr>
          <w:rFonts w:hint="eastAsia" w:ascii="仿宋_GB2312" w:hAnsi="仿宋_GB2312" w:eastAsia="仿宋_GB2312" w:cs="仿宋_GB2312"/>
          <w:b w:val="0"/>
          <w:bCs w:val="0"/>
          <w:color w:val="auto"/>
          <w:sz w:val="32"/>
          <w:szCs w:val="32"/>
          <w:lang w:eastAsia="zh-CN"/>
        </w:rPr>
        <w:t>经合三科</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i w:val="0"/>
          <w:caps w:val="0"/>
          <w:color w:val="auto"/>
          <w:spacing w:val="0"/>
          <w:sz w:val="32"/>
          <w:szCs w:val="32"/>
          <w:shd w:val="clear" w:fill="FFFFFF"/>
        </w:rPr>
        <w:t>核定工作人员</w:t>
      </w:r>
      <w:r>
        <w:rPr>
          <w:rFonts w:hint="eastAsia" w:ascii="仿宋_GB2312" w:hAnsi="仿宋_GB2312" w:eastAsia="仿宋_GB2312" w:cs="仿宋_GB2312"/>
          <w:i w:val="0"/>
          <w:caps w:val="0"/>
          <w:color w:val="auto"/>
          <w:spacing w:val="0"/>
          <w:sz w:val="32"/>
          <w:szCs w:val="32"/>
          <w:shd w:val="clear" w:fill="FFFFFF"/>
          <w:lang w:val="en-US" w:eastAsia="zh-CN"/>
        </w:rPr>
        <w:t>28</w:t>
      </w:r>
      <w:r>
        <w:rPr>
          <w:rFonts w:hint="eastAsia" w:ascii="仿宋_GB2312" w:hAnsi="仿宋_GB2312" w:eastAsia="仿宋_GB2312" w:cs="仿宋_GB2312"/>
          <w:i w:val="0"/>
          <w:caps w:val="0"/>
          <w:color w:val="auto"/>
          <w:spacing w:val="0"/>
          <w:sz w:val="32"/>
          <w:szCs w:val="32"/>
          <w:shd w:val="clear" w:fill="FFFFFF"/>
        </w:rPr>
        <w:t>名。</w:t>
      </w:r>
      <w:r>
        <w:rPr>
          <w:rFonts w:hint="eastAsia" w:ascii="仿宋_GB2312" w:hAnsi="仿宋_GB2312" w:eastAsia="仿宋_GB2312" w:cs="仿宋_GB2312"/>
          <w:color w:val="auto"/>
          <w:sz w:val="32"/>
          <w:szCs w:val="32"/>
          <w:lang w:val="en-US" w:eastAsia="zh-CN"/>
        </w:rPr>
        <w:t>2021年末实</w:t>
      </w:r>
      <w:r>
        <w:rPr>
          <w:rStyle w:val="8"/>
          <w:rFonts w:hint="eastAsia" w:ascii="仿宋_GB2312" w:hAnsi="仿宋_GB2312" w:eastAsia="仿宋_GB2312" w:cs="仿宋_GB2312"/>
          <w:b w:val="0"/>
          <w:bCs/>
          <w:color w:val="auto"/>
          <w:spacing w:val="-11"/>
          <w:sz w:val="32"/>
          <w:szCs w:val="32"/>
          <w:shd w:val="clear" w:fill="FFFFFF"/>
        </w:rPr>
        <w:t>有</w:t>
      </w:r>
      <w:r>
        <w:rPr>
          <w:rStyle w:val="8"/>
          <w:rFonts w:hint="eastAsia" w:ascii="仿宋_GB2312" w:hAnsi="仿宋_GB2312" w:eastAsia="仿宋_GB2312" w:cs="仿宋_GB2312"/>
          <w:b w:val="0"/>
          <w:bCs/>
          <w:color w:val="auto"/>
          <w:spacing w:val="-11"/>
          <w:sz w:val="32"/>
          <w:szCs w:val="32"/>
          <w:shd w:val="clear" w:fill="FFFFFF"/>
          <w:lang w:eastAsia="zh-CN"/>
        </w:rPr>
        <w:t>人数</w:t>
      </w:r>
      <w:r>
        <w:rPr>
          <w:rStyle w:val="8"/>
          <w:rFonts w:hint="eastAsia" w:ascii="仿宋_GB2312" w:hAnsi="仿宋_GB2312" w:eastAsia="仿宋_GB2312" w:cs="仿宋_GB2312"/>
          <w:b w:val="0"/>
          <w:bCs/>
          <w:color w:val="auto"/>
          <w:spacing w:val="-11"/>
          <w:sz w:val="32"/>
          <w:szCs w:val="32"/>
          <w:shd w:val="clear" w:fill="FFFFFF"/>
          <w:lang w:val="en-US" w:eastAsia="zh-CN"/>
        </w:rPr>
        <w:t>26人</w:t>
      </w:r>
      <w:r>
        <w:rPr>
          <w:rStyle w:val="8"/>
          <w:rFonts w:hint="eastAsia" w:ascii="仿宋_GB2312" w:hAnsi="仿宋_GB2312" w:eastAsia="仿宋_GB2312" w:cs="仿宋_GB2312"/>
          <w:b w:val="0"/>
          <w:bCs/>
          <w:color w:val="auto"/>
          <w:spacing w:val="-11"/>
          <w:sz w:val="32"/>
          <w:szCs w:val="32"/>
          <w:shd w:val="clear" w:fill="FFFFFF"/>
        </w:rPr>
        <w:t>，其中</w:t>
      </w:r>
      <w:r>
        <w:rPr>
          <w:rStyle w:val="8"/>
          <w:rFonts w:hint="eastAsia" w:ascii="仿宋_GB2312" w:hAnsi="仿宋_GB2312" w:eastAsia="仿宋_GB2312" w:cs="仿宋_GB2312"/>
          <w:b w:val="0"/>
          <w:bCs/>
          <w:color w:val="auto"/>
          <w:spacing w:val="-11"/>
          <w:sz w:val="32"/>
          <w:szCs w:val="32"/>
          <w:shd w:val="clear" w:fill="FFFFFF"/>
          <w:lang w:eastAsia="zh-CN"/>
        </w:rPr>
        <w:t>行政人员</w:t>
      </w:r>
      <w:r>
        <w:rPr>
          <w:rStyle w:val="8"/>
          <w:rFonts w:hint="eastAsia" w:ascii="仿宋_GB2312" w:hAnsi="仿宋_GB2312" w:eastAsia="仿宋_GB2312" w:cs="仿宋_GB2312"/>
          <w:b w:val="0"/>
          <w:bCs/>
          <w:color w:val="auto"/>
          <w:spacing w:val="-11"/>
          <w:sz w:val="32"/>
          <w:szCs w:val="32"/>
          <w:shd w:val="clear" w:fill="FFFFFF"/>
          <w:lang w:val="en-US" w:eastAsia="zh-CN"/>
        </w:rPr>
        <w:t>6</w:t>
      </w:r>
      <w:r>
        <w:rPr>
          <w:rStyle w:val="8"/>
          <w:rFonts w:hint="eastAsia" w:ascii="仿宋_GB2312" w:hAnsi="仿宋_GB2312" w:eastAsia="仿宋_GB2312" w:cs="仿宋_GB2312"/>
          <w:b w:val="0"/>
          <w:bCs/>
          <w:color w:val="auto"/>
          <w:spacing w:val="-11"/>
          <w:sz w:val="32"/>
          <w:szCs w:val="32"/>
          <w:shd w:val="clear" w:fill="FFFFFF"/>
          <w:lang w:eastAsia="zh-CN"/>
        </w:rPr>
        <w:t>人，事业人员</w:t>
      </w:r>
      <w:r>
        <w:rPr>
          <w:rStyle w:val="8"/>
          <w:rFonts w:hint="eastAsia" w:ascii="仿宋_GB2312" w:hAnsi="仿宋_GB2312" w:eastAsia="仿宋_GB2312" w:cs="仿宋_GB2312"/>
          <w:b w:val="0"/>
          <w:bCs/>
          <w:color w:val="auto"/>
          <w:spacing w:val="-11"/>
          <w:sz w:val="32"/>
          <w:szCs w:val="32"/>
          <w:shd w:val="clear" w:fill="FFFFFF"/>
          <w:lang w:val="en-US" w:eastAsia="zh-CN"/>
        </w:rPr>
        <w:t>7人，</w:t>
      </w:r>
      <w:r>
        <w:rPr>
          <w:rStyle w:val="8"/>
          <w:rFonts w:hint="eastAsia" w:ascii="仿宋_GB2312" w:hAnsi="仿宋_GB2312" w:eastAsia="仿宋_GB2312" w:cs="仿宋_GB2312"/>
          <w:b w:val="0"/>
          <w:bCs/>
          <w:color w:val="auto"/>
          <w:spacing w:val="-11"/>
          <w:sz w:val="32"/>
          <w:szCs w:val="32"/>
          <w:shd w:val="clear" w:fill="FFFFFF"/>
        </w:rPr>
        <w:t>聘用人员</w:t>
      </w:r>
      <w:r>
        <w:rPr>
          <w:rStyle w:val="8"/>
          <w:rFonts w:hint="eastAsia" w:ascii="仿宋_GB2312" w:hAnsi="仿宋_GB2312" w:eastAsia="仿宋_GB2312" w:cs="仿宋_GB2312"/>
          <w:b w:val="0"/>
          <w:bCs/>
          <w:color w:val="auto"/>
          <w:spacing w:val="-11"/>
          <w:sz w:val="32"/>
          <w:szCs w:val="32"/>
          <w:shd w:val="clear" w:fill="FFFFFF"/>
          <w:lang w:val="en-US" w:eastAsia="zh-CN"/>
        </w:rPr>
        <w:t>13</w:t>
      </w:r>
      <w:r>
        <w:rPr>
          <w:rStyle w:val="8"/>
          <w:rFonts w:hint="eastAsia" w:ascii="仿宋_GB2312" w:hAnsi="仿宋_GB2312" w:eastAsia="仿宋_GB2312" w:cs="仿宋_GB2312"/>
          <w:b w:val="0"/>
          <w:bCs/>
          <w:color w:val="auto"/>
          <w:spacing w:val="-11"/>
          <w:sz w:val="32"/>
          <w:szCs w:val="32"/>
          <w:shd w:val="clear" w:fill="FFFFFF"/>
        </w:rPr>
        <w:t>人</w:t>
      </w:r>
      <w:r>
        <w:rPr>
          <w:rStyle w:val="8"/>
          <w:rFonts w:hint="eastAsia" w:ascii="仿宋_GB2312" w:hAnsi="仿宋_GB2312" w:eastAsia="仿宋_GB2312" w:cs="仿宋_GB2312"/>
          <w:b w:val="0"/>
          <w:bCs/>
          <w:color w:val="auto"/>
          <w:spacing w:val="-11"/>
          <w:sz w:val="32"/>
          <w:szCs w:val="32"/>
          <w:shd w:val="clear" w:fill="FFFFFF"/>
          <w:lang w:eastAsia="zh-CN"/>
        </w:rPr>
        <w:t>。</w:t>
      </w:r>
      <w:r>
        <w:rPr>
          <w:rFonts w:hint="eastAsia" w:ascii="仿宋_GB2312" w:hAnsi="仿宋_GB2312" w:eastAsia="仿宋_GB2312" w:cs="仿宋_GB2312"/>
          <w:i w:val="0"/>
          <w:caps w:val="0"/>
          <w:color w:val="auto"/>
          <w:spacing w:val="0"/>
          <w:sz w:val="32"/>
          <w:szCs w:val="32"/>
          <w:shd w:val="clear" w:fill="FFFFFF"/>
        </w:rPr>
        <w:t>正县级领导职数1名（局长1名），副县级领导职数</w:t>
      </w:r>
      <w:r>
        <w:rPr>
          <w:rFonts w:hint="eastAsia" w:ascii="仿宋_GB2312" w:hAnsi="仿宋_GB2312" w:eastAsia="仿宋_GB2312" w:cs="仿宋_GB2312"/>
          <w:i w:val="0"/>
          <w:caps w:val="0"/>
          <w:color w:val="auto"/>
          <w:spacing w:val="0"/>
          <w:sz w:val="32"/>
          <w:szCs w:val="32"/>
          <w:shd w:val="clear" w:fill="FFFFFF"/>
          <w:lang w:val="en-US" w:eastAsia="zh-CN"/>
        </w:rPr>
        <w:t>2</w:t>
      </w:r>
      <w:r>
        <w:rPr>
          <w:rFonts w:hint="eastAsia" w:ascii="仿宋_GB2312" w:hAnsi="仿宋_GB2312" w:eastAsia="仿宋_GB2312" w:cs="仿宋_GB2312"/>
          <w:i w:val="0"/>
          <w:caps w:val="0"/>
          <w:color w:val="auto"/>
          <w:spacing w:val="0"/>
          <w:sz w:val="32"/>
          <w:szCs w:val="32"/>
          <w:shd w:val="clear" w:fill="FFFFFF"/>
        </w:rPr>
        <w:t>名（副局长</w:t>
      </w:r>
      <w:r>
        <w:rPr>
          <w:rFonts w:hint="eastAsia" w:ascii="仿宋_GB2312" w:hAnsi="仿宋_GB2312" w:eastAsia="仿宋_GB2312" w:cs="仿宋_GB2312"/>
          <w:i w:val="0"/>
          <w:caps w:val="0"/>
          <w:color w:val="auto"/>
          <w:spacing w:val="0"/>
          <w:sz w:val="32"/>
          <w:szCs w:val="32"/>
          <w:shd w:val="clear" w:fill="FFFFFF"/>
          <w:lang w:val="en-US" w:eastAsia="zh-CN"/>
        </w:rPr>
        <w:t>2</w:t>
      </w:r>
      <w:r>
        <w:rPr>
          <w:rFonts w:hint="eastAsia" w:ascii="仿宋_GB2312" w:hAnsi="仿宋_GB2312" w:eastAsia="仿宋_GB2312" w:cs="仿宋_GB2312"/>
          <w:i w:val="0"/>
          <w:caps w:val="0"/>
          <w:color w:val="auto"/>
          <w:spacing w:val="0"/>
          <w:sz w:val="32"/>
          <w:szCs w:val="32"/>
          <w:shd w:val="clear" w:fill="FFFFFF"/>
        </w:rPr>
        <w:t>名），</w:t>
      </w:r>
      <w:r>
        <w:rPr>
          <w:rFonts w:hint="eastAsia" w:ascii="仿宋_GB2312" w:hAnsi="仿宋_GB2312" w:eastAsia="仿宋_GB2312" w:cs="仿宋_GB2312"/>
          <w:i w:val="0"/>
          <w:caps w:val="0"/>
          <w:color w:val="auto"/>
          <w:spacing w:val="0"/>
          <w:sz w:val="32"/>
          <w:szCs w:val="32"/>
          <w:shd w:val="clear" w:fill="FFFFFF"/>
          <w:lang w:eastAsia="zh-CN"/>
        </w:rPr>
        <w:t>二级调研员</w:t>
      </w:r>
      <w:r>
        <w:rPr>
          <w:rFonts w:hint="eastAsia" w:ascii="仿宋_GB2312" w:hAnsi="仿宋_GB2312" w:eastAsia="仿宋_GB2312" w:cs="仿宋_GB2312"/>
          <w:i w:val="0"/>
          <w:caps w:val="0"/>
          <w:color w:val="auto"/>
          <w:spacing w:val="0"/>
          <w:sz w:val="32"/>
          <w:szCs w:val="32"/>
          <w:shd w:val="clear" w:fill="FFFFFF"/>
          <w:lang w:val="en-US" w:eastAsia="zh-CN"/>
        </w:rPr>
        <w:t>1名，</w:t>
      </w:r>
      <w:r>
        <w:rPr>
          <w:rFonts w:hint="eastAsia" w:ascii="仿宋_GB2312" w:hAnsi="仿宋_GB2312" w:eastAsia="仿宋_GB2312" w:cs="仿宋_GB2312"/>
          <w:i w:val="0"/>
          <w:caps w:val="0"/>
          <w:color w:val="auto"/>
          <w:spacing w:val="0"/>
          <w:sz w:val="32"/>
          <w:szCs w:val="32"/>
          <w:shd w:val="clear" w:fill="FFFFFF"/>
        </w:rPr>
        <w:t>正科级领导职数</w:t>
      </w:r>
      <w:r>
        <w:rPr>
          <w:rFonts w:hint="eastAsia" w:ascii="仿宋_GB2312" w:hAnsi="仿宋_GB2312" w:eastAsia="仿宋_GB2312" w:cs="仿宋_GB2312"/>
          <w:i w:val="0"/>
          <w:caps w:val="0"/>
          <w:color w:val="auto"/>
          <w:spacing w:val="0"/>
          <w:sz w:val="32"/>
          <w:szCs w:val="32"/>
          <w:shd w:val="clear" w:fill="FFFFFF"/>
          <w:lang w:val="en-US" w:eastAsia="zh-CN"/>
        </w:rPr>
        <w:t>4</w:t>
      </w:r>
      <w:r>
        <w:rPr>
          <w:rFonts w:hint="eastAsia" w:ascii="仿宋_GB2312" w:hAnsi="仿宋_GB2312" w:eastAsia="仿宋_GB2312" w:cs="仿宋_GB2312"/>
          <w:i w:val="0"/>
          <w:caps w:val="0"/>
          <w:color w:val="auto"/>
          <w:spacing w:val="0"/>
          <w:sz w:val="32"/>
          <w:szCs w:val="32"/>
          <w:shd w:val="clear" w:fill="FFFFFF"/>
        </w:rPr>
        <w:t>名，副科级领导职数</w:t>
      </w:r>
      <w:r>
        <w:rPr>
          <w:rFonts w:hint="eastAsia" w:ascii="仿宋_GB2312" w:hAnsi="仿宋_GB2312" w:eastAsia="仿宋_GB2312" w:cs="仿宋_GB2312"/>
          <w:i w:val="0"/>
          <w:caps w:val="0"/>
          <w:color w:val="auto"/>
          <w:spacing w:val="0"/>
          <w:sz w:val="32"/>
          <w:szCs w:val="32"/>
          <w:shd w:val="clear" w:fill="FFFFFF"/>
          <w:lang w:val="en-US" w:eastAsia="zh-CN"/>
        </w:rPr>
        <w:t>7</w:t>
      </w:r>
      <w:r>
        <w:rPr>
          <w:rFonts w:hint="eastAsia" w:ascii="仿宋_GB2312" w:hAnsi="仿宋_GB2312" w:eastAsia="仿宋_GB2312" w:cs="仿宋_GB2312"/>
          <w:i w:val="0"/>
          <w:caps w:val="0"/>
          <w:color w:val="auto"/>
          <w:spacing w:val="0"/>
          <w:sz w:val="32"/>
          <w:szCs w:val="32"/>
          <w:shd w:val="clear" w:fill="FFFFFF"/>
        </w:rPr>
        <w:t>名</w:t>
      </w:r>
      <w:r>
        <w:rPr>
          <w:rFonts w:hint="eastAsia" w:ascii="仿宋_GB2312" w:hAnsi="仿宋_GB2312" w:eastAsia="仿宋_GB2312" w:cs="仿宋_GB2312"/>
          <w:i w:val="0"/>
          <w:caps w:val="0"/>
          <w:color w:val="auto"/>
          <w:spacing w:val="0"/>
          <w:sz w:val="32"/>
          <w:szCs w:val="32"/>
          <w:shd w:val="clear" w:fill="FFFFFF"/>
          <w:lang w:eastAsia="zh-CN"/>
        </w:rPr>
        <w:t>，科员</w:t>
      </w:r>
      <w:r>
        <w:rPr>
          <w:rFonts w:hint="eastAsia" w:ascii="仿宋_GB2312" w:hAnsi="仿宋_GB2312" w:eastAsia="仿宋_GB2312" w:cs="仿宋_GB2312"/>
          <w:i w:val="0"/>
          <w:caps w:val="0"/>
          <w:color w:val="auto"/>
          <w:spacing w:val="0"/>
          <w:sz w:val="32"/>
          <w:szCs w:val="32"/>
          <w:shd w:val="clear" w:fill="FFFFFF"/>
          <w:lang w:val="en-US" w:eastAsia="zh-CN"/>
        </w:rPr>
        <w:t>9名，工勤2名</w:t>
      </w:r>
      <w:r>
        <w:rPr>
          <w:rFonts w:hint="eastAsia" w:ascii="仿宋_GB2312" w:hAnsi="仿宋_GB2312" w:eastAsia="仿宋_GB2312" w:cs="仿宋_GB2312"/>
          <w:i w:val="0"/>
          <w:caps w:val="0"/>
          <w:color w:val="auto"/>
          <w:spacing w:val="0"/>
          <w:sz w:val="32"/>
          <w:szCs w:val="32"/>
          <w:shd w:val="clear" w:fill="FFFFFF"/>
        </w:rPr>
        <w:t>。</w:t>
      </w:r>
      <w:r>
        <w:rPr>
          <w:rFonts w:hint="eastAsia" w:ascii="黑体" w:hAnsi="黑体" w:eastAsia="黑体" w:cs="黑体"/>
          <w:b w:val="0"/>
          <w:bCs w:val="0"/>
          <w:color w:val="auto"/>
          <w:sz w:val="32"/>
          <w:szCs w:val="32"/>
          <w:u w:val="none"/>
          <w:lang w:val="en-US" w:eastAsia="zh-CN"/>
        </w:rPr>
        <w:t xml:space="preserve">   </w:t>
      </w:r>
    </w:p>
    <w:p>
      <w:pPr>
        <w:keepNext w:val="0"/>
        <w:keepLines w:val="0"/>
        <w:pageBreakBefore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二、绩效自评工作组织开展情况</w:t>
      </w:r>
    </w:p>
    <w:p>
      <w:pPr>
        <w:keepNext w:val="0"/>
        <w:keepLines w:val="0"/>
        <w:pageBreakBefore w:val="0"/>
        <w:numPr>
          <w:ilvl w:val="0"/>
          <w:numId w:val="0"/>
        </w:numPr>
        <w:tabs>
          <w:tab w:val="center" w:pos="4153"/>
        </w:tabs>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单位主要负责招商引资工作的日常管理与统筹协调工作。本年度绩效自评工作在6个内设机构进行，对支出项目实际产出较年初绩效目标进行比较，主要从项目实施管理过程、资金使用是否合规等方面分析评价，参照预算管理制度与办公室内控制度自查2021年度预算执行情况。经核查，本年度预算项目按照相关规定执行，资金使用项目均按照计划方案组织实施，内控制度较为完整，项目监督程序健全，有效保障项目资金专款专用、无截留、无挪用。</w:t>
      </w:r>
    </w:p>
    <w:p>
      <w:pPr>
        <w:keepNext w:val="0"/>
        <w:keepLines w:val="0"/>
        <w:pageBreakBefore w:val="0"/>
        <w:numPr>
          <w:ilvl w:val="0"/>
          <w:numId w:val="0"/>
        </w:numPr>
        <w:tabs>
          <w:tab w:val="center" w:pos="4153"/>
        </w:tabs>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三、部门整体支出绩效自评情况分析</w:t>
      </w:r>
    </w:p>
    <w:p>
      <w:pPr>
        <w:pStyle w:val="4"/>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 w:hAnsi="楷体" w:eastAsia="楷体" w:cs="楷体"/>
          <w:color w:val="auto"/>
          <w:sz w:val="32"/>
          <w:szCs w:val="32"/>
          <w:u w:val="none"/>
          <w:lang w:eastAsia="zh-CN"/>
        </w:rPr>
      </w:pPr>
      <w:r>
        <w:rPr>
          <w:rFonts w:hint="eastAsia" w:ascii="楷体" w:hAnsi="楷体" w:eastAsia="楷体" w:cs="楷体"/>
          <w:color w:val="auto"/>
          <w:sz w:val="32"/>
          <w:szCs w:val="32"/>
          <w:u w:val="none"/>
          <w:lang w:eastAsia="zh-CN"/>
        </w:rPr>
        <w:t>部门决算情况</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kern w:val="2"/>
          <w:sz w:val="32"/>
          <w:szCs w:val="32"/>
          <w:u w:val="none"/>
          <w:lang w:eastAsia="zh-CN"/>
        </w:rPr>
        <w:t>2021年本单位财政拨款收入为6669</w:t>
      </w:r>
      <w:r>
        <w:rPr>
          <w:rFonts w:hint="eastAsia" w:ascii="仿宋_GB2312" w:hAnsi="仿宋_GB2312" w:eastAsia="仿宋_GB2312" w:cs="仿宋_GB2312"/>
          <w:color w:val="auto"/>
          <w:kern w:val="2"/>
          <w:sz w:val="32"/>
          <w:szCs w:val="32"/>
          <w:u w:val="none"/>
          <w:lang w:val="en-US" w:eastAsia="zh-CN"/>
        </w:rPr>
        <w:t>.</w:t>
      </w:r>
      <w:r>
        <w:rPr>
          <w:rFonts w:hint="eastAsia" w:ascii="仿宋_GB2312" w:hAnsi="仿宋_GB2312" w:eastAsia="仿宋_GB2312" w:cs="仿宋_GB2312"/>
          <w:color w:val="auto"/>
          <w:kern w:val="2"/>
          <w:sz w:val="32"/>
          <w:szCs w:val="32"/>
          <w:u w:val="none"/>
          <w:lang w:eastAsia="zh-CN"/>
        </w:rPr>
        <w:t>79万元，上年度结转经费19</w:t>
      </w:r>
      <w:r>
        <w:rPr>
          <w:rFonts w:hint="eastAsia" w:ascii="仿宋_GB2312" w:hAnsi="仿宋_GB2312" w:eastAsia="仿宋_GB2312" w:cs="仿宋_GB2312"/>
          <w:color w:val="auto"/>
          <w:kern w:val="2"/>
          <w:sz w:val="32"/>
          <w:szCs w:val="32"/>
          <w:u w:val="none"/>
          <w:lang w:val="en-US" w:eastAsia="zh-CN"/>
        </w:rPr>
        <w:t>.</w:t>
      </w:r>
      <w:r>
        <w:rPr>
          <w:rFonts w:hint="eastAsia" w:ascii="仿宋_GB2312" w:hAnsi="仿宋_GB2312" w:eastAsia="仿宋_GB2312" w:cs="仿宋_GB2312"/>
          <w:color w:val="auto"/>
          <w:kern w:val="2"/>
          <w:sz w:val="32"/>
          <w:szCs w:val="32"/>
          <w:u w:val="none"/>
          <w:lang w:eastAsia="zh-CN"/>
        </w:rPr>
        <w:t>82万元，全年调整预算收入6689</w:t>
      </w:r>
      <w:r>
        <w:rPr>
          <w:rFonts w:hint="eastAsia" w:ascii="仿宋_GB2312" w:hAnsi="仿宋_GB2312" w:eastAsia="仿宋_GB2312" w:cs="仿宋_GB2312"/>
          <w:color w:val="auto"/>
          <w:kern w:val="2"/>
          <w:sz w:val="32"/>
          <w:szCs w:val="32"/>
          <w:u w:val="none"/>
          <w:lang w:val="en-US" w:eastAsia="zh-CN"/>
        </w:rPr>
        <w:t>.</w:t>
      </w:r>
      <w:r>
        <w:rPr>
          <w:rFonts w:hint="eastAsia" w:ascii="仿宋_GB2312" w:hAnsi="仿宋_GB2312" w:eastAsia="仿宋_GB2312" w:cs="仿宋_GB2312"/>
          <w:color w:val="auto"/>
          <w:kern w:val="2"/>
          <w:sz w:val="32"/>
          <w:szCs w:val="32"/>
          <w:u w:val="none"/>
          <w:lang w:eastAsia="zh-CN"/>
        </w:rPr>
        <w:t>6</w:t>
      </w:r>
      <w:r>
        <w:rPr>
          <w:rFonts w:hint="eastAsia" w:ascii="仿宋_GB2312" w:hAnsi="仿宋_GB2312" w:eastAsia="仿宋_GB2312" w:cs="仿宋_GB2312"/>
          <w:color w:val="auto"/>
          <w:kern w:val="2"/>
          <w:sz w:val="32"/>
          <w:szCs w:val="32"/>
          <w:u w:val="none"/>
          <w:lang w:val="en-US" w:eastAsia="zh-CN"/>
        </w:rPr>
        <w:t>2万</w:t>
      </w:r>
      <w:r>
        <w:rPr>
          <w:rFonts w:hint="eastAsia" w:ascii="仿宋_GB2312" w:hAnsi="仿宋_GB2312" w:eastAsia="仿宋_GB2312" w:cs="仿宋_GB2312"/>
          <w:color w:val="auto"/>
          <w:kern w:val="2"/>
          <w:sz w:val="32"/>
          <w:szCs w:val="32"/>
          <w:u w:val="none"/>
          <w:lang w:eastAsia="zh-CN"/>
        </w:rPr>
        <w:t>元，其中：行政运行为590</w:t>
      </w:r>
      <w:r>
        <w:rPr>
          <w:rFonts w:hint="eastAsia" w:ascii="仿宋_GB2312" w:hAnsi="仿宋_GB2312" w:eastAsia="仿宋_GB2312" w:cs="仿宋_GB2312"/>
          <w:color w:val="auto"/>
          <w:kern w:val="2"/>
          <w:sz w:val="32"/>
          <w:szCs w:val="32"/>
          <w:u w:val="none"/>
          <w:lang w:val="en-US" w:eastAsia="zh-CN"/>
        </w:rPr>
        <w:t>.</w:t>
      </w:r>
      <w:r>
        <w:rPr>
          <w:rFonts w:hint="eastAsia" w:ascii="仿宋_GB2312" w:hAnsi="仿宋_GB2312" w:eastAsia="仿宋_GB2312" w:cs="仿宋_GB2312"/>
          <w:color w:val="auto"/>
          <w:kern w:val="2"/>
          <w:sz w:val="32"/>
          <w:szCs w:val="32"/>
          <w:u w:val="none"/>
          <w:lang w:eastAsia="zh-CN"/>
        </w:rPr>
        <w:t>51万元占总收入8.8%，项目收入为6099</w:t>
      </w:r>
      <w:r>
        <w:rPr>
          <w:rFonts w:hint="eastAsia" w:ascii="仿宋_GB2312" w:hAnsi="仿宋_GB2312" w:eastAsia="仿宋_GB2312" w:cs="仿宋_GB2312"/>
          <w:color w:val="auto"/>
          <w:kern w:val="2"/>
          <w:sz w:val="32"/>
          <w:szCs w:val="32"/>
          <w:u w:val="none"/>
          <w:lang w:val="en-US" w:eastAsia="zh-CN"/>
        </w:rPr>
        <w:t>.</w:t>
      </w:r>
      <w:r>
        <w:rPr>
          <w:rFonts w:hint="eastAsia" w:ascii="仿宋_GB2312" w:hAnsi="仿宋_GB2312" w:eastAsia="仿宋_GB2312" w:cs="仿宋_GB2312"/>
          <w:color w:val="auto"/>
          <w:kern w:val="2"/>
          <w:sz w:val="32"/>
          <w:szCs w:val="32"/>
          <w:u w:val="none"/>
          <w:lang w:eastAsia="zh-CN"/>
        </w:rPr>
        <w:t>1</w:t>
      </w:r>
      <w:r>
        <w:rPr>
          <w:rFonts w:hint="eastAsia" w:ascii="仿宋_GB2312" w:hAnsi="仿宋_GB2312" w:eastAsia="仿宋_GB2312" w:cs="仿宋_GB2312"/>
          <w:color w:val="auto"/>
          <w:kern w:val="2"/>
          <w:sz w:val="32"/>
          <w:szCs w:val="32"/>
          <w:u w:val="none"/>
          <w:lang w:val="en-US" w:eastAsia="zh-CN"/>
        </w:rPr>
        <w:t>1万</w:t>
      </w:r>
      <w:r>
        <w:rPr>
          <w:rFonts w:hint="eastAsia" w:ascii="仿宋_GB2312" w:hAnsi="仿宋_GB2312" w:eastAsia="仿宋_GB2312" w:cs="仿宋_GB2312"/>
          <w:color w:val="auto"/>
          <w:kern w:val="2"/>
          <w:sz w:val="32"/>
          <w:szCs w:val="32"/>
          <w:u w:val="none"/>
          <w:lang w:eastAsia="zh-CN"/>
        </w:rPr>
        <w:t>元占总收入91.3%。2021年度我单位支出6683</w:t>
      </w:r>
      <w:r>
        <w:rPr>
          <w:rFonts w:hint="eastAsia" w:ascii="仿宋_GB2312" w:hAnsi="仿宋_GB2312" w:eastAsia="仿宋_GB2312" w:cs="仿宋_GB2312"/>
          <w:color w:val="auto"/>
          <w:kern w:val="2"/>
          <w:sz w:val="32"/>
          <w:szCs w:val="32"/>
          <w:u w:val="none"/>
          <w:lang w:val="en-US" w:eastAsia="zh-CN"/>
        </w:rPr>
        <w:t>.</w:t>
      </w:r>
      <w:r>
        <w:rPr>
          <w:rFonts w:hint="eastAsia" w:ascii="仿宋_GB2312" w:hAnsi="仿宋_GB2312" w:eastAsia="仿宋_GB2312" w:cs="仿宋_GB2312"/>
          <w:color w:val="auto"/>
          <w:kern w:val="2"/>
          <w:sz w:val="32"/>
          <w:szCs w:val="32"/>
          <w:u w:val="none"/>
          <w:lang w:eastAsia="zh-CN"/>
        </w:rPr>
        <w:t>15万元，其中：行政运行支出为584</w:t>
      </w:r>
      <w:r>
        <w:rPr>
          <w:rFonts w:hint="eastAsia" w:ascii="仿宋_GB2312" w:hAnsi="仿宋_GB2312" w:eastAsia="仿宋_GB2312" w:cs="仿宋_GB2312"/>
          <w:color w:val="auto"/>
          <w:kern w:val="2"/>
          <w:sz w:val="32"/>
          <w:szCs w:val="32"/>
          <w:u w:val="none"/>
          <w:lang w:val="en-US" w:eastAsia="zh-CN"/>
        </w:rPr>
        <w:t>.</w:t>
      </w:r>
      <w:r>
        <w:rPr>
          <w:rFonts w:hint="eastAsia" w:ascii="仿宋_GB2312" w:hAnsi="仿宋_GB2312" w:eastAsia="仿宋_GB2312" w:cs="仿宋_GB2312"/>
          <w:color w:val="auto"/>
          <w:kern w:val="2"/>
          <w:sz w:val="32"/>
          <w:szCs w:val="32"/>
          <w:u w:val="none"/>
          <w:lang w:eastAsia="zh-CN"/>
        </w:rPr>
        <w:t>0</w:t>
      </w:r>
      <w:r>
        <w:rPr>
          <w:rFonts w:hint="eastAsia" w:ascii="仿宋_GB2312" w:hAnsi="仿宋_GB2312" w:eastAsia="仿宋_GB2312" w:cs="仿宋_GB2312"/>
          <w:color w:val="auto"/>
          <w:kern w:val="2"/>
          <w:sz w:val="32"/>
          <w:szCs w:val="32"/>
          <w:u w:val="none"/>
          <w:lang w:val="en-US" w:eastAsia="zh-CN"/>
        </w:rPr>
        <w:t>5万</w:t>
      </w:r>
      <w:r>
        <w:rPr>
          <w:rFonts w:hint="eastAsia" w:ascii="仿宋_GB2312" w:hAnsi="仿宋_GB2312" w:eastAsia="仿宋_GB2312" w:cs="仿宋_GB2312"/>
          <w:color w:val="auto"/>
          <w:kern w:val="2"/>
          <w:sz w:val="32"/>
          <w:szCs w:val="32"/>
          <w:u w:val="none"/>
          <w:lang w:eastAsia="zh-CN"/>
        </w:rPr>
        <w:t>元，项目支出为6099</w:t>
      </w:r>
      <w:r>
        <w:rPr>
          <w:rFonts w:hint="eastAsia" w:ascii="仿宋_GB2312" w:hAnsi="仿宋_GB2312" w:eastAsia="仿宋_GB2312" w:cs="仿宋_GB2312"/>
          <w:color w:val="auto"/>
          <w:kern w:val="2"/>
          <w:sz w:val="32"/>
          <w:szCs w:val="32"/>
          <w:u w:val="none"/>
          <w:lang w:val="en-US" w:eastAsia="zh-CN"/>
        </w:rPr>
        <w:t>.</w:t>
      </w:r>
      <w:r>
        <w:rPr>
          <w:rFonts w:hint="eastAsia" w:ascii="仿宋_GB2312" w:hAnsi="仿宋_GB2312" w:eastAsia="仿宋_GB2312" w:cs="仿宋_GB2312"/>
          <w:color w:val="auto"/>
          <w:kern w:val="2"/>
          <w:sz w:val="32"/>
          <w:szCs w:val="32"/>
          <w:u w:val="none"/>
          <w:lang w:eastAsia="zh-CN"/>
        </w:rPr>
        <w:t>1</w:t>
      </w:r>
      <w:r>
        <w:rPr>
          <w:rFonts w:hint="eastAsia" w:ascii="仿宋_GB2312" w:hAnsi="仿宋_GB2312" w:eastAsia="仿宋_GB2312" w:cs="仿宋_GB2312"/>
          <w:color w:val="auto"/>
          <w:kern w:val="2"/>
          <w:sz w:val="32"/>
          <w:szCs w:val="32"/>
          <w:u w:val="none"/>
          <w:lang w:val="en-US" w:eastAsia="zh-CN"/>
        </w:rPr>
        <w:t>1万</w:t>
      </w:r>
      <w:r>
        <w:rPr>
          <w:rFonts w:hint="eastAsia" w:ascii="仿宋_GB2312" w:hAnsi="仿宋_GB2312" w:eastAsia="仿宋_GB2312" w:cs="仿宋_GB2312"/>
          <w:color w:val="auto"/>
          <w:kern w:val="2"/>
          <w:sz w:val="32"/>
          <w:szCs w:val="32"/>
          <w:u w:val="none"/>
          <w:lang w:eastAsia="zh-CN"/>
        </w:rPr>
        <w:t>元，结余6</w:t>
      </w:r>
      <w:r>
        <w:rPr>
          <w:rFonts w:hint="eastAsia" w:ascii="仿宋_GB2312" w:hAnsi="仿宋_GB2312" w:eastAsia="仿宋_GB2312" w:cs="仿宋_GB2312"/>
          <w:color w:val="auto"/>
          <w:kern w:val="2"/>
          <w:sz w:val="32"/>
          <w:szCs w:val="32"/>
          <w:u w:val="none"/>
          <w:lang w:val="en-US" w:eastAsia="zh-CN"/>
        </w:rPr>
        <w:t>.</w:t>
      </w:r>
      <w:r>
        <w:rPr>
          <w:rFonts w:hint="eastAsia" w:ascii="仿宋_GB2312" w:hAnsi="仿宋_GB2312" w:eastAsia="仿宋_GB2312" w:cs="仿宋_GB2312"/>
          <w:color w:val="auto"/>
          <w:kern w:val="2"/>
          <w:sz w:val="32"/>
          <w:szCs w:val="32"/>
          <w:u w:val="none"/>
          <w:lang w:eastAsia="zh-CN"/>
        </w:rPr>
        <w:t>46万元。全年支出执行率为</w:t>
      </w:r>
      <w:r>
        <w:rPr>
          <w:rFonts w:hint="eastAsia" w:ascii="仿宋_GB2312" w:hAnsi="仿宋_GB2312" w:eastAsia="仿宋_GB2312" w:cs="仿宋_GB2312"/>
          <w:color w:val="auto"/>
          <w:kern w:val="2"/>
          <w:sz w:val="32"/>
          <w:szCs w:val="32"/>
          <w:u w:val="none"/>
          <w:lang w:val="en-US" w:eastAsia="zh-CN"/>
        </w:rPr>
        <w:t>97.8</w:t>
      </w:r>
      <w:r>
        <w:rPr>
          <w:rFonts w:hint="eastAsia" w:ascii="仿宋_GB2312" w:hAnsi="仿宋_GB2312" w:eastAsia="仿宋_GB2312" w:cs="仿宋_GB2312"/>
          <w:color w:val="auto"/>
          <w:kern w:val="2"/>
          <w:sz w:val="32"/>
          <w:szCs w:val="32"/>
          <w:u w:val="none"/>
          <w:lang w:eastAsia="zh-CN"/>
        </w:rPr>
        <w:t>%。</w:t>
      </w:r>
    </w:p>
    <w:p>
      <w:pPr>
        <w:pStyle w:val="4"/>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 w:hAnsi="楷体" w:eastAsia="楷体" w:cs="楷体"/>
          <w:color w:val="auto"/>
          <w:sz w:val="32"/>
          <w:szCs w:val="32"/>
          <w:u w:val="none"/>
          <w:lang w:eastAsia="zh-CN"/>
        </w:rPr>
      </w:pPr>
      <w:r>
        <w:rPr>
          <w:rFonts w:hint="eastAsia" w:ascii="楷体" w:hAnsi="楷体" w:eastAsia="楷体" w:cs="楷体"/>
          <w:color w:val="auto"/>
          <w:sz w:val="32"/>
          <w:szCs w:val="32"/>
          <w:u w:val="none"/>
          <w:lang w:eastAsia="zh-CN"/>
        </w:rPr>
        <w:t>总体绩效目标完成情况分析</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b w:val="0"/>
          <w:bCs w:val="0"/>
          <w:color w:val="auto"/>
          <w:sz w:val="32"/>
          <w:szCs w:val="32"/>
          <w:highlight w:val="none"/>
          <w:lang w:val="en-US" w:eastAsia="zh-CN"/>
        </w:rPr>
        <w:t>兰州新区经济合作局2021年</w:t>
      </w:r>
      <w:r>
        <w:rPr>
          <w:rFonts w:hint="eastAsia" w:ascii="仿宋_GB2312" w:hAnsi="仿宋_GB2312" w:eastAsia="仿宋_GB2312" w:cs="仿宋_GB2312"/>
          <w:color w:val="auto"/>
          <w:kern w:val="2"/>
          <w:sz w:val="32"/>
          <w:szCs w:val="22"/>
          <w:lang w:val="en-US" w:eastAsia="zh-CN" w:bidi="ar-SA"/>
        </w:rPr>
        <w:t>招商引资专项工作经费的运行，</w:t>
      </w:r>
      <w:r>
        <w:rPr>
          <w:rFonts w:hint="eastAsia" w:ascii="仿宋_GB2312" w:hAnsi="仿宋_GB2312" w:eastAsia="仿宋_GB2312" w:cs="仿宋_GB2312"/>
          <w:b w:val="0"/>
          <w:bCs w:val="0"/>
          <w:color w:val="auto"/>
          <w:sz w:val="32"/>
          <w:szCs w:val="32"/>
          <w:highlight w:val="none"/>
          <w:lang w:val="en-US" w:eastAsia="zh-CN"/>
        </w:rPr>
        <w:t>总体实施情况良好，项目绩效目标申报依据充分、程序规范，资金使用规范合理，管理制度健全，制度执行有效；保质保量完成兰洽会和其他推介会任务、在提高办会质量和效率等方面发挥效益良好。但也存在一些问题，主要是部分项目绩效指标的三级指标设置不够细化，个别工作人员工作理念、业务能力还需进一步提升。</w:t>
      </w:r>
    </w:p>
    <w:p>
      <w:pPr>
        <w:pStyle w:val="4"/>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 w:hAnsi="楷体" w:eastAsia="楷体" w:cs="楷体"/>
          <w:color w:val="auto"/>
          <w:sz w:val="32"/>
          <w:szCs w:val="32"/>
          <w:u w:val="none"/>
          <w:lang w:eastAsia="zh-CN"/>
        </w:rPr>
      </w:pPr>
      <w:r>
        <w:rPr>
          <w:rFonts w:hint="eastAsia" w:ascii="楷体" w:hAnsi="楷体" w:eastAsia="楷体" w:cs="楷体"/>
          <w:color w:val="auto"/>
          <w:sz w:val="32"/>
          <w:szCs w:val="32"/>
          <w:u w:val="none"/>
          <w:lang w:eastAsia="zh-CN"/>
        </w:rPr>
        <w:t>各项指标完成情况分析</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 w:hAnsi="楷体" w:eastAsia="楷体" w:cs="楷体"/>
          <w:color w:val="auto"/>
          <w:sz w:val="32"/>
          <w:szCs w:val="32"/>
          <w:u w:val="none"/>
          <w:lang w:eastAsia="zh-CN"/>
        </w:rPr>
      </w:pPr>
      <w:r>
        <w:rPr>
          <w:rFonts w:hint="eastAsia" w:ascii="仿宋_GB2312" w:hAnsi="仿宋_GB2312" w:eastAsia="仿宋_GB2312" w:cs="仿宋_GB2312"/>
          <w:color w:val="auto"/>
          <w:kern w:val="2"/>
          <w:sz w:val="32"/>
          <w:szCs w:val="22"/>
          <w:highlight w:val="none"/>
          <w:lang w:val="en-US" w:eastAsia="zh-CN" w:bidi="ar-SA"/>
        </w:rPr>
        <w:t>2021年度兰州新区招商引资工作经费</w:t>
      </w:r>
      <w:r>
        <w:rPr>
          <w:rFonts w:hint="eastAsia" w:ascii="仿宋_GB2312" w:hAnsi="仿宋_GB2312" w:eastAsia="仿宋_GB2312" w:cs="仿宋_GB2312"/>
          <w:b w:val="0"/>
          <w:color w:val="auto"/>
          <w:kern w:val="2"/>
          <w:sz w:val="32"/>
          <w:szCs w:val="32"/>
          <w:highlight w:val="none"/>
          <w:lang w:val="en-US" w:eastAsia="zh-CN" w:bidi="ar-SA"/>
        </w:rPr>
        <w:t>符合产业发展规划，项目按照规定的程序申请设立，年度计划任务明确，与政策要求、实际开展的具体工作内容相关，预算资金分配合理。但也存在项目绩效目标执行率不够、预算编制不够科学的问题。</w:t>
      </w:r>
    </w:p>
    <w:p>
      <w:pPr>
        <w:pStyle w:val="4"/>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u w:val="none"/>
          <w:lang w:eastAsia="zh-CN"/>
        </w:rPr>
        <w:t>偏离绩效目标的</w:t>
      </w:r>
      <w:r>
        <w:rPr>
          <w:rFonts w:hint="eastAsia" w:ascii="楷体" w:hAnsi="楷体" w:eastAsia="楷体" w:cs="楷体"/>
          <w:color w:val="auto"/>
          <w:sz w:val="32"/>
          <w:szCs w:val="32"/>
          <w:u w:val="none"/>
          <w:lang w:val="en-US" w:eastAsia="zh-CN"/>
        </w:rPr>
        <w:t>原因及下一步改进措施</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640" w:firstLineChars="200"/>
        <w:jc w:val="left"/>
        <w:textAlignment w:val="auto"/>
        <w:rPr>
          <w:rFonts w:hint="eastAsia" w:ascii="楷体" w:hAnsi="楷体" w:eastAsia="楷体" w:cs="楷体"/>
          <w:sz w:val="32"/>
          <w:szCs w:val="32"/>
          <w:lang w:val="en-US" w:eastAsia="zh-CN"/>
        </w:rPr>
      </w:pPr>
      <w:r>
        <w:rPr>
          <w:rFonts w:hint="eastAsia" w:ascii="仿宋_GB2312" w:hAnsi="仿宋_GB2312" w:eastAsia="仿宋_GB2312" w:cs="仿宋_GB2312"/>
          <w:color w:val="auto"/>
          <w:kern w:val="0"/>
          <w:sz w:val="32"/>
          <w:szCs w:val="32"/>
          <w:lang w:val="en-US" w:eastAsia="zh-CN" w:bidi="ar"/>
        </w:rPr>
        <w:t>兰州新区经济合作局运行费及项目工作经费年初按照定量和定性相结合的要求设置绩效指标，着重突出产出、成本、可持续影响力和满意度等核心绩效指标，将绩效目标量化为数量、质量、时效、成本，以及社会效益、满意度和影响力等二级指标，但设定的部分指标未能全面体现项目目标的完成程度，预算绩效目标细化程度和可衡量数值指标仍需完善。兰州新区经济合作局加强项目绩效目标管理工作将绩效目标做实，做到项目绩效目标全覆盖，强化相关人员绩效管理培训，树立绩效目标管理意识。编制绩效指标时以项目总体目标的实现为导向，根据项目实施情况设置完整的绩效指标，其中包括产出（数量、质量、时效、成本）指标、效益指标、影响力指标及满意度指标。所选取的三级指标要最能体现项目总体目标实现程度，做到细化、量化、可衡量。</w:t>
      </w:r>
      <w:r>
        <w:rPr>
          <w:rFonts w:hint="eastAsia" w:ascii="仿宋_GB2312" w:hAnsi="宋体" w:eastAsia="仿宋_GB2312" w:cs="仿宋_GB2312"/>
          <w:color w:val="000000"/>
          <w:kern w:val="0"/>
          <w:sz w:val="31"/>
          <w:szCs w:val="31"/>
          <w:lang w:val="en-US" w:eastAsia="zh-CN" w:bidi="ar"/>
        </w:rPr>
        <w:t xml:space="preserve"> </w:t>
      </w:r>
    </w:p>
    <w:p>
      <w:pPr>
        <w:keepNext w:val="0"/>
        <w:keepLines w:val="0"/>
        <w:pageBreakBefore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四、部门预算项目支出绩效自评情况分析</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本部门预算支出项目为6个，全年共计安排项目预算6249.29万元，其中当年财政拨款6249.29万元，全年支出6099.1万元，执行率97.6%。通过自评，招商引资专项工作经费支出绩效自评结果为“优”，招商引资专项工作经费支出绩效自评结果为“优”，自评情况分析如下：</w:t>
      </w:r>
    </w:p>
    <w:p>
      <w:pPr>
        <w:pStyle w:val="2"/>
        <w:rPr>
          <w:rFonts w:hint="eastAsia"/>
          <w:lang w:val="en-US" w:eastAsia="zh-CN"/>
        </w:rPr>
      </w:pPr>
      <w:r>
        <w:rPr>
          <w:rFonts w:hint="eastAsia" w:ascii="楷体_GB2312" w:hAnsi="楷体_GB2312" w:eastAsia="楷体_GB2312" w:cs="楷体_GB2312"/>
          <w:kern w:val="2"/>
          <w:sz w:val="32"/>
          <w:szCs w:val="32"/>
          <w:lang w:val="en-US" w:eastAsia="zh-CN" w:bidi="ar-SA"/>
        </w:rPr>
        <w:t>（一）兰洽会</w:t>
      </w:r>
      <w:bookmarkStart w:id="0" w:name="_GoBack"/>
      <w:bookmarkEnd w:id="0"/>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1.项目支出预算执行情况</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lang w:val="en-US" w:eastAsia="zh-CN"/>
        </w:rPr>
        <w:t>2021年年初我单位项目预算安排金额为110万元，</w:t>
      </w:r>
      <w:r>
        <w:rPr>
          <w:rFonts w:hint="eastAsia" w:ascii="仿宋_GB2312" w:hAnsi="仿宋_GB2312" w:eastAsia="仿宋_GB2312" w:cs="仿宋_GB2312"/>
          <w:color w:val="auto"/>
          <w:sz w:val="32"/>
          <w:szCs w:val="32"/>
          <w:lang w:val="en-US" w:eastAsia="zh-CN"/>
        </w:rPr>
        <w:t>全年调整预算数110万元，全年实际支出项目经费预算资金109.29万元。</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2.总体绩效目标完成情况分析</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2021年招商引资工作经费全年全年预算数为</w:t>
      </w:r>
      <w:r>
        <w:rPr>
          <w:rFonts w:hint="eastAsia" w:ascii="仿宋_GB2312" w:hAnsi="仿宋_GB2312" w:eastAsia="仿宋_GB2312" w:cs="仿宋_GB2312"/>
          <w:color w:val="auto"/>
          <w:sz w:val="32"/>
          <w:szCs w:val="32"/>
          <w:lang w:val="en-US" w:eastAsia="zh-CN"/>
        </w:rPr>
        <w:t>110</w:t>
      </w:r>
      <w:r>
        <w:rPr>
          <w:rFonts w:hint="eastAsia" w:ascii="仿宋_GB2312" w:hAnsi="仿宋_GB2312" w:eastAsia="仿宋_GB2312" w:cs="仿宋_GB2312"/>
          <w:sz w:val="32"/>
          <w:szCs w:val="32"/>
          <w:lang w:val="en-US" w:eastAsia="zh-CN"/>
        </w:rPr>
        <w:t>万元，全年实际支出</w:t>
      </w:r>
      <w:r>
        <w:rPr>
          <w:rFonts w:hint="eastAsia" w:ascii="仿宋_GB2312" w:hAnsi="仿宋_GB2312" w:eastAsia="仿宋_GB2312" w:cs="仿宋_GB2312"/>
          <w:color w:val="auto"/>
          <w:sz w:val="32"/>
          <w:szCs w:val="32"/>
          <w:lang w:val="en-US" w:eastAsia="zh-CN"/>
        </w:rPr>
        <w:t>109.29</w:t>
      </w:r>
      <w:r>
        <w:rPr>
          <w:rFonts w:hint="eastAsia" w:ascii="仿宋_GB2312" w:hAnsi="仿宋_GB2312" w:eastAsia="仿宋_GB2312" w:cs="仿宋_GB2312"/>
          <w:sz w:val="32"/>
          <w:szCs w:val="32"/>
          <w:lang w:val="en-US" w:eastAsia="zh-CN"/>
        </w:rPr>
        <w:t>万元，执行率为97.94%，</w:t>
      </w:r>
      <w:r>
        <w:rPr>
          <w:rFonts w:hint="eastAsia" w:ascii="楷体_GB2312" w:hAnsi="楷体_GB2312" w:eastAsia="楷体_GB2312" w:cs="楷体_GB2312"/>
          <w:kern w:val="2"/>
          <w:sz w:val="32"/>
          <w:szCs w:val="32"/>
          <w:lang w:val="en-US" w:eastAsia="zh-CN" w:bidi="ar-SA"/>
        </w:rPr>
        <w:t>总体绩效目标完成较好。</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3.各项指标完成情况分析</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sz w:val="32"/>
          <w:szCs w:val="32"/>
          <w:lang w:val="en-US" w:eastAsia="zh-CN"/>
        </w:rPr>
        <w:t>产出指标完成情况分析。项目管理经费预算执行率为97.94%，报销流程合规；</w:t>
      </w:r>
      <w:r>
        <w:rPr>
          <w:rFonts w:hint="eastAsia" w:ascii="仿宋_GB2312" w:hAnsi="仿宋_GB2312" w:eastAsia="仿宋_GB2312" w:cs="仿宋_GB2312"/>
          <w:color w:val="auto"/>
          <w:kern w:val="2"/>
          <w:sz w:val="32"/>
          <w:szCs w:val="32"/>
          <w:lang w:val="en-US" w:eastAsia="zh-CN" w:bidi="ar-SA"/>
        </w:rPr>
        <w:t>成功组织举办第二十七届兰洽会兰州新区分会场各项活动，完成了兰洽会主会场新区展区布展工作，参加甘肃省绿色产业项目对接会，对接企业20余家。第二十七届兰洽会成功引进总投资516亿元的152个项目，总投资126亿元的25个项目集中开工。</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pacing w:val="-6"/>
          <w:sz w:val="32"/>
          <w:szCs w:val="32"/>
          <w:lang w:val="en-US" w:eastAsia="zh-CN"/>
        </w:rPr>
      </w:pPr>
      <w:r>
        <w:rPr>
          <w:rFonts w:hint="eastAsia" w:ascii="仿宋_GB2312" w:hAnsi="仿宋_GB2312" w:eastAsia="仿宋_GB2312" w:cs="仿宋_GB2312"/>
          <w:color w:val="auto"/>
          <w:sz w:val="32"/>
          <w:szCs w:val="32"/>
          <w:lang w:val="en-US" w:eastAsia="zh-CN"/>
        </w:rPr>
        <w:t>效益指标完成情况分析。</w:t>
      </w:r>
      <w:r>
        <w:rPr>
          <w:rFonts w:hint="eastAsia" w:ascii="仿宋_GB2312" w:hAnsi="仿宋_GB2312" w:eastAsia="仿宋_GB2312" w:cs="仿宋_GB2312"/>
          <w:color w:val="auto"/>
          <w:kern w:val="2"/>
          <w:sz w:val="32"/>
          <w:szCs w:val="32"/>
          <w:lang w:val="en-US" w:eastAsia="zh-CN" w:bidi="ar-SA"/>
        </w:rPr>
        <w:t>第二十七届兰洽会</w:t>
      </w:r>
      <w:r>
        <w:rPr>
          <w:rFonts w:hint="eastAsia" w:ascii="仿宋_GB2312" w:hAnsi="仿宋_GB2312" w:eastAsia="仿宋_GB2312" w:cs="仿宋_GB2312"/>
          <w:sz w:val="32"/>
          <w:szCs w:val="32"/>
          <w:lang w:val="en-US" w:eastAsia="zh-CN"/>
        </w:rPr>
        <w:t>邀请签约宾客21家45人，其中包括江苏苏研农业集团有限公司、广东联塑科技实业有限公司、安佑生物科技集团股份公司重点企业；非签约宾客邀请285家464人，其中包括中国华录集团有限公司、中国铁建投资集团有限公司、京东物流、山东渲和新材料科技有限公司等重点企业。</w:t>
      </w:r>
      <w:r>
        <w:rPr>
          <w:rFonts w:hint="eastAsia" w:ascii="仿宋_GB2312" w:hAnsi="仿宋_GB2312" w:eastAsia="仿宋_GB2312" w:cs="仿宋_GB2312"/>
          <w:color w:val="auto"/>
          <w:spacing w:val="-6"/>
          <w:sz w:val="32"/>
          <w:szCs w:val="32"/>
          <w:lang w:val="en-US" w:eastAsia="zh-CN"/>
        </w:rPr>
        <w:t>兰州新区严格按照省上高质量发展的要求选商选资，签约金额516亿元、同比增长15%。其中，省市新区专场签约合同项目16个，签约金额173.4亿元；会下签约合同项目136个，投资金额342.7亿元。</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满意度指标完成情况分析。</w:t>
      </w:r>
      <w:r>
        <w:rPr>
          <w:rFonts w:hint="default" w:ascii="Times New Roman" w:hAnsi="Times New Roman" w:eastAsia="仿宋_GB2312" w:cs="Times New Roman"/>
          <w:b w:val="0"/>
          <w:bCs w:val="0"/>
          <w:sz w:val="32"/>
          <w:szCs w:val="32"/>
          <w:lang w:val="en-US" w:eastAsia="zh-CN"/>
        </w:rPr>
        <w:t>主会场布展素材搜集不充分，布展设计创新不足，没有突出新区发展新技术、新产业特色亮点；分会场农特企业展区招展时间不足，参展企业多为周边地区企业，行业龙头企业参展不多、参展范围不广。兰洽会签约的大项目还是较少，特别是能够与新区产业链无缝对接的好项目还不够多，新签约项目对产业的延链、补链、强链、优链的作用还有待进一步加强。</w:t>
      </w:r>
      <w:r>
        <w:rPr>
          <w:rFonts w:hint="eastAsia" w:ascii="仿宋_GB2312" w:hAnsi="仿宋_GB2312" w:eastAsia="仿宋_GB2312" w:cs="仿宋_GB2312"/>
          <w:color w:val="auto"/>
          <w:sz w:val="32"/>
          <w:szCs w:val="32"/>
          <w:lang w:val="en-US" w:eastAsia="zh-CN"/>
        </w:rPr>
        <w:t>因项目审核清算，本年度预算执行率较高，新区财政满意度较高</w:t>
      </w:r>
      <w:r>
        <w:rPr>
          <w:rFonts w:hint="eastAsia" w:ascii="仿宋_GB2312" w:hAnsi="仿宋_GB2312" w:eastAsia="仿宋_GB2312" w:cs="仿宋_GB2312"/>
          <w:sz w:val="32"/>
          <w:szCs w:val="32"/>
          <w:lang w:val="en-US" w:eastAsia="zh-CN"/>
        </w:rPr>
        <w:t xml:space="preserve"> </w:t>
      </w:r>
    </w:p>
    <w:p>
      <w:pPr>
        <w:pStyle w:val="2"/>
        <w:numPr>
          <w:ilvl w:val="0"/>
          <w:numId w:val="2"/>
        </w:numPr>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微信公众号运营维护</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1.项目支出预算执行情况</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lang w:val="en-US" w:eastAsia="zh-CN"/>
        </w:rPr>
        <w:t>2021年年初我单位项目预算安排金额为3.98万元，</w:t>
      </w:r>
      <w:r>
        <w:rPr>
          <w:rFonts w:hint="eastAsia" w:ascii="仿宋_GB2312" w:hAnsi="仿宋_GB2312" w:eastAsia="仿宋_GB2312" w:cs="仿宋_GB2312"/>
          <w:color w:val="auto"/>
          <w:sz w:val="32"/>
          <w:szCs w:val="32"/>
          <w:lang w:val="en-US" w:eastAsia="zh-CN"/>
        </w:rPr>
        <w:t>全年调整预算数3.98万元，全年实际支出项目经费预算资金3.98万元。</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2.总体绩效目标完成情况分析</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left="0" w:firstLine="640" w:firstLineChars="200"/>
        <w:jc w:val="both"/>
        <w:textAlignment w:val="auto"/>
        <w:rPr>
          <w:rFonts w:hint="eastAsia" w:ascii="楷体_GB2312" w:hAnsi="楷体_GB2312" w:eastAsia="楷体_GB2312" w:cs="楷体_GB2312"/>
          <w:kern w:val="2"/>
          <w:sz w:val="32"/>
          <w:szCs w:val="32"/>
          <w:lang w:val="en-US" w:eastAsia="zh-CN" w:bidi="ar-SA"/>
        </w:rPr>
      </w:pPr>
      <w:r>
        <w:rPr>
          <w:rFonts w:hint="eastAsia" w:ascii="仿宋_GB2312" w:hAnsi="仿宋_GB2312" w:eastAsia="仿宋_GB2312" w:cs="仿宋_GB2312"/>
          <w:sz w:val="32"/>
          <w:szCs w:val="32"/>
          <w:lang w:val="en-US" w:eastAsia="zh-CN"/>
        </w:rPr>
        <w:t>2021年招商引资工作经费全年全年预算数为</w:t>
      </w:r>
      <w:r>
        <w:rPr>
          <w:rFonts w:hint="eastAsia" w:ascii="仿宋_GB2312" w:hAnsi="仿宋_GB2312" w:eastAsia="仿宋_GB2312" w:cs="仿宋_GB2312"/>
          <w:color w:val="auto"/>
          <w:sz w:val="32"/>
          <w:szCs w:val="32"/>
          <w:lang w:val="en-US" w:eastAsia="zh-CN"/>
        </w:rPr>
        <w:t>3.98</w:t>
      </w:r>
      <w:r>
        <w:rPr>
          <w:rFonts w:hint="eastAsia" w:ascii="仿宋_GB2312" w:hAnsi="仿宋_GB2312" w:eastAsia="仿宋_GB2312" w:cs="仿宋_GB2312"/>
          <w:sz w:val="32"/>
          <w:szCs w:val="32"/>
          <w:lang w:val="en-US" w:eastAsia="zh-CN"/>
        </w:rPr>
        <w:t>万元，全年实际支出</w:t>
      </w:r>
      <w:r>
        <w:rPr>
          <w:rFonts w:hint="eastAsia" w:ascii="仿宋_GB2312" w:hAnsi="仿宋_GB2312" w:eastAsia="仿宋_GB2312" w:cs="仿宋_GB2312"/>
          <w:color w:val="auto"/>
          <w:sz w:val="32"/>
          <w:szCs w:val="32"/>
          <w:lang w:val="en-US" w:eastAsia="zh-CN"/>
        </w:rPr>
        <w:t>3.98</w:t>
      </w:r>
      <w:r>
        <w:rPr>
          <w:rFonts w:hint="eastAsia" w:ascii="仿宋_GB2312" w:hAnsi="仿宋_GB2312" w:eastAsia="仿宋_GB2312" w:cs="仿宋_GB2312"/>
          <w:sz w:val="32"/>
          <w:szCs w:val="32"/>
          <w:lang w:val="en-US" w:eastAsia="zh-CN"/>
        </w:rPr>
        <w:t>万元，执行率为100%，</w:t>
      </w:r>
      <w:r>
        <w:rPr>
          <w:rFonts w:hint="eastAsia" w:ascii="楷体_GB2312" w:hAnsi="楷体_GB2312" w:eastAsia="楷体_GB2312" w:cs="楷体_GB2312"/>
          <w:kern w:val="2"/>
          <w:sz w:val="32"/>
          <w:szCs w:val="32"/>
          <w:lang w:val="en-US" w:eastAsia="zh-CN" w:bidi="ar-SA"/>
        </w:rPr>
        <w:t>总体绩效目标完成较好。</w:t>
      </w:r>
    </w:p>
    <w:p>
      <w:pPr>
        <w:pStyle w:val="9"/>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各项指标完成情况分析</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楷体_GB2312" w:hAnsi="楷体_GB2312" w:eastAsia="楷体_GB2312" w:cs="楷体_GB2312"/>
          <w:color w:val="FF0000"/>
          <w:kern w:val="2"/>
          <w:sz w:val="32"/>
          <w:szCs w:val="32"/>
          <w:lang w:val="en-US" w:eastAsia="zh-CN" w:bidi="ar-SA"/>
        </w:rPr>
      </w:pPr>
      <w:r>
        <w:rPr>
          <w:rFonts w:hint="eastAsia" w:ascii="仿宋_GB2312" w:hAnsi="仿宋_GB2312" w:cs="仿宋_GB2312"/>
          <w:color w:val="auto"/>
          <w:kern w:val="2"/>
          <w:sz w:val="32"/>
          <w:szCs w:val="32"/>
          <w:lang w:val="en-US" w:eastAsia="zh-CN" w:bidi="ar-SA"/>
        </w:rPr>
        <w:t>新区经合局</w:t>
      </w:r>
      <w:r>
        <w:rPr>
          <w:rFonts w:hint="eastAsia" w:ascii="仿宋_GB2312" w:hAnsi="仿宋_GB2312" w:eastAsia="仿宋_GB2312" w:cs="仿宋_GB2312"/>
          <w:color w:val="auto"/>
          <w:kern w:val="2"/>
          <w:sz w:val="32"/>
          <w:szCs w:val="32"/>
          <w:lang w:val="en-US" w:eastAsia="zh-CN" w:bidi="ar-SA"/>
        </w:rPr>
        <w:t>微信公众号主要发布新区招商引资新动向、新项目、新政策、新措施等各类信息，设有走进新区、投资新区、联系新区三大板块。</w:t>
      </w:r>
      <w:r>
        <w:rPr>
          <w:rFonts w:hint="eastAsia" w:ascii="仿宋_GB2312" w:hAnsi="仿宋_GB2312" w:cs="仿宋_GB2312"/>
          <w:color w:val="auto"/>
          <w:kern w:val="2"/>
          <w:sz w:val="32"/>
          <w:szCs w:val="32"/>
          <w:lang w:val="en-US" w:eastAsia="zh-CN" w:bidi="ar-SA"/>
        </w:rPr>
        <w:t>定期</w:t>
      </w:r>
      <w:r>
        <w:rPr>
          <w:rFonts w:hint="eastAsia" w:ascii="仿宋_GB2312" w:hAnsi="仿宋_GB2312" w:eastAsia="仿宋_GB2312" w:cs="仿宋_GB2312"/>
          <w:color w:val="auto"/>
          <w:kern w:val="2"/>
          <w:sz w:val="32"/>
          <w:szCs w:val="32"/>
          <w:lang w:val="en-US" w:eastAsia="zh-CN" w:bidi="ar-SA"/>
        </w:rPr>
        <w:t>更新微信公众号栏目信息，上传最新兰州新区简介、产业发展方向、投资流程、对外招商项目等。</w:t>
      </w:r>
      <w:r>
        <w:rPr>
          <w:rFonts w:hint="eastAsia" w:ascii="仿宋_GB2312" w:hAnsi="仿宋_GB2312" w:cs="仿宋_GB2312"/>
          <w:color w:val="auto"/>
          <w:kern w:val="2"/>
          <w:sz w:val="32"/>
          <w:szCs w:val="32"/>
          <w:lang w:val="en-US" w:eastAsia="zh-CN" w:bidi="ar-SA"/>
        </w:rPr>
        <w:t>2021年</w:t>
      </w:r>
      <w:r>
        <w:rPr>
          <w:rFonts w:hint="eastAsia" w:ascii="仿宋_GB2312" w:hAnsi="仿宋_GB2312" w:eastAsia="仿宋_GB2312" w:cs="仿宋_GB2312"/>
          <w:color w:val="auto"/>
          <w:kern w:val="2"/>
          <w:sz w:val="32"/>
          <w:szCs w:val="32"/>
          <w:lang w:val="en-US" w:eastAsia="zh-CN" w:bidi="ar-SA"/>
        </w:rPr>
        <w:t>重点对外宣传发布《兰州新区产业发展扶持及奖励政策》、《兰州新区招商引资重点优势资源清单》、《兰州新区招商引资重点优势产业及产业链清单》、《兰州新区招商引资优惠政策清单》。公众号关注粉丝量5738人，</w:t>
      </w:r>
      <w:r>
        <w:rPr>
          <w:rFonts w:hint="eastAsia" w:ascii="仿宋_GB2312" w:hAnsi="仿宋_GB2312" w:cs="仿宋_GB2312"/>
          <w:color w:val="auto"/>
          <w:kern w:val="2"/>
          <w:sz w:val="32"/>
          <w:szCs w:val="32"/>
          <w:lang w:val="en-US" w:eastAsia="zh-CN" w:bidi="ar-SA"/>
        </w:rPr>
        <w:t>2021</w:t>
      </w:r>
      <w:r>
        <w:rPr>
          <w:rFonts w:hint="eastAsia" w:ascii="仿宋_GB2312" w:hAnsi="仿宋_GB2312" w:eastAsia="仿宋_GB2312" w:cs="仿宋_GB2312"/>
          <w:color w:val="auto"/>
          <w:kern w:val="2"/>
          <w:sz w:val="32"/>
          <w:szCs w:val="32"/>
          <w:lang w:val="en-US" w:eastAsia="zh-CN" w:bidi="ar-SA"/>
        </w:rPr>
        <w:t>年共推送信息839条，阅读量12.8万次。</w:t>
      </w:r>
      <w:r>
        <w:rPr>
          <w:rFonts w:hint="eastAsia" w:ascii="仿宋_GB2312" w:hAnsi="仿宋_GB2312" w:eastAsia="仿宋_GB2312" w:cs="仿宋_GB2312"/>
          <w:color w:val="auto"/>
          <w:sz w:val="32"/>
          <w:szCs w:val="32"/>
          <w:lang w:val="en-US" w:eastAsia="zh-CN"/>
        </w:rPr>
        <w:t>本年度预算执行率</w:t>
      </w:r>
      <w:r>
        <w:rPr>
          <w:rFonts w:hint="eastAsia" w:ascii="仿宋_GB2312" w:hAnsi="仿宋_GB2312" w:cs="仿宋_GB2312"/>
          <w:color w:val="auto"/>
          <w:sz w:val="32"/>
          <w:szCs w:val="32"/>
          <w:lang w:val="en-US" w:eastAsia="zh-CN"/>
        </w:rPr>
        <w:t>达100%</w:t>
      </w:r>
      <w:r>
        <w:rPr>
          <w:rFonts w:hint="eastAsia" w:ascii="仿宋_GB2312" w:hAnsi="仿宋_GB2312" w:eastAsia="仿宋_GB2312" w:cs="仿宋_GB2312"/>
          <w:color w:val="auto"/>
          <w:sz w:val="32"/>
          <w:szCs w:val="32"/>
          <w:lang w:val="en-US" w:eastAsia="zh-CN"/>
        </w:rPr>
        <w:t>，</w:t>
      </w:r>
      <w:r>
        <w:rPr>
          <w:rFonts w:hint="eastAsia" w:ascii="仿宋_GB2312" w:hAnsi="仿宋_GB2312" w:cs="仿宋_GB2312"/>
          <w:color w:val="auto"/>
          <w:sz w:val="32"/>
          <w:szCs w:val="32"/>
          <w:lang w:val="en-US" w:eastAsia="zh-CN"/>
        </w:rPr>
        <w:t>绩效目标执行率较</w:t>
      </w:r>
      <w:r>
        <w:rPr>
          <w:rFonts w:hint="eastAsia" w:ascii="仿宋_GB2312" w:hAnsi="仿宋_GB2312" w:eastAsia="仿宋_GB2312" w:cs="仿宋_GB2312"/>
          <w:color w:val="auto"/>
          <w:sz w:val="32"/>
          <w:szCs w:val="32"/>
          <w:lang w:val="en-US" w:eastAsia="zh-CN"/>
        </w:rPr>
        <w:t>高。</w:t>
      </w:r>
    </w:p>
    <w:p>
      <w:pPr>
        <w:pStyle w:val="2"/>
        <w:numPr>
          <w:ilvl w:val="0"/>
          <w:numId w:val="2"/>
        </w:numPr>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招商展会及重点项目协调经费</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1.项目支出预算执行情况</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lang w:val="en-US" w:eastAsia="zh-CN"/>
        </w:rPr>
        <w:t>2021年年初我单位项目预算安排金额为120万元，</w:t>
      </w:r>
      <w:r>
        <w:rPr>
          <w:rFonts w:hint="eastAsia" w:ascii="仿宋_GB2312" w:hAnsi="仿宋_GB2312" w:eastAsia="仿宋_GB2312" w:cs="仿宋_GB2312"/>
          <w:color w:val="auto"/>
          <w:sz w:val="32"/>
          <w:szCs w:val="32"/>
          <w:lang w:val="en-US" w:eastAsia="zh-CN"/>
        </w:rPr>
        <w:t>全年调整预算数120万元，全年实际支出项目经费预算资金24.26万元。</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2.总体绩效目标完成情况分析</w:t>
      </w:r>
    </w:p>
    <w:p>
      <w:pPr>
        <w:ind w:firstLine="640" w:firstLineChars="200"/>
        <w:rPr>
          <w:rFonts w:hint="eastAsia" w:ascii="楷体_GB2312" w:hAnsi="楷体_GB2312" w:eastAsia="楷体_GB2312" w:cs="楷体_GB2312"/>
          <w:kern w:val="2"/>
          <w:sz w:val="32"/>
          <w:szCs w:val="32"/>
          <w:lang w:val="en-US" w:eastAsia="zh-CN" w:bidi="ar-SA"/>
        </w:rPr>
      </w:pPr>
      <w:r>
        <w:rPr>
          <w:rFonts w:hint="eastAsia" w:ascii="仿宋_GB2312" w:hAnsi="仿宋_GB2312" w:eastAsia="仿宋_GB2312" w:cs="仿宋_GB2312"/>
          <w:sz w:val="32"/>
          <w:szCs w:val="32"/>
          <w:lang w:val="en-US" w:eastAsia="zh-CN"/>
        </w:rPr>
        <w:t>2021年招商引资工作经费全年全年预算数为120万元，全年实际支出</w:t>
      </w:r>
      <w:r>
        <w:rPr>
          <w:rFonts w:hint="eastAsia" w:ascii="仿宋_GB2312" w:hAnsi="仿宋_GB2312" w:eastAsia="仿宋_GB2312" w:cs="仿宋_GB2312"/>
          <w:color w:val="auto"/>
          <w:sz w:val="32"/>
          <w:szCs w:val="32"/>
          <w:lang w:val="en-US" w:eastAsia="zh-CN"/>
        </w:rPr>
        <w:t>24.26万元</w:t>
      </w:r>
      <w:r>
        <w:rPr>
          <w:rFonts w:hint="eastAsia" w:ascii="仿宋_GB2312" w:hAnsi="仿宋_GB2312" w:eastAsia="仿宋_GB2312" w:cs="仿宋_GB2312"/>
          <w:sz w:val="32"/>
          <w:szCs w:val="32"/>
          <w:lang w:val="en-US" w:eastAsia="zh-CN"/>
        </w:rPr>
        <w:t>，执行率为20.22%</w:t>
      </w:r>
      <w:r>
        <w:rPr>
          <w:rFonts w:hint="eastAsia" w:ascii="楷体_GB2312" w:hAnsi="楷体_GB2312" w:eastAsia="楷体_GB2312" w:cs="楷体_GB2312"/>
          <w:kern w:val="2"/>
          <w:sz w:val="32"/>
          <w:szCs w:val="32"/>
          <w:lang w:val="en-US" w:eastAsia="zh-CN" w:bidi="ar-SA"/>
        </w:rPr>
        <w:t>。</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0" w:firstLineChars="100"/>
        <w:textAlignment w:val="auto"/>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3.各项指标完成情况分析</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color w:val="FF0000"/>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月23日在广州成功举办了兰州新区化工产业招商推介会。联系对接了广东省甘肃商会、深圳市甘肃商会、江苏省化工行业协会等商协会，借助商协会的力量进一步宣传推介兰州新区并经推荐对接了一批当地企业。赴江浙等地参加甘肃省2021年特色产业招商推介会,在南京推介会上，兰州新区成功签约了兰州新区绿色智能装配式建筑产业基地项目；在杭州推介会上，为参会企业现场解读了新区招商政策，期间实地考察对接了迪安诊断技术集团股份有限公司、浙江杭萧钢构股份有限公司、杭州网驿产业园运营管理集团等企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随团参加第五届丝绸之路国际博览会暨中国东西部合作与投资贸易洽谈会，新区推荐佛慈制药等优秀企业参会参展，组织中川园区、秦川园区招商人员开展了特色产业招商宣传推介，搜集储备了西安科硕生物科技、哈尔滨马迭尔集团等一批线索项目。</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0" w:firstLineChars="100"/>
        <w:textAlignment w:val="auto"/>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4.偏离绩效目标的原因及下一步改进措施</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72" w:firstLineChars="200"/>
        <w:jc w:val="both"/>
        <w:textAlignment w:val="auto"/>
        <w:rPr>
          <w:rFonts w:hint="eastAsia" w:ascii="楷体_GB2312" w:hAnsi="楷体_GB2312" w:eastAsia="楷体_GB2312" w:cs="楷体_GB2312"/>
          <w:color w:val="FF0000"/>
          <w:kern w:val="2"/>
          <w:sz w:val="32"/>
          <w:szCs w:val="32"/>
          <w:lang w:val="en-US" w:eastAsia="zh-CN" w:bidi="ar-SA"/>
        </w:rPr>
      </w:pPr>
      <w:r>
        <w:rPr>
          <w:rFonts w:hint="eastAsia" w:ascii="仿宋_GB2312" w:hAnsi="仿宋_GB2312" w:cs="仿宋_GB2312"/>
          <w:b w:val="0"/>
          <w:bCs w:val="0"/>
          <w:i w:val="0"/>
          <w:caps w:val="0"/>
          <w:color w:val="auto"/>
          <w:spacing w:val="8"/>
          <w:sz w:val="32"/>
          <w:szCs w:val="32"/>
          <w:highlight w:val="none"/>
          <w:shd w:val="clear" w:color="auto" w:fill="FFFFFF"/>
          <w:lang w:val="en-US" w:eastAsia="zh-CN"/>
        </w:rPr>
        <w:t>主要是</w:t>
      </w:r>
      <w:r>
        <w:rPr>
          <w:rFonts w:hint="eastAsia" w:ascii="仿宋_GB2312" w:hAnsi="仿宋_GB2312" w:eastAsia="仿宋_GB2312" w:cs="仿宋_GB2312"/>
          <w:b w:val="0"/>
          <w:bCs w:val="0"/>
          <w:i w:val="0"/>
          <w:caps w:val="0"/>
          <w:color w:val="auto"/>
          <w:spacing w:val="8"/>
          <w:sz w:val="32"/>
          <w:szCs w:val="32"/>
          <w:highlight w:val="none"/>
          <w:shd w:val="clear" w:color="auto" w:fill="FFFFFF"/>
          <w:lang w:val="en-US" w:eastAsia="zh-CN"/>
        </w:rPr>
        <w:t>赴外</w:t>
      </w:r>
      <w:r>
        <w:rPr>
          <w:rFonts w:hint="eastAsia" w:ascii="仿宋_GB2312" w:hAnsi="仿宋_GB2312" w:cs="仿宋_GB2312"/>
          <w:b w:val="0"/>
          <w:bCs w:val="0"/>
          <w:i w:val="0"/>
          <w:caps w:val="0"/>
          <w:color w:val="auto"/>
          <w:spacing w:val="8"/>
          <w:sz w:val="32"/>
          <w:szCs w:val="32"/>
          <w:highlight w:val="none"/>
          <w:shd w:val="clear" w:color="auto" w:fill="FFFFFF"/>
          <w:lang w:val="en-US" w:eastAsia="zh-CN"/>
        </w:rPr>
        <w:t>推介招商减少，</w:t>
      </w:r>
      <w:r>
        <w:rPr>
          <w:rFonts w:hint="eastAsia" w:ascii="仿宋_GB2312" w:hAnsi="仿宋_GB2312" w:eastAsia="仿宋_GB2312" w:cs="仿宋_GB2312"/>
          <w:color w:val="auto"/>
          <w:kern w:val="2"/>
          <w:sz w:val="32"/>
          <w:szCs w:val="32"/>
          <w:lang w:val="en-US" w:eastAsia="zh-CN" w:bidi="ar-SA"/>
        </w:rPr>
        <w:t>年初原计划到外省市开展的专场招商推介活动因疫情等因素影响取消，未能集中展示投资优势说明政策，借势发觉潜在投资线索扩大宣传效果。招商会展及重点项目对接的财政预算绩效目标执行率较低。2022</w:t>
      </w:r>
      <w:r>
        <w:rPr>
          <w:rFonts w:hint="eastAsia" w:ascii="仿宋_GB2312" w:hAnsi="仿宋_GB2312" w:cs="仿宋_GB2312"/>
          <w:color w:val="auto"/>
          <w:kern w:val="2"/>
          <w:sz w:val="32"/>
          <w:szCs w:val="32"/>
          <w:lang w:val="en-US" w:eastAsia="zh-CN" w:bidi="ar-SA"/>
        </w:rPr>
        <w:t>将</w:t>
      </w:r>
      <w:r>
        <w:rPr>
          <w:rFonts w:hint="eastAsia" w:ascii="仿宋_GB2312" w:hAnsi="仿宋_GB2312" w:eastAsia="仿宋_GB2312" w:cs="仿宋_GB2312"/>
          <w:color w:val="auto"/>
          <w:kern w:val="2"/>
          <w:sz w:val="32"/>
          <w:szCs w:val="32"/>
          <w:lang w:val="en-US" w:eastAsia="zh-CN" w:bidi="ar-SA"/>
        </w:rPr>
        <w:t>积极参加药博会、文博会、夏洽会、广博会等展会，</w:t>
      </w:r>
      <w:r>
        <w:rPr>
          <w:rFonts w:hint="eastAsia" w:ascii="仿宋_GB2312" w:hAnsi="仿宋_GB2312" w:cs="仿宋_GB2312"/>
          <w:color w:val="auto"/>
          <w:kern w:val="2"/>
          <w:sz w:val="32"/>
          <w:szCs w:val="32"/>
          <w:lang w:val="en-US" w:eastAsia="zh-CN" w:bidi="ar-SA"/>
        </w:rPr>
        <w:t>同时</w:t>
      </w:r>
      <w:r>
        <w:rPr>
          <w:rFonts w:hint="eastAsia" w:ascii="仿宋_GB2312" w:hAnsi="仿宋_GB2312" w:eastAsia="仿宋_GB2312" w:cs="仿宋_GB2312"/>
          <w:color w:val="auto"/>
          <w:kern w:val="2"/>
          <w:sz w:val="32"/>
          <w:szCs w:val="32"/>
          <w:lang w:val="en-US" w:eastAsia="zh-CN" w:bidi="ar-SA"/>
        </w:rPr>
        <w:t>视疫情发展形势变化，及时调整</w:t>
      </w:r>
      <w:r>
        <w:rPr>
          <w:rFonts w:hint="eastAsia" w:ascii="仿宋_GB2312" w:hAnsi="仿宋_GB2312" w:cs="仿宋_GB2312"/>
          <w:color w:val="auto"/>
          <w:kern w:val="2"/>
          <w:sz w:val="32"/>
          <w:szCs w:val="32"/>
          <w:lang w:val="en-US" w:eastAsia="zh-CN" w:bidi="ar-SA"/>
        </w:rPr>
        <w:t>招商展会</w:t>
      </w:r>
      <w:r>
        <w:rPr>
          <w:rFonts w:hint="eastAsia" w:ascii="仿宋_GB2312" w:hAnsi="仿宋_GB2312" w:eastAsia="仿宋_GB2312" w:cs="仿宋_GB2312"/>
          <w:color w:val="auto"/>
          <w:kern w:val="2"/>
          <w:sz w:val="32"/>
          <w:szCs w:val="32"/>
          <w:lang w:val="en-US" w:eastAsia="zh-CN" w:bidi="ar-SA"/>
        </w:rPr>
        <w:t>计划，如出现招商地域受限增多，我单位将按照相关程序</w:t>
      </w:r>
      <w:r>
        <w:rPr>
          <w:rFonts w:hint="eastAsia" w:ascii="仿宋_GB2312" w:hAnsi="仿宋_GB2312" w:cs="仿宋_GB2312"/>
          <w:color w:val="auto"/>
          <w:kern w:val="2"/>
          <w:sz w:val="32"/>
          <w:szCs w:val="32"/>
          <w:lang w:val="en-US" w:eastAsia="zh-CN" w:bidi="ar-SA"/>
        </w:rPr>
        <w:t>适时</w:t>
      </w:r>
      <w:r>
        <w:rPr>
          <w:rFonts w:hint="eastAsia" w:ascii="仿宋_GB2312" w:hAnsi="仿宋_GB2312" w:eastAsia="仿宋_GB2312" w:cs="仿宋_GB2312"/>
          <w:color w:val="auto"/>
          <w:kern w:val="2"/>
          <w:sz w:val="32"/>
          <w:szCs w:val="32"/>
          <w:lang w:val="en-US" w:eastAsia="zh-CN" w:bidi="ar-SA"/>
        </w:rPr>
        <w:t>提出预算调整。</w:t>
      </w:r>
    </w:p>
    <w:p>
      <w:pPr>
        <w:pStyle w:val="2"/>
        <w:numPr>
          <w:ilvl w:val="0"/>
          <w:numId w:val="2"/>
        </w:numPr>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招商小组工作经费</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1.项目支出预算执行情况</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lang w:val="en-US" w:eastAsia="zh-CN"/>
        </w:rPr>
        <w:t>2021年年初我单位项目预算安排金额为96万元，</w:t>
      </w:r>
      <w:r>
        <w:rPr>
          <w:rFonts w:hint="eastAsia" w:ascii="仿宋_GB2312" w:hAnsi="仿宋_GB2312" w:eastAsia="仿宋_GB2312" w:cs="仿宋_GB2312"/>
          <w:color w:val="auto"/>
          <w:sz w:val="32"/>
          <w:szCs w:val="32"/>
          <w:lang w:val="en-US" w:eastAsia="zh-CN"/>
        </w:rPr>
        <w:t>全年调整预算数96万元，全年实际支出项目经费预算资金45.84万元。</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2.总体绩效目标完成情况分析</w:t>
      </w:r>
    </w:p>
    <w:p>
      <w:pPr>
        <w:ind w:firstLine="640" w:firstLineChars="200"/>
        <w:rPr>
          <w:rFonts w:hint="eastAsia" w:ascii="楷体_GB2312" w:hAnsi="楷体_GB2312" w:eastAsia="楷体_GB2312" w:cs="楷体_GB2312"/>
          <w:kern w:val="2"/>
          <w:sz w:val="32"/>
          <w:szCs w:val="32"/>
          <w:lang w:val="en-US" w:eastAsia="zh-CN" w:bidi="ar-SA"/>
        </w:rPr>
      </w:pPr>
      <w:r>
        <w:rPr>
          <w:rFonts w:hint="eastAsia" w:ascii="仿宋_GB2312" w:hAnsi="仿宋_GB2312" w:eastAsia="仿宋_GB2312" w:cs="仿宋_GB2312"/>
          <w:sz w:val="32"/>
          <w:szCs w:val="32"/>
          <w:lang w:val="en-US" w:eastAsia="zh-CN"/>
        </w:rPr>
        <w:t>2021年招商引资工作经费全年全年预算数为96万元，全年实际支出</w:t>
      </w:r>
      <w:r>
        <w:rPr>
          <w:rFonts w:hint="eastAsia" w:ascii="仿宋_GB2312" w:hAnsi="仿宋_GB2312" w:eastAsia="仿宋_GB2312" w:cs="仿宋_GB2312"/>
          <w:color w:val="auto"/>
          <w:sz w:val="32"/>
          <w:szCs w:val="32"/>
          <w:lang w:val="en-US" w:eastAsia="zh-CN"/>
        </w:rPr>
        <w:t>45.84万元</w:t>
      </w:r>
      <w:r>
        <w:rPr>
          <w:rFonts w:hint="eastAsia" w:ascii="仿宋_GB2312" w:hAnsi="仿宋_GB2312" w:eastAsia="仿宋_GB2312" w:cs="仿宋_GB2312"/>
          <w:sz w:val="32"/>
          <w:szCs w:val="32"/>
          <w:lang w:val="en-US" w:eastAsia="zh-CN"/>
        </w:rPr>
        <w:t>，执行率为47.75%</w:t>
      </w:r>
      <w:r>
        <w:rPr>
          <w:rFonts w:hint="eastAsia" w:ascii="楷体_GB2312" w:hAnsi="楷体_GB2312" w:eastAsia="楷体_GB2312" w:cs="楷体_GB2312"/>
          <w:kern w:val="2"/>
          <w:sz w:val="32"/>
          <w:szCs w:val="32"/>
          <w:lang w:val="en-US" w:eastAsia="zh-CN" w:bidi="ar-SA"/>
        </w:rPr>
        <w:t>。</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300"/>
        <w:textAlignment w:val="auto"/>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3.各项指标完成情况分析</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FF0000"/>
          <w:kern w:val="2"/>
          <w:sz w:val="32"/>
          <w:szCs w:val="32"/>
          <w:lang w:val="en-US" w:eastAsia="zh-CN" w:bidi="ar-SA"/>
        </w:rPr>
      </w:pPr>
      <w:r>
        <w:rPr>
          <w:rFonts w:hint="eastAsia" w:ascii="仿宋" w:hAnsi="仿宋" w:eastAsia="仿宋" w:cs="仿宋"/>
          <w:sz w:val="32"/>
          <w:szCs w:val="32"/>
          <w:lang w:val="en-US" w:eastAsia="zh-CN"/>
        </w:rPr>
        <w:t>质量指标、成本指标、时效指标，可持续影响经济指标、社会效益指标、满意度指标均达到目标值。</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0" w:firstLineChars="100"/>
        <w:textAlignment w:val="auto"/>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4.偏离绩效目标的原因及下一步改进措施</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截至2021年12月底项目绩效执行率为47.75%，主要原因为受疫情影响，项目对接地域受限，招商小组出差频次降低，导致资金使用进度较慢。2022将及时调整招商引资方案和计划，视疫情发展形势变化，如出现招商地域受限增多，我单位将按照相关程序适时提出预算调整。</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（五）招商引资宣传资料印刷费</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1.项目支出预算执行情况</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lang w:val="en-US" w:eastAsia="zh-CN"/>
        </w:rPr>
        <w:t>2021年年初我单位项目预算安排金额为8万元，</w:t>
      </w:r>
      <w:r>
        <w:rPr>
          <w:rFonts w:hint="eastAsia" w:ascii="仿宋_GB2312" w:hAnsi="仿宋_GB2312" w:eastAsia="仿宋_GB2312" w:cs="仿宋_GB2312"/>
          <w:color w:val="auto"/>
          <w:sz w:val="32"/>
          <w:szCs w:val="32"/>
          <w:lang w:val="en-US" w:eastAsia="zh-CN"/>
        </w:rPr>
        <w:t>全年调整预算数8万元，全年实际支出项目经费预算资金4.42万元。</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2.总体绩效目标完成情况分析</w:t>
      </w:r>
    </w:p>
    <w:p>
      <w:pPr>
        <w:ind w:firstLine="640" w:firstLineChars="200"/>
        <w:rPr>
          <w:rFonts w:hint="eastAsia" w:ascii="楷体_GB2312" w:hAnsi="楷体_GB2312" w:eastAsia="楷体_GB2312" w:cs="楷体_GB2312"/>
          <w:kern w:val="2"/>
          <w:sz w:val="32"/>
          <w:szCs w:val="32"/>
          <w:lang w:val="en-US" w:eastAsia="zh-CN" w:bidi="ar-SA"/>
        </w:rPr>
      </w:pPr>
      <w:r>
        <w:rPr>
          <w:rFonts w:hint="eastAsia" w:ascii="仿宋_GB2312" w:hAnsi="仿宋_GB2312" w:eastAsia="仿宋_GB2312" w:cs="仿宋_GB2312"/>
          <w:sz w:val="32"/>
          <w:szCs w:val="32"/>
          <w:lang w:val="en-US" w:eastAsia="zh-CN"/>
        </w:rPr>
        <w:t>2021年招商引资工作经费全年全年预算数为8万元，全年实际支出</w:t>
      </w:r>
      <w:r>
        <w:rPr>
          <w:rFonts w:hint="eastAsia" w:ascii="仿宋_GB2312" w:hAnsi="仿宋_GB2312" w:eastAsia="仿宋_GB2312" w:cs="仿宋_GB2312"/>
          <w:color w:val="auto"/>
          <w:sz w:val="32"/>
          <w:szCs w:val="32"/>
          <w:lang w:val="en-US" w:eastAsia="zh-CN"/>
        </w:rPr>
        <w:t>4.42万元</w:t>
      </w:r>
      <w:r>
        <w:rPr>
          <w:rFonts w:hint="eastAsia" w:ascii="仿宋_GB2312" w:hAnsi="仿宋_GB2312" w:eastAsia="仿宋_GB2312" w:cs="仿宋_GB2312"/>
          <w:sz w:val="32"/>
          <w:szCs w:val="32"/>
          <w:lang w:val="en-US" w:eastAsia="zh-CN"/>
        </w:rPr>
        <w:t>，执行率为55.25%</w:t>
      </w:r>
      <w:r>
        <w:rPr>
          <w:rFonts w:hint="eastAsia" w:ascii="楷体_GB2312" w:hAnsi="楷体_GB2312" w:eastAsia="楷体_GB2312" w:cs="楷体_GB2312"/>
          <w:kern w:val="2"/>
          <w:sz w:val="32"/>
          <w:szCs w:val="32"/>
          <w:lang w:val="en-US" w:eastAsia="zh-CN" w:bidi="ar-SA"/>
        </w:rPr>
        <w:t>。</w:t>
      </w:r>
    </w:p>
    <w:p>
      <w:pPr>
        <w:pStyle w:val="9"/>
        <w:keepNext w:val="0"/>
        <w:keepLines w:val="0"/>
        <w:pageBreakBefore w:val="0"/>
        <w:widowControl w:val="0"/>
        <w:numPr>
          <w:ilvl w:val="0"/>
          <w:numId w:val="4"/>
        </w:numPr>
        <w:kinsoku/>
        <w:wordWrap/>
        <w:overflowPunct/>
        <w:topLinePunct w:val="0"/>
        <w:autoSpaceDE/>
        <w:autoSpaceDN/>
        <w:bidi w:val="0"/>
        <w:adjustRightInd/>
        <w:snapToGrid/>
        <w:spacing w:line="560" w:lineRule="exact"/>
        <w:ind w:leftChars="200" w:firstLine="320" w:firstLineChars="100"/>
        <w:textAlignment w:val="auto"/>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各项指标完成情况分析</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FF0000"/>
          <w:kern w:val="2"/>
          <w:sz w:val="32"/>
          <w:szCs w:val="32"/>
          <w:lang w:val="en-US" w:eastAsia="zh-CN" w:bidi="ar-SA"/>
        </w:rPr>
      </w:pPr>
      <w:r>
        <w:rPr>
          <w:rFonts w:hint="eastAsia" w:ascii="仿宋" w:hAnsi="仿宋" w:eastAsia="仿宋" w:cs="仿宋"/>
          <w:sz w:val="32"/>
          <w:szCs w:val="32"/>
          <w:lang w:val="en-US" w:eastAsia="zh-CN"/>
        </w:rPr>
        <w:t>质量指标、成本指标、时效指标，可持续影响经济指标、社会效益指标、满意度指标均达到目标值。</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0" w:firstLineChars="100"/>
        <w:textAlignment w:val="auto"/>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4.偏离绩效目标的原因及下一步改进措施</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截至2021年12月底项目绩效执行率为55.25%，主要原因为受疫情影响，赴外招商推介次数减少，企业来新区考察量降低，招商引资宣传资料使用量随之降低，招商引资资料印刷费支出不理想</w:t>
      </w:r>
      <w:r>
        <w:rPr>
          <w:rFonts w:hint="eastAsia" w:ascii="仿宋" w:hAnsi="仿宋" w:eastAsia="仿宋" w:cs="仿宋"/>
          <w:sz w:val="32"/>
          <w:szCs w:val="32"/>
          <w:lang w:val="zh-CN" w:eastAsia="zh-CN"/>
        </w:rPr>
        <w:t>。</w:t>
      </w:r>
      <w:r>
        <w:rPr>
          <w:rFonts w:hint="eastAsia" w:ascii="仿宋" w:hAnsi="仿宋" w:eastAsia="仿宋" w:cs="仿宋"/>
          <w:sz w:val="32"/>
          <w:szCs w:val="32"/>
          <w:lang w:val="en-US" w:eastAsia="zh-CN"/>
        </w:rPr>
        <w:t>2022年我们将对全年费用进一步细化预算，合理安排预算执行，同时，视疫情发展情况，</w:t>
      </w:r>
      <w:r>
        <w:rPr>
          <w:rFonts w:hint="eastAsia" w:ascii="仿宋" w:hAnsi="仿宋" w:eastAsia="仿宋" w:cs="仿宋"/>
          <w:color w:val="auto"/>
          <w:sz w:val="32"/>
          <w:szCs w:val="32"/>
          <w:lang w:val="en-US" w:eastAsia="zh-CN"/>
        </w:rPr>
        <w:t>按照相关程序适时提出预算调整</w:t>
      </w:r>
      <w:r>
        <w:rPr>
          <w:rFonts w:hint="eastAsia" w:ascii="仿宋" w:hAnsi="仿宋" w:eastAsia="仿宋" w:cs="仿宋"/>
          <w:sz w:val="32"/>
          <w:szCs w:val="32"/>
          <w:lang w:val="en-US" w:eastAsia="zh-CN"/>
        </w:rPr>
        <w:t>确保按时间进度要求支出费用。</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（六）一事一议项目奖励金</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1.项目支出预算执行情况</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lang w:val="en-US" w:eastAsia="zh-CN"/>
        </w:rPr>
        <w:t>2021年年初我单位项目预算安排金额为5911.31万元，</w:t>
      </w:r>
      <w:r>
        <w:rPr>
          <w:rFonts w:hint="eastAsia" w:ascii="仿宋_GB2312" w:hAnsi="仿宋_GB2312" w:eastAsia="仿宋_GB2312" w:cs="仿宋_GB2312"/>
          <w:color w:val="auto"/>
          <w:sz w:val="32"/>
          <w:szCs w:val="32"/>
          <w:lang w:val="en-US" w:eastAsia="zh-CN"/>
        </w:rPr>
        <w:t>全年调整预算数</w:t>
      </w:r>
      <w:r>
        <w:rPr>
          <w:rFonts w:hint="eastAsia" w:ascii="仿宋_GB2312" w:hAnsi="仿宋_GB2312" w:eastAsia="仿宋_GB2312" w:cs="仿宋_GB2312"/>
          <w:sz w:val="32"/>
          <w:szCs w:val="32"/>
          <w:lang w:val="en-US" w:eastAsia="zh-CN"/>
        </w:rPr>
        <w:t>5911.31</w:t>
      </w:r>
      <w:r>
        <w:rPr>
          <w:rFonts w:hint="eastAsia" w:ascii="仿宋_GB2312" w:hAnsi="仿宋_GB2312" w:eastAsia="仿宋_GB2312" w:cs="仿宋_GB2312"/>
          <w:color w:val="auto"/>
          <w:sz w:val="32"/>
          <w:szCs w:val="32"/>
          <w:lang w:val="en-US" w:eastAsia="zh-CN"/>
        </w:rPr>
        <w:t>万元，全年实际支出项目经费预算资金</w:t>
      </w:r>
      <w:r>
        <w:rPr>
          <w:rFonts w:hint="eastAsia" w:ascii="仿宋_GB2312" w:hAnsi="仿宋_GB2312" w:eastAsia="仿宋_GB2312" w:cs="仿宋_GB2312"/>
          <w:sz w:val="32"/>
          <w:szCs w:val="32"/>
          <w:lang w:val="en-US" w:eastAsia="zh-CN"/>
        </w:rPr>
        <w:t>5911.31</w:t>
      </w:r>
      <w:r>
        <w:rPr>
          <w:rFonts w:hint="eastAsia" w:ascii="仿宋_GB2312" w:hAnsi="仿宋_GB2312" w:eastAsia="仿宋_GB2312" w:cs="仿宋_GB2312"/>
          <w:color w:val="auto"/>
          <w:sz w:val="32"/>
          <w:szCs w:val="32"/>
          <w:lang w:val="en-US" w:eastAsia="zh-CN"/>
        </w:rPr>
        <w:t>万元。</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2.总体绩效目标完成情况分析</w:t>
      </w:r>
    </w:p>
    <w:p>
      <w:pPr>
        <w:ind w:firstLine="640" w:firstLineChars="200"/>
        <w:rPr>
          <w:rFonts w:hint="eastAsia" w:ascii="楷体_GB2312" w:hAnsi="楷体_GB2312" w:eastAsia="楷体_GB2312" w:cs="楷体_GB2312"/>
          <w:kern w:val="2"/>
          <w:sz w:val="32"/>
          <w:szCs w:val="32"/>
          <w:lang w:val="en-US" w:eastAsia="zh-CN" w:bidi="ar-SA"/>
        </w:rPr>
      </w:pPr>
      <w:r>
        <w:rPr>
          <w:rFonts w:hint="eastAsia" w:ascii="仿宋_GB2312" w:hAnsi="仿宋_GB2312" w:eastAsia="仿宋_GB2312" w:cs="仿宋_GB2312"/>
          <w:sz w:val="32"/>
          <w:szCs w:val="32"/>
          <w:lang w:val="en-US" w:eastAsia="zh-CN"/>
        </w:rPr>
        <w:t>2021年招商引资工作经费全年全年预算数为5911.31万元，全年实际支出5911.31</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sz w:val="32"/>
          <w:szCs w:val="32"/>
          <w:lang w:val="en-US" w:eastAsia="zh-CN"/>
        </w:rPr>
        <w:t>，执行率为100%，执行率较高。</w:t>
      </w:r>
    </w:p>
    <w:p>
      <w:pPr>
        <w:pStyle w:val="9"/>
        <w:keepNext w:val="0"/>
        <w:keepLines w:val="0"/>
        <w:pageBreakBefore w:val="0"/>
        <w:widowControl w:val="0"/>
        <w:numPr>
          <w:ilvl w:val="0"/>
          <w:numId w:val="4"/>
        </w:numPr>
        <w:kinsoku/>
        <w:wordWrap/>
        <w:overflowPunct/>
        <w:topLinePunct w:val="0"/>
        <w:autoSpaceDE/>
        <w:autoSpaceDN/>
        <w:bidi w:val="0"/>
        <w:adjustRightInd/>
        <w:snapToGrid/>
        <w:spacing w:line="560" w:lineRule="exact"/>
        <w:ind w:leftChars="200" w:firstLine="320" w:firstLineChars="100"/>
        <w:textAlignment w:val="auto"/>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各项指标完成情况分析</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FF0000"/>
          <w:kern w:val="2"/>
          <w:sz w:val="32"/>
          <w:szCs w:val="32"/>
          <w:lang w:val="en-US" w:eastAsia="zh-CN" w:bidi="ar-SA"/>
        </w:rPr>
      </w:pPr>
      <w:r>
        <w:rPr>
          <w:rFonts w:hint="eastAsia" w:ascii="仿宋" w:hAnsi="仿宋" w:eastAsia="仿宋" w:cs="仿宋"/>
          <w:sz w:val="32"/>
          <w:szCs w:val="32"/>
          <w:lang w:val="en-US" w:eastAsia="zh-CN"/>
        </w:rPr>
        <w:t>质量指标、成本指标、时效指标，可持续影响经济指标、社会效益指标、满意度指标均达到目标值。</w:t>
      </w:r>
    </w:p>
    <w:p>
      <w:pPr>
        <w:numPr>
          <w:ilvl w:val="0"/>
          <w:numId w:val="0"/>
        </w:numPr>
        <w:ind w:firstLine="576" w:firstLineChars="200"/>
        <w:rPr>
          <w:rFonts w:hint="eastAsia" w:ascii="仿宋_GB2312" w:hAnsi="仿宋_GB2312" w:eastAsia="仿宋_GB2312" w:cs="仿宋_GB2312"/>
          <w:w w:val="90"/>
          <w:kern w:val="10"/>
          <w:sz w:val="32"/>
          <w:szCs w:val="32"/>
          <w:lang w:val="en-US" w:eastAsia="zh-CN"/>
        </w:rPr>
      </w:pPr>
      <w:r>
        <w:rPr>
          <w:rFonts w:hint="eastAsia" w:ascii="黑体" w:hAnsi="黑体" w:eastAsia="黑体" w:cs="黑体"/>
          <w:w w:val="90"/>
          <w:kern w:val="10"/>
          <w:sz w:val="32"/>
          <w:szCs w:val="32"/>
          <w:lang w:val="en-US" w:eastAsia="zh-CN"/>
        </w:rPr>
        <w:t>五、部门管理的省、市对新区转移支付绩效自评情况分析</w:t>
      </w:r>
      <w:r>
        <w:rPr>
          <w:rFonts w:hint="eastAsia" w:ascii="仿宋_GB2312" w:hAnsi="仿宋_GB2312" w:eastAsia="仿宋_GB2312" w:cs="仿宋_GB2312"/>
          <w:w w:val="90"/>
          <w:kern w:val="10"/>
          <w:sz w:val="32"/>
          <w:szCs w:val="32"/>
          <w:lang w:val="en-US" w:eastAsia="zh-CN"/>
        </w:rPr>
        <w:t xml:space="preserve">  </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rPr>
      </w:pPr>
      <w:r>
        <w:rPr>
          <w:rFonts w:hint="eastAsia" w:ascii="仿宋_GB2312" w:hAnsi="仿宋_GB2312" w:eastAsia="仿宋_GB2312" w:cs="仿宋_GB2312"/>
          <w:sz w:val="32"/>
          <w:szCs w:val="32"/>
          <w:lang w:val="en-US" w:eastAsia="zh-CN"/>
        </w:rPr>
        <w:t>2020年，我单位无省、市转移支付项目。</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leftChars="200" w:firstLine="320" w:firstLineChars="1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六、绩效自评结果拟应用和公开情况</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我单位</w:t>
      </w:r>
      <w:r>
        <w:rPr>
          <w:rFonts w:hint="eastAsia" w:ascii="仿宋_GB2312" w:hAnsi="仿宋_GB2312" w:eastAsia="仿宋_GB2312" w:cs="仿宋_GB2312"/>
          <w:i w:val="0"/>
          <w:caps w:val="0"/>
          <w:color w:val="333333"/>
          <w:spacing w:val="0"/>
          <w:sz w:val="32"/>
          <w:szCs w:val="32"/>
          <w:lang w:val="en-US" w:eastAsia="zh-CN"/>
        </w:rPr>
        <w:t>通过项目支出</w:t>
      </w:r>
      <w:r>
        <w:rPr>
          <w:rFonts w:hint="eastAsia" w:ascii="仿宋_GB2312" w:hAnsi="仿宋_GB2312" w:eastAsia="仿宋_GB2312" w:cs="仿宋_GB2312"/>
          <w:i w:val="0"/>
          <w:caps w:val="0"/>
          <w:color w:val="333333"/>
          <w:spacing w:val="0"/>
          <w:sz w:val="32"/>
          <w:szCs w:val="32"/>
        </w:rPr>
        <w:t>绩效</w:t>
      </w:r>
      <w:r>
        <w:rPr>
          <w:rFonts w:hint="eastAsia" w:ascii="仿宋_GB2312" w:hAnsi="仿宋_GB2312" w:eastAsia="仿宋_GB2312" w:cs="仿宋_GB2312"/>
          <w:i w:val="0"/>
          <w:caps w:val="0"/>
          <w:color w:val="333333"/>
          <w:spacing w:val="0"/>
          <w:sz w:val="32"/>
          <w:szCs w:val="32"/>
          <w:lang w:val="en-US" w:eastAsia="zh-CN"/>
        </w:rPr>
        <w:t>目标与实际完成值对比分析后，确定</w:t>
      </w:r>
      <w:r>
        <w:rPr>
          <w:rFonts w:hint="eastAsia" w:ascii="仿宋_GB2312" w:hAnsi="仿宋_GB2312" w:eastAsia="仿宋_GB2312" w:cs="仿宋_GB2312"/>
          <w:sz w:val="32"/>
          <w:szCs w:val="32"/>
          <w:lang w:val="en-US" w:eastAsia="zh-CN"/>
        </w:rPr>
        <w:t>绩效自评得分为</w:t>
      </w:r>
      <w:r>
        <w:rPr>
          <w:rFonts w:hint="eastAsia" w:ascii="仿宋_GB2312" w:hAnsi="仿宋_GB2312" w:eastAsia="仿宋_GB2312" w:cs="仿宋_GB2312"/>
          <w:color w:val="auto"/>
          <w:sz w:val="32"/>
          <w:szCs w:val="32"/>
          <w:lang w:val="en-US" w:eastAsia="zh-CN"/>
        </w:rPr>
        <w:t>98</w:t>
      </w:r>
      <w:r>
        <w:rPr>
          <w:rFonts w:hint="eastAsia" w:ascii="仿宋_GB2312" w:hAnsi="仿宋_GB2312" w:eastAsia="仿宋_GB2312" w:cs="仿宋_GB2312"/>
          <w:sz w:val="32"/>
          <w:szCs w:val="32"/>
          <w:lang w:val="en-US" w:eastAsia="zh-CN"/>
        </w:rPr>
        <w:t>分。</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leftChars="200" w:firstLine="320" w:firstLineChars="1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七、其他需要说明的问题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caps w:val="0"/>
          <w:color w:val="333333"/>
          <w:spacing w:val="0"/>
          <w:sz w:val="32"/>
          <w:szCs w:val="32"/>
          <w:lang w:val="en-US" w:eastAsia="zh-CN"/>
        </w:rPr>
        <w:t>无</w:t>
      </w:r>
      <w:r>
        <w:rPr>
          <w:rFonts w:hint="eastAsia" w:ascii="仿宋_GB2312" w:hAnsi="仿宋_GB2312" w:eastAsia="仿宋_GB2312" w:cs="仿宋_GB2312"/>
          <w:sz w:val="32"/>
          <w:szCs w:val="32"/>
          <w:lang w:val="en-US" w:eastAsia="zh-CN"/>
        </w:rPr>
        <w:t xml:space="preserve">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4480" w:firstLineChars="14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兰州新区经济合作局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2022年3月15日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622095"/>
    <w:multiLevelType w:val="singleLevel"/>
    <w:tmpl w:val="C7622095"/>
    <w:lvl w:ilvl="0" w:tentative="0">
      <w:start w:val="3"/>
      <w:numFmt w:val="decimal"/>
      <w:lvlText w:val="%1."/>
      <w:lvlJc w:val="left"/>
      <w:pPr>
        <w:tabs>
          <w:tab w:val="left" w:pos="312"/>
        </w:tabs>
      </w:pPr>
    </w:lvl>
  </w:abstractNum>
  <w:abstractNum w:abstractNumId="1">
    <w:nsid w:val="DDDCCA91"/>
    <w:multiLevelType w:val="singleLevel"/>
    <w:tmpl w:val="DDDCCA91"/>
    <w:lvl w:ilvl="0" w:tentative="0">
      <w:start w:val="3"/>
      <w:numFmt w:val="decimal"/>
      <w:lvlText w:val="%1."/>
      <w:lvlJc w:val="left"/>
      <w:pPr>
        <w:tabs>
          <w:tab w:val="left" w:pos="312"/>
        </w:tabs>
      </w:pPr>
    </w:lvl>
  </w:abstractNum>
  <w:abstractNum w:abstractNumId="2">
    <w:nsid w:val="EE5E3A82"/>
    <w:multiLevelType w:val="singleLevel"/>
    <w:tmpl w:val="EE5E3A82"/>
    <w:lvl w:ilvl="0" w:tentative="0">
      <w:start w:val="1"/>
      <w:numFmt w:val="chineseCounting"/>
      <w:suff w:val="nothing"/>
      <w:lvlText w:val="（%1）"/>
      <w:lvlJc w:val="left"/>
      <w:rPr>
        <w:rFonts w:hint="eastAsia"/>
      </w:rPr>
    </w:lvl>
  </w:abstractNum>
  <w:abstractNum w:abstractNumId="3">
    <w:nsid w:val="02A68003"/>
    <w:multiLevelType w:val="singleLevel"/>
    <w:tmpl w:val="02A68003"/>
    <w:lvl w:ilvl="0" w:tentative="0">
      <w:start w:val="2"/>
      <w:numFmt w:val="chineseCounting"/>
      <w:suff w:val="nothing"/>
      <w:lvlText w:val="（%1）"/>
      <w:lvlJc w:val="left"/>
      <w:rPr>
        <w:rFonts w:hint="eastAsia"/>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4MWM3MzNmNzk1YWMwZDc1ZmExMjkzNTRlMGM4MDQifQ=="/>
  </w:docVars>
  <w:rsids>
    <w:rsidRoot w:val="2C1C20DA"/>
    <w:rsid w:val="00B63EE8"/>
    <w:rsid w:val="036D61F8"/>
    <w:rsid w:val="05680321"/>
    <w:rsid w:val="05CE0EC2"/>
    <w:rsid w:val="07A369F8"/>
    <w:rsid w:val="096B5327"/>
    <w:rsid w:val="0CD65A03"/>
    <w:rsid w:val="13EB4912"/>
    <w:rsid w:val="167E0AA7"/>
    <w:rsid w:val="17783B64"/>
    <w:rsid w:val="1A51745E"/>
    <w:rsid w:val="1E340C41"/>
    <w:rsid w:val="1EBA5791"/>
    <w:rsid w:val="213516E8"/>
    <w:rsid w:val="21355AF2"/>
    <w:rsid w:val="21B52099"/>
    <w:rsid w:val="23866D5A"/>
    <w:rsid w:val="2966277A"/>
    <w:rsid w:val="2C1C20DA"/>
    <w:rsid w:val="2D601084"/>
    <w:rsid w:val="347C1809"/>
    <w:rsid w:val="35487D63"/>
    <w:rsid w:val="37192937"/>
    <w:rsid w:val="38211987"/>
    <w:rsid w:val="3AB836BE"/>
    <w:rsid w:val="3B823650"/>
    <w:rsid w:val="42AE0712"/>
    <w:rsid w:val="433230F1"/>
    <w:rsid w:val="457B0D80"/>
    <w:rsid w:val="4C394BAD"/>
    <w:rsid w:val="4DD57825"/>
    <w:rsid w:val="4FB76E58"/>
    <w:rsid w:val="51A16AD4"/>
    <w:rsid w:val="573A3A3A"/>
    <w:rsid w:val="57C651F7"/>
    <w:rsid w:val="5DA47129"/>
    <w:rsid w:val="650A7C85"/>
    <w:rsid w:val="66D82B33"/>
    <w:rsid w:val="67EF270A"/>
    <w:rsid w:val="69945CCF"/>
    <w:rsid w:val="6A9A5E35"/>
    <w:rsid w:val="6AA41651"/>
    <w:rsid w:val="6B536F26"/>
    <w:rsid w:val="70010183"/>
    <w:rsid w:val="72A63F2D"/>
    <w:rsid w:val="738A00C8"/>
    <w:rsid w:val="75286DCF"/>
    <w:rsid w:val="769177A9"/>
    <w:rsid w:val="774E2F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6"/>
    <w:basedOn w:val="1"/>
    <w:next w:val="1"/>
    <w:qFormat/>
    <w:uiPriority w:val="0"/>
    <w:pPr>
      <w:keepNext/>
      <w:keepLines/>
      <w:widowControl w:val="0"/>
      <w:spacing w:line="360" w:lineRule="auto"/>
      <w:ind w:firstLine="640" w:firstLineChars="200"/>
      <w:jc w:val="both"/>
      <w:outlineLvl w:val="5"/>
    </w:pPr>
    <w:rPr>
      <w:rFonts w:ascii="Cambria" w:hAnsi="Cambria" w:eastAsia="仿宋_GB2312" w:cs="Times New Roman"/>
      <w:bCs/>
      <w:kern w:val="2"/>
      <w:sz w:val="24"/>
      <w:szCs w:val="24"/>
      <w:lang w:val="en-US" w:eastAsia="zh-CN"/>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index 9"/>
    <w:basedOn w:val="1"/>
    <w:next w:val="1"/>
    <w:qFormat/>
    <w:uiPriority w:val="0"/>
    <w:pPr>
      <w:ind w:left="336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Title"/>
    <w:basedOn w:val="1"/>
    <w:next w:val="1"/>
    <w:qFormat/>
    <w:uiPriority w:val="0"/>
    <w:pPr>
      <w:spacing w:before="240" w:after="60"/>
      <w:jc w:val="center"/>
      <w:outlineLvl w:val="0"/>
    </w:pPr>
    <w:rPr>
      <w:rFonts w:ascii="Calibri Light" w:hAnsi="Calibri Light"/>
      <w:b/>
      <w:bCs/>
      <w:sz w:val="32"/>
      <w:szCs w:val="32"/>
    </w:rPr>
  </w:style>
  <w:style w:type="character" w:styleId="8">
    <w:name w:val="Strong"/>
    <w:basedOn w:val="7"/>
    <w:qFormat/>
    <w:uiPriority w:val="22"/>
    <w:rPr>
      <w:b/>
    </w:rPr>
  </w:style>
  <w:style w:type="paragraph" w:customStyle="1" w:styleId="9">
    <w:name w:val="样式1"/>
    <w:basedOn w:val="1"/>
    <w:qFormat/>
    <w:uiPriority w:val="0"/>
    <w:rPr>
      <w:rFonts w:eastAsia="仿宋_GB2312"/>
      <w:sz w:val="32"/>
    </w:rPr>
  </w:style>
  <w:style w:type="paragraph" w:customStyle="1"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4967</Words>
  <Characters>5353</Characters>
  <Lines>0</Lines>
  <Paragraphs>0</Paragraphs>
  <TotalTime>6</TotalTime>
  <ScaleCrop>false</ScaleCrop>
  <LinksUpToDate>false</LinksUpToDate>
  <CharactersWithSpaces>5425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2021-02-22T08:50:00Z</dcterms:created>
  <dc:creator>Zengtongfei</dc:creator>
  <cp:lastModifiedBy>张婉婷</cp:lastModifiedBy>
  <cp:lastPrinted>2021-03-19T03:18:00Z</cp:lastPrinted>
  <dcterms:modified xsi:type="dcterms:W3CDTF">2022-09-09T08:35:02Z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0F84FEAB71F14DF6925479A6106E701E</vt:lpwstr>
  </property>
</Properties>
</file>