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val="0"/>
        <w:topLinePunct/>
        <w:autoSpaceDE/>
        <w:autoSpaceDN/>
        <w:bidi w:val="0"/>
        <w:spacing w:after="0" w:line="580" w:lineRule="exact"/>
        <w:ind w:right="0" w:rightChars="0" w:firstLine="1760" w:firstLineChars="400"/>
        <w:jc w:val="both"/>
        <w:textAlignment w:val="auto"/>
        <w:outlineLvl w:val="9"/>
        <w:rPr>
          <w:rFonts w:hint="eastAsia" w:ascii="方正大标宋简体" w:hAnsi="方正大标宋简体" w:eastAsia="方正大标宋简体" w:cs="方正大标宋简体"/>
          <w:color w:val="000000"/>
          <w:spacing w:val="0"/>
          <w:sz w:val="44"/>
          <w:szCs w:val="44"/>
          <w:lang w:eastAsia="zh-CN"/>
        </w:rPr>
      </w:pPr>
    </w:p>
    <w:p>
      <w:pPr>
        <w:keepNext w:val="0"/>
        <w:keepLines w:val="0"/>
        <w:pageBreakBefore w:val="0"/>
        <w:widowControl w:val="0"/>
        <w:kinsoku/>
        <w:wordWrap/>
        <w:overflowPunct w:val="0"/>
        <w:topLinePunct/>
        <w:autoSpaceDE/>
        <w:autoSpaceDN/>
        <w:bidi w:val="0"/>
        <w:spacing w:after="0" w:line="580" w:lineRule="exact"/>
        <w:ind w:right="0" w:rightChars="0" w:firstLine="2200" w:firstLineChars="500"/>
        <w:jc w:val="both"/>
        <w:textAlignment w:val="auto"/>
        <w:outlineLvl w:val="9"/>
        <w:rPr>
          <w:rFonts w:hint="eastAsia" w:ascii="方正大标宋简体" w:hAnsi="方正大标宋简体" w:eastAsia="方正大标宋简体" w:cs="方正大标宋简体"/>
          <w:color w:val="000000"/>
          <w:spacing w:val="0"/>
          <w:sz w:val="44"/>
          <w:szCs w:val="44"/>
          <w:lang w:eastAsia="zh-CN"/>
        </w:rPr>
      </w:pPr>
    </w:p>
    <w:p>
      <w:pPr>
        <w:keepNext w:val="0"/>
        <w:keepLines w:val="0"/>
        <w:pageBreakBefore w:val="0"/>
        <w:widowControl w:val="0"/>
        <w:kinsoku/>
        <w:wordWrap/>
        <w:overflowPunct w:val="0"/>
        <w:topLinePunct/>
        <w:autoSpaceDE/>
        <w:autoSpaceDN/>
        <w:bidi w:val="0"/>
        <w:spacing w:after="0" w:line="580" w:lineRule="exact"/>
        <w:ind w:right="0" w:rightChars="0" w:firstLine="2200" w:firstLineChars="500"/>
        <w:jc w:val="both"/>
        <w:textAlignment w:val="auto"/>
        <w:outlineLvl w:val="9"/>
        <w:rPr>
          <w:rFonts w:hint="eastAsia" w:ascii="方正大标宋简体" w:hAnsi="方正大标宋简体" w:eastAsia="方正大标宋简体" w:cs="方正大标宋简体"/>
          <w:color w:val="000000"/>
          <w:spacing w:val="0"/>
          <w:sz w:val="44"/>
          <w:szCs w:val="44"/>
          <w:lang w:eastAsia="zh-CN"/>
        </w:rPr>
      </w:pPr>
      <w:r>
        <w:rPr>
          <w:rFonts w:hint="eastAsia" w:ascii="方正大标宋简体" w:hAnsi="方正大标宋简体" w:eastAsia="方正大标宋简体" w:cs="方正大标宋简体"/>
          <w:color w:val="000000"/>
          <w:spacing w:val="0"/>
          <w:sz w:val="44"/>
          <w:szCs w:val="44"/>
          <w:lang w:eastAsia="zh-CN"/>
        </w:rPr>
        <w:t>兰州新区管委会办公室</w:t>
      </w:r>
    </w:p>
    <w:p>
      <w:pPr>
        <w:keepNext w:val="0"/>
        <w:keepLines w:val="0"/>
        <w:pageBreakBefore w:val="0"/>
        <w:widowControl w:val="0"/>
        <w:kinsoku/>
        <w:wordWrap/>
        <w:overflowPunct w:val="0"/>
        <w:topLinePunct/>
        <w:autoSpaceDE/>
        <w:autoSpaceDN/>
        <w:bidi w:val="0"/>
        <w:spacing w:after="0" w:line="580" w:lineRule="exact"/>
        <w:ind w:right="0" w:rightChars="0" w:firstLine="440" w:firstLineChars="100"/>
        <w:jc w:val="both"/>
        <w:textAlignment w:val="auto"/>
        <w:outlineLvl w:val="9"/>
        <w:rPr>
          <w:rFonts w:hint="eastAsia" w:ascii="方正大标宋简体" w:hAnsi="方正大标宋简体" w:eastAsia="方正大标宋简体" w:cs="方正大标宋简体"/>
          <w:color w:val="000000"/>
          <w:spacing w:val="0"/>
          <w:sz w:val="44"/>
          <w:szCs w:val="44"/>
        </w:rPr>
      </w:pPr>
      <w:r>
        <w:rPr>
          <w:rFonts w:hint="eastAsia" w:ascii="方正大标宋简体" w:hAnsi="方正大标宋简体" w:eastAsia="方正大标宋简体" w:cs="方正大标宋简体"/>
          <w:color w:val="000000"/>
          <w:spacing w:val="0"/>
          <w:sz w:val="44"/>
          <w:szCs w:val="44"/>
        </w:rPr>
        <w:t>202</w:t>
      </w:r>
      <w:r>
        <w:rPr>
          <w:rFonts w:hint="eastAsia" w:ascii="方正大标宋简体" w:hAnsi="方正大标宋简体" w:eastAsia="方正大标宋简体" w:cs="方正大标宋简体"/>
          <w:color w:val="000000"/>
          <w:spacing w:val="0"/>
          <w:sz w:val="44"/>
          <w:szCs w:val="44"/>
          <w:lang w:val="en-US" w:eastAsia="zh-CN"/>
        </w:rPr>
        <w:t>1</w:t>
      </w:r>
      <w:r>
        <w:rPr>
          <w:rFonts w:hint="eastAsia" w:ascii="方正大标宋简体" w:hAnsi="方正大标宋简体" w:eastAsia="方正大标宋简体" w:cs="方正大标宋简体"/>
          <w:color w:val="000000"/>
          <w:spacing w:val="0"/>
          <w:sz w:val="44"/>
          <w:szCs w:val="44"/>
        </w:rPr>
        <w:t>年度部门预算</w:t>
      </w:r>
      <w:r>
        <w:rPr>
          <w:rFonts w:hint="eastAsia" w:ascii="方正大标宋简体" w:hAnsi="方正大标宋简体" w:eastAsia="方正大标宋简体" w:cs="方正大标宋简体"/>
          <w:color w:val="000000"/>
          <w:spacing w:val="0"/>
          <w:sz w:val="44"/>
          <w:szCs w:val="44"/>
          <w:lang w:eastAsia="zh-CN"/>
        </w:rPr>
        <w:t>执行情况的</w:t>
      </w:r>
      <w:r>
        <w:rPr>
          <w:rFonts w:hint="eastAsia" w:ascii="方正大标宋简体" w:hAnsi="方正大标宋简体" w:eastAsia="方正大标宋简体" w:cs="方正大标宋简体"/>
          <w:color w:val="000000"/>
          <w:spacing w:val="0"/>
          <w:sz w:val="44"/>
          <w:szCs w:val="44"/>
        </w:rPr>
        <w:t>自评报告</w:t>
      </w:r>
    </w:p>
    <w:p>
      <w:pPr>
        <w:keepNext w:val="0"/>
        <w:keepLines w:val="0"/>
        <w:pageBreakBefore w:val="0"/>
        <w:widowControl w:val="0"/>
        <w:kinsoku/>
        <w:wordWrap/>
        <w:overflowPunct w:val="0"/>
        <w:topLinePunct/>
        <w:autoSpaceDE/>
        <w:autoSpaceDN/>
        <w:bidi w:val="0"/>
        <w:spacing w:after="0" w:line="580" w:lineRule="exact"/>
        <w:ind w:right="0" w:rightChars="0" w:firstLine="640" w:firstLineChars="200"/>
        <w:jc w:val="both"/>
        <w:textAlignment w:val="auto"/>
        <w:outlineLvl w:val="9"/>
        <w:rPr>
          <w:rFonts w:hint="eastAsia" w:ascii="Times New Roman" w:hAnsi="Times New Roman" w:eastAsia="仿宋_GB2312" w:cs="Times New Roman"/>
          <w:color w:val="000000"/>
          <w:spacing w:val="0"/>
          <w:sz w:val="32"/>
          <w:szCs w:val="32"/>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eastAsia="仿宋_GB2312"/>
          <w:sz w:val="32"/>
          <w:szCs w:val="32"/>
          <w:lang w:val="en-US" w:eastAsia="zh-CN"/>
        </w:rPr>
      </w:pPr>
      <w:r>
        <w:rPr>
          <w:rFonts w:hint="eastAsia" w:ascii="黑体" w:hAnsi="黑体" w:eastAsia="黑体" w:cs="黑体"/>
          <w:color w:val="000000"/>
          <w:spacing w:val="0"/>
          <w:sz w:val="32"/>
          <w:szCs w:val="32"/>
          <w:lang w:val="en-US" w:eastAsia="zh-CN"/>
        </w:rPr>
        <w:t xml:space="preserve"> </w:t>
      </w:r>
      <w:r>
        <w:rPr>
          <w:rFonts w:hint="eastAsia" w:ascii="黑体" w:hAnsi="黑体" w:eastAsia="黑体" w:cs="黑体"/>
          <w:sz w:val="32"/>
          <w:szCs w:val="32"/>
          <w:lang w:val="en-US" w:eastAsia="zh-CN"/>
        </w:rPr>
        <w:t>一、部门职责</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（一）负责新区管委会日常政务事务协调服务工作。</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（二）负责新区管委会各类会议、重大活动的筹备、组织、协调工作，负责管委会领导公务活动的协调服务工作。</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（三）负责新区管委会文电办理、印信管理工作。负责以管委会及管委会办公室名义发文的审核把关、制发管理和保密工作。负责管委会及管委会办公室文书档案和电子档案的收集、整理、归档、查阅等工作。</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四）负责新区政务公开工作。落实国家和省、市政务公开工作法规、政策和制度，指导、督促新区政务公开工作，负责管理新区各级政务新媒体工作。指导新区电子政务工作，负责新区电子政务办公平台监督、管理和推广应用工作。</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（五）负责新区政务信息工作。负责新区政务信息收集、整理、报送及考核、通报工作。指导新区各部门各单位政务信息工作。</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六）负责新区与省、市、县人大、政协的联系工作。负责组织、指导和考核新区各部门各单位承办的人大代表议案、建议和政协委员提案办理工作。负责省内外人大、政协系统调研、考察新区的联络服务工作。联系新区基层人大工作。</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（七）负责新区政务督查工作。负责对国家、省、市及新区重大决策、重要工作部署和省政府、市政府、新区管委会主要领导批示贯彻执行情况进行督促检查。</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（八）负责新区公务接待工作。贯彻落实中央、省、市及新区公务接待工作有关规定精神，负责新区党工委、管委会重要公务活动的接待联络和协调服务工作。</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（九）负责新区外事工作。贯彻执行中央外事工作方针、政策，贯彻落实省、市外事工作会议精神，执行新区党工委、管委会外事工作部署。负责新区对外联络工作。承担新区外事工作委员会办公室工作职责。</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十）负责新区机关事务的管理、保障、服务工作。负责新区管委会办公室固定资产管理；负责新区机关办公用房、干部职工公寓配备管理工作；指导新区各园区、各部门、各单位公务用车的使用管理，负责新区党工委、管委会和管委会办公室公务用车管理；负责新区机关安全保卫工作。</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十一）负责新区机关总值班工作。负责牵头做好新区党工委、管委会及各部门日常和节假日带班值班工作，统筹指导各职能部门所涉突发性、季节性、专项值班工作。负责编报值班信息，传达、督办省市和新区领导对有关重大突发事件的批示和要求。负责检查、通报各园区、各部门、各单位值班工作情况。</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（十二）完成新区党工委、管委会和上级业务部门交办的其他任务。</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二、机构设置</w:t>
      </w:r>
    </w:p>
    <w:p>
      <w:pPr>
        <w:keepNext w:val="0"/>
        <w:keepLines w:val="0"/>
        <w:pageBreakBefore w:val="0"/>
        <w:widowControl w:val="0"/>
        <w:kinsoku/>
        <w:wordWrap/>
        <w:overflowPunct w:val="0"/>
        <w:topLinePunct/>
        <w:autoSpaceDE/>
        <w:autoSpaceDN/>
        <w:bidi w:val="0"/>
        <w:adjustRightInd/>
        <w:snapToGrid/>
        <w:spacing w:after="0" w:line="560" w:lineRule="exact"/>
        <w:ind w:right="0" w:rightChars="0" w:firstLine="640" w:firstLineChars="200"/>
        <w:jc w:val="both"/>
        <w:textAlignment w:val="auto"/>
        <w:outlineLvl w:val="9"/>
        <w:rPr>
          <w:rFonts w:hint="eastAsia" w:ascii="仿宋_GB2312" w:eastAsia="仿宋_GB2312"/>
          <w:sz w:val="32"/>
          <w:szCs w:val="32"/>
          <w:lang w:val="en-US" w:eastAsia="zh-CN"/>
        </w:rPr>
      </w:pPr>
      <w:r>
        <w:rPr>
          <w:rFonts w:hint="eastAsia" w:ascii="仿宋_GB2312" w:eastAsia="仿宋_GB2312"/>
          <w:sz w:val="32"/>
          <w:szCs w:val="32"/>
          <w:lang w:val="en-US" w:eastAsia="zh-CN"/>
        </w:rPr>
        <w:t>兰州新区管委会办公室内设机构8个，即综合科、秘书科、文电科（政务公开办公室）、信息科（人大政协联络科）、督查科、接待联络科（外事办公室）、机关服务中心（事务科）、兰州新区总值班室。</w:t>
      </w:r>
    </w:p>
    <w:p>
      <w:pPr>
        <w:keepNext w:val="0"/>
        <w:keepLines w:val="0"/>
        <w:pageBreakBefore w:val="0"/>
        <w:widowControl w:val="0"/>
        <w:kinsoku/>
        <w:wordWrap/>
        <w:overflowPunct w:val="0"/>
        <w:topLinePunct/>
        <w:autoSpaceDE/>
        <w:autoSpaceDN/>
        <w:bidi w:val="0"/>
        <w:adjustRightInd/>
        <w:snapToGrid/>
        <w:spacing w:after="0" w:line="560" w:lineRule="exact"/>
        <w:ind w:right="0" w:rightChars="0" w:firstLine="640" w:firstLineChars="200"/>
        <w:jc w:val="both"/>
        <w:textAlignment w:val="auto"/>
        <w:outlineLvl w:val="9"/>
        <w:rPr>
          <w:rFonts w:hint="default" w:ascii="黑体" w:hAnsi="黑体" w:eastAsia="黑体" w:cs="黑体"/>
          <w:color w:val="000000"/>
          <w:spacing w:val="0"/>
          <w:sz w:val="32"/>
          <w:szCs w:val="32"/>
          <w:lang w:val="en-US" w:eastAsia="zh-CN"/>
        </w:rPr>
      </w:pPr>
      <w:r>
        <w:rPr>
          <w:rFonts w:hint="eastAsia" w:ascii="Times New Roman" w:hAnsi="Times New Roman" w:eastAsia="仿宋_GB2312" w:cs="Times New Roman"/>
          <w:color w:val="000000"/>
          <w:spacing w:val="0"/>
          <w:sz w:val="32"/>
          <w:szCs w:val="32"/>
        </w:rPr>
        <w:t>202</w:t>
      </w:r>
      <w:r>
        <w:rPr>
          <w:rFonts w:hint="eastAsia" w:ascii="Times New Roman" w:hAnsi="Times New Roman" w:eastAsia="仿宋_GB2312" w:cs="Times New Roman"/>
          <w:color w:val="000000"/>
          <w:spacing w:val="0"/>
          <w:sz w:val="32"/>
          <w:szCs w:val="32"/>
          <w:lang w:val="en-US" w:eastAsia="zh-CN"/>
        </w:rPr>
        <w:t>1</w:t>
      </w:r>
      <w:r>
        <w:rPr>
          <w:rFonts w:hint="eastAsia" w:eastAsia="仿宋_GB2312" w:cs="Times New Roman"/>
          <w:color w:val="auto"/>
          <w:spacing w:val="0"/>
          <w:sz w:val="32"/>
          <w:szCs w:val="32"/>
          <w:lang w:val="en-US" w:eastAsia="zh-CN"/>
        </w:rPr>
        <w:t>年末</w:t>
      </w:r>
      <w:r>
        <w:rPr>
          <w:rFonts w:hint="eastAsia" w:ascii="Times New Roman" w:hAnsi="Times New Roman" w:eastAsia="仿宋_GB2312" w:cs="Times New Roman"/>
          <w:color w:val="auto"/>
          <w:spacing w:val="0"/>
          <w:sz w:val="32"/>
          <w:szCs w:val="32"/>
        </w:rPr>
        <w:t>共有</w:t>
      </w:r>
      <w:r>
        <w:rPr>
          <w:rFonts w:hint="eastAsia" w:eastAsia="仿宋_GB2312" w:cs="Times New Roman"/>
          <w:color w:val="auto"/>
          <w:spacing w:val="0"/>
          <w:sz w:val="32"/>
          <w:szCs w:val="32"/>
          <w:lang w:eastAsia="zh-CN"/>
        </w:rPr>
        <w:t>干部职工</w:t>
      </w:r>
      <w:r>
        <w:rPr>
          <w:rFonts w:hint="eastAsia" w:ascii="Times New Roman" w:hAnsi="Times New Roman" w:eastAsia="仿宋_GB2312" w:cs="Times New Roman"/>
          <w:color w:val="auto"/>
          <w:spacing w:val="0"/>
          <w:sz w:val="32"/>
          <w:szCs w:val="32"/>
          <w:lang w:val="en-US" w:eastAsia="zh-CN"/>
        </w:rPr>
        <w:t>56</w:t>
      </w:r>
      <w:r>
        <w:rPr>
          <w:rFonts w:hint="eastAsia" w:ascii="Times New Roman" w:hAnsi="Times New Roman" w:eastAsia="仿宋_GB2312" w:cs="Times New Roman"/>
          <w:color w:val="auto"/>
          <w:spacing w:val="0"/>
          <w:sz w:val="32"/>
          <w:szCs w:val="32"/>
        </w:rPr>
        <w:t>人，其中地级干部9人，县级干部</w:t>
      </w:r>
      <w:r>
        <w:rPr>
          <w:rFonts w:hint="eastAsia" w:ascii="Times New Roman" w:hAnsi="Times New Roman" w:eastAsia="仿宋_GB2312" w:cs="Times New Roman"/>
          <w:color w:val="auto"/>
          <w:spacing w:val="0"/>
          <w:sz w:val="32"/>
          <w:szCs w:val="32"/>
          <w:lang w:val="en-US" w:eastAsia="zh-CN"/>
        </w:rPr>
        <w:t>5</w:t>
      </w:r>
      <w:r>
        <w:rPr>
          <w:rFonts w:hint="eastAsia" w:ascii="Times New Roman" w:hAnsi="Times New Roman" w:eastAsia="仿宋_GB2312" w:cs="Times New Roman"/>
          <w:color w:val="auto"/>
          <w:spacing w:val="0"/>
          <w:sz w:val="32"/>
          <w:szCs w:val="32"/>
        </w:rPr>
        <w:t>人，科级干部1</w:t>
      </w:r>
      <w:r>
        <w:rPr>
          <w:rFonts w:hint="eastAsia" w:ascii="Times New Roman" w:hAnsi="Times New Roman" w:eastAsia="仿宋_GB2312" w:cs="Times New Roman"/>
          <w:color w:val="auto"/>
          <w:spacing w:val="0"/>
          <w:sz w:val="32"/>
          <w:szCs w:val="32"/>
          <w:lang w:val="en-US" w:eastAsia="zh-CN"/>
        </w:rPr>
        <w:t>7</w:t>
      </w:r>
      <w:r>
        <w:rPr>
          <w:rFonts w:hint="eastAsia" w:ascii="Times New Roman" w:hAnsi="Times New Roman" w:eastAsia="仿宋_GB2312" w:cs="Times New Roman"/>
          <w:color w:val="auto"/>
          <w:spacing w:val="0"/>
          <w:sz w:val="32"/>
          <w:szCs w:val="32"/>
        </w:rPr>
        <w:t>人，科员</w:t>
      </w:r>
      <w:r>
        <w:rPr>
          <w:rFonts w:hint="eastAsia" w:ascii="Times New Roman" w:hAnsi="Times New Roman" w:eastAsia="仿宋_GB2312" w:cs="Times New Roman"/>
          <w:color w:val="auto"/>
          <w:spacing w:val="0"/>
          <w:sz w:val="32"/>
          <w:szCs w:val="32"/>
          <w:lang w:val="en-US" w:eastAsia="zh-CN"/>
        </w:rPr>
        <w:t>12</w:t>
      </w:r>
      <w:r>
        <w:rPr>
          <w:rFonts w:hint="eastAsia" w:ascii="Times New Roman" w:hAnsi="Times New Roman" w:eastAsia="仿宋_GB2312" w:cs="Times New Roman"/>
          <w:color w:val="auto"/>
          <w:spacing w:val="0"/>
          <w:sz w:val="32"/>
          <w:szCs w:val="32"/>
        </w:rPr>
        <w:t>人，工勤</w:t>
      </w:r>
      <w:r>
        <w:rPr>
          <w:rFonts w:hint="eastAsia" w:ascii="Times New Roman" w:hAnsi="Times New Roman" w:eastAsia="仿宋_GB2312" w:cs="Times New Roman"/>
          <w:color w:val="auto"/>
          <w:spacing w:val="0"/>
          <w:sz w:val="32"/>
          <w:szCs w:val="32"/>
          <w:lang w:val="en-US" w:eastAsia="zh-CN"/>
        </w:rPr>
        <w:t>6</w:t>
      </w:r>
      <w:r>
        <w:rPr>
          <w:rFonts w:hint="eastAsia" w:ascii="Times New Roman" w:hAnsi="Times New Roman" w:eastAsia="仿宋_GB2312" w:cs="Times New Roman"/>
          <w:color w:val="auto"/>
          <w:spacing w:val="0"/>
          <w:sz w:val="32"/>
          <w:szCs w:val="32"/>
        </w:rPr>
        <w:t>人，聘用人员</w:t>
      </w:r>
      <w:r>
        <w:rPr>
          <w:rFonts w:hint="eastAsia" w:ascii="Times New Roman" w:hAnsi="Times New Roman" w:eastAsia="仿宋_GB2312" w:cs="Times New Roman"/>
          <w:color w:val="auto"/>
          <w:spacing w:val="0"/>
          <w:sz w:val="32"/>
          <w:szCs w:val="32"/>
          <w:lang w:val="en-US" w:eastAsia="zh-CN"/>
        </w:rPr>
        <w:t>7</w:t>
      </w:r>
      <w:r>
        <w:rPr>
          <w:rFonts w:hint="eastAsia" w:ascii="Times New Roman" w:hAnsi="Times New Roman" w:eastAsia="仿宋_GB2312" w:cs="Times New Roman"/>
          <w:color w:val="auto"/>
          <w:spacing w:val="0"/>
          <w:sz w:val="32"/>
          <w:szCs w:val="32"/>
        </w:rPr>
        <w:t>人，财政全额拨款供养人数</w:t>
      </w:r>
      <w:r>
        <w:rPr>
          <w:rFonts w:hint="eastAsia" w:ascii="Times New Roman" w:hAnsi="Times New Roman" w:eastAsia="仿宋_GB2312" w:cs="Times New Roman"/>
          <w:color w:val="auto"/>
          <w:spacing w:val="0"/>
          <w:sz w:val="32"/>
          <w:szCs w:val="32"/>
          <w:lang w:val="en-US" w:eastAsia="zh-CN"/>
        </w:rPr>
        <w:t>56</w:t>
      </w:r>
      <w:r>
        <w:rPr>
          <w:rFonts w:hint="eastAsia" w:ascii="Times New Roman" w:hAnsi="Times New Roman" w:eastAsia="仿宋_GB2312" w:cs="Times New Roman"/>
          <w:color w:val="auto"/>
          <w:spacing w:val="0"/>
          <w:sz w:val="32"/>
          <w:szCs w:val="32"/>
        </w:rPr>
        <w:t>人。</w:t>
      </w:r>
      <w:r>
        <w:rPr>
          <w:rFonts w:hint="default" w:ascii="Times New Roman" w:hAnsi="Times New Roman" w:eastAsia="仿宋_GB2312" w:cs="Times New Roman"/>
          <w:color w:val="auto"/>
          <w:spacing w:val="0"/>
          <w:sz w:val="32"/>
          <w:szCs w:val="32"/>
        </w:rPr>
        <w:t xml:space="preserve"> </w:t>
      </w:r>
    </w:p>
    <w:p>
      <w:pPr>
        <w:keepNext w:val="0"/>
        <w:keepLines w:val="0"/>
        <w:pageBreakBefore w:val="0"/>
        <w:widowControl w:val="0"/>
        <w:kinsoku/>
        <w:wordWrap/>
        <w:overflowPunct w:val="0"/>
        <w:topLinePunct/>
        <w:autoSpaceDE/>
        <w:autoSpaceDN/>
        <w:bidi w:val="0"/>
        <w:spacing w:after="0" w:line="580" w:lineRule="exact"/>
        <w:ind w:right="0" w:rightChars="0" w:firstLine="640" w:firstLineChars="200"/>
        <w:jc w:val="both"/>
        <w:textAlignment w:val="auto"/>
        <w:outlineLvl w:val="9"/>
        <w:rPr>
          <w:rFonts w:hint="eastAsia" w:ascii="黑体" w:hAnsi="黑体" w:eastAsia="黑体" w:cs="黑体"/>
          <w:color w:val="000000"/>
          <w:spacing w:val="0"/>
          <w:sz w:val="32"/>
          <w:szCs w:val="32"/>
        </w:rPr>
      </w:pPr>
      <w:r>
        <w:rPr>
          <w:rFonts w:hint="eastAsia" w:ascii="黑体" w:hAnsi="黑体" w:eastAsia="黑体" w:cs="黑体"/>
          <w:color w:val="000000"/>
          <w:spacing w:val="0"/>
          <w:sz w:val="32"/>
          <w:szCs w:val="32"/>
          <w:lang w:eastAsia="zh-CN"/>
        </w:rPr>
        <w:t>三、</w:t>
      </w:r>
      <w:r>
        <w:rPr>
          <w:rFonts w:hint="eastAsia" w:ascii="黑体" w:hAnsi="黑体" w:eastAsia="黑体" w:cs="黑体"/>
          <w:color w:val="000000"/>
          <w:spacing w:val="0"/>
          <w:sz w:val="32"/>
          <w:szCs w:val="32"/>
        </w:rPr>
        <w:t>绩效自评工作组织开展情况</w:t>
      </w:r>
    </w:p>
    <w:p>
      <w:pPr>
        <w:keepNext w:val="0"/>
        <w:keepLines w:val="0"/>
        <w:pageBreakBefore w:val="0"/>
        <w:widowControl w:val="0"/>
        <w:kinsoku/>
        <w:wordWrap/>
        <w:overflowPunct w:val="0"/>
        <w:topLinePunct/>
        <w:autoSpaceDE/>
        <w:autoSpaceDN/>
        <w:bidi w:val="0"/>
        <w:spacing w:after="0" w:line="580" w:lineRule="exact"/>
        <w:ind w:right="0" w:rightChars="0" w:firstLine="640" w:firstLineChars="200"/>
        <w:jc w:val="both"/>
        <w:textAlignment w:val="auto"/>
        <w:outlineLvl w:val="9"/>
        <w:rPr>
          <w:rFonts w:hint="default" w:ascii="Times New Roman" w:hAnsi="Times New Roman" w:eastAsia="仿宋_GB2312" w:cs="Times New Roman"/>
          <w:color w:val="000000"/>
          <w:spacing w:val="0"/>
          <w:sz w:val="32"/>
          <w:szCs w:val="32"/>
          <w:lang w:val="en-US" w:eastAsia="zh-CN"/>
        </w:rPr>
      </w:pPr>
      <w:r>
        <w:rPr>
          <w:rFonts w:hint="eastAsia" w:ascii="Times New Roman" w:hAnsi="Times New Roman" w:eastAsia="仿宋_GB2312" w:cs="Times New Roman"/>
          <w:color w:val="000000"/>
          <w:spacing w:val="0"/>
          <w:sz w:val="32"/>
          <w:szCs w:val="32"/>
        </w:rPr>
        <w:t>为做好202</w:t>
      </w:r>
      <w:r>
        <w:rPr>
          <w:rFonts w:hint="eastAsia" w:ascii="Times New Roman" w:hAnsi="Times New Roman" w:eastAsia="仿宋_GB2312" w:cs="Times New Roman"/>
          <w:color w:val="000000"/>
          <w:spacing w:val="0"/>
          <w:sz w:val="32"/>
          <w:szCs w:val="32"/>
          <w:lang w:val="en-US" w:eastAsia="zh-CN"/>
        </w:rPr>
        <w:t>1</w:t>
      </w:r>
      <w:r>
        <w:rPr>
          <w:rFonts w:hint="eastAsia" w:ascii="Times New Roman" w:hAnsi="Times New Roman" w:eastAsia="仿宋_GB2312" w:cs="Times New Roman"/>
          <w:color w:val="000000"/>
          <w:spacing w:val="0"/>
          <w:sz w:val="32"/>
          <w:szCs w:val="32"/>
        </w:rPr>
        <w:t>年度部门整体绩效自评工作，根据《兰州新区财政局关于开展县级财政资金绩效自评和绩效监控工作的通知》文件精神，</w:t>
      </w:r>
      <w:r>
        <w:rPr>
          <w:rFonts w:hint="eastAsia" w:ascii="Times New Roman" w:hAnsi="Times New Roman" w:eastAsia="仿宋_GB2312" w:cs="Times New Roman"/>
          <w:color w:val="000000"/>
          <w:spacing w:val="0"/>
          <w:sz w:val="32"/>
          <w:szCs w:val="32"/>
          <w:lang w:eastAsia="zh-CN"/>
        </w:rPr>
        <w:t>管委会办公室及时对项目支出情况、绩效指标情况、结果运用情况进行了自评</w:t>
      </w:r>
      <w:r>
        <w:rPr>
          <w:rFonts w:hint="eastAsia" w:ascii="Times New Roman" w:hAnsi="Times New Roman" w:eastAsia="仿宋_GB2312" w:cs="Times New Roman"/>
          <w:color w:val="000000"/>
          <w:spacing w:val="0"/>
          <w:sz w:val="32"/>
          <w:szCs w:val="32"/>
        </w:rPr>
        <w:t>。</w:t>
      </w:r>
      <w:r>
        <w:rPr>
          <w:rFonts w:hint="eastAsia" w:ascii="Times New Roman" w:hAnsi="Times New Roman" w:eastAsia="仿宋_GB2312" w:cs="Times New Roman"/>
          <w:color w:val="000000"/>
          <w:spacing w:val="0"/>
          <w:sz w:val="32"/>
          <w:szCs w:val="32"/>
          <w:lang w:val="en-US" w:eastAsia="zh-CN"/>
        </w:rPr>
        <w:t>2021年纳入预算绩效自评的项目有：春节慰问费、彩虹城租赁及运行费、中川商务中心租赁及运行费、公租房租赁及运行费、机关食堂运行费、雅苑周转房运行费、招商引资工作经费、文书档案扫描费用、文件印刷费。2021年项目预算绩效自评工作先由承担项目的科室自评，再由自评领导小组审核开展部门绩效自评。现对</w:t>
      </w:r>
      <w:r>
        <w:rPr>
          <w:rFonts w:hint="eastAsia" w:ascii="Times New Roman" w:hAnsi="Times New Roman" w:eastAsia="仿宋_GB2312" w:cs="Times New Roman"/>
          <w:color w:val="000000"/>
          <w:spacing w:val="0"/>
          <w:sz w:val="32"/>
          <w:szCs w:val="32"/>
        </w:rPr>
        <w:t>部门整体支出绩效自评情况分析</w:t>
      </w:r>
      <w:r>
        <w:rPr>
          <w:rFonts w:hint="eastAsia" w:ascii="Times New Roman" w:hAnsi="Times New Roman" w:eastAsia="仿宋_GB2312" w:cs="Times New Roman"/>
          <w:color w:val="000000"/>
          <w:spacing w:val="0"/>
          <w:sz w:val="32"/>
          <w:szCs w:val="32"/>
          <w:lang w:eastAsia="zh-CN"/>
        </w:rPr>
        <w:t>如下：</w:t>
      </w:r>
    </w:p>
    <w:p>
      <w:pPr>
        <w:keepNext w:val="0"/>
        <w:keepLines w:val="0"/>
        <w:pageBreakBefore w:val="0"/>
        <w:widowControl w:val="0"/>
        <w:kinsoku/>
        <w:wordWrap/>
        <w:overflowPunct w:val="0"/>
        <w:topLinePunct/>
        <w:autoSpaceDE/>
        <w:autoSpaceDN/>
        <w:bidi w:val="0"/>
        <w:spacing w:after="0" w:line="580" w:lineRule="exact"/>
        <w:ind w:right="0" w:rightChars="0" w:firstLine="643" w:firstLineChars="200"/>
        <w:jc w:val="both"/>
        <w:textAlignment w:val="auto"/>
        <w:outlineLvl w:val="9"/>
        <w:rPr>
          <w:rFonts w:hint="eastAsia" w:ascii="Times New Roman" w:hAnsi="Times New Roman" w:eastAsia="仿宋_GB2312" w:cs="Times New Roman"/>
          <w:b/>
          <w:bCs/>
          <w:color w:val="000000"/>
          <w:spacing w:val="0"/>
          <w:sz w:val="32"/>
          <w:szCs w:val="32"/>
        </w:rPr>
      </w:pPr>
      <w:r>
        <w:rPr>
          <w:rFonts w:hint="eastAsia" w:ascii="Times New Roman" w:hAnsi="Times New Roman" w:eastAsia="仿宋_GB2312" w:cs="Times New Roman"/>
          <w:b/>
          <w:bCs/>
          <w:color w:val="000000"/>
          <w:spacing w:val="0"/>
          <w:sz w:val="32"/>
          <w:szCs w:val="32"/>
        </w:rPr>
        <w:t>（一）</w:t>
      </w:r>
      <w:r>
        <w:rPr>
          <w:rFonts w:hint="eastAsia" w:ascii="Times New Roman" w:hAnsi="Times New Roman" w:eastAsia="仿宋_GB2312" w:cs="Times New Roman"/>
          <w:b/>
          <w:bCs/>
          <w:color w:val="000000"/>
          <w:spacing w:val="0"/>
          <w:sz w:val="32"/>
          <w:szCs w:val="32"/>
          <w:lang w:val="en-US" w:eastAsia="zh-CN"/>
        </w:rPr>
        <w:t>2021年度预算拨付</w:t>
      </w:r>
      <w:r>
        <w:rPr>
          <w:rFonts w:hint="eastAsia" w:ascii="Times New Roman" w:hAnsi="Times New Roman" w:eastAsia="仿宋_GB2312" w:cs="Times New Roman"/>
          <w:b/>
          <w:bCs/>
          <w:color w:val="000000"/>
          <w:spacing w:val="0"/>
          <w:sz w:val="32"/>
          <w:szCs w:val="32"/>
        </w:rPr>
        <w:t>情况</w:t>
      </w:r>
    </w:p>
    <w:p>
      <w:pPr>
        <w:keepNext w:val="0"/>
        <w:keepLines w:val="0"/>
        <w:pageBreakBefore w:val="0"/>
        <w:widowControl w:val="0"/>
        <w:kinsoku/>
        <w:wordWrap/>
        <w:overflowPunct w:val="0"/>
        <w:topLinePunct/>
        <w:autoSpaceDE/>
        <w:autoSpaceDN/>
        <w:bidi w:val="0"/>
        <w:spacing w:after="0" w:line="580" w:lineRule="exact"/>
        <w:ind w:right="0" w:rightChars="0" w:firstLine="640" w:firstLineChars="200"/>
        <w:jc w:val="both"/>
        <w:textAlignment w:val="auto"/>
        <w:outlineLvl w:val="9"/>
        <w:rPr>
          <w:rFonts w:hint="eastAsia" w:ascii="Times New Roman" w:hAnsi="Times New Roman" w:eastAsia="仿宋_GB2312" w:cs="Times New Roman"/>
          <w:color w:val="000000"/>
          <w:spacing w:val="0"/>
          <w:sz w:val="32"/>
          <w:szCs w:val="32"/>
          <w:lang w:val="en-US" w:eastAsia="zh-CN"/>
        </w:rPr>
      </w:pPr>
      <w:r>
        <w:rPr>
          <w:rFonts w:hint="eastAsia" w:ascii="Times New Roman" w:hAnsi="Times New Roman" w:eastAsia="仿宋_GB2312" w:cs="Times New Roman"/>
          <w:color w:val="000000"/>
          <w:spacing w:val="0"/>
          <w:sz w:val="32"/>
          <w:szCs w:val="32"/>
          <w:lang w:val="en-US" w:eastAsia="zh-CN"/>
        </w:rPr>
        <w:t>2021年度年初预算资金7848.73万元，兰州新区财政局实际拨付资金7848.73万元，基本经费1576.26万元，项目经费6272.47万元。未出现任何偏差。</w:t>
      </w:r>
    </w:p>
    <w:p>
      <w:pPr>
        <w:keepNext w:val="0"/>
        <w:keepLines w:val="0"/>
        <w:pageBreakBefore w:val="0"/>
        <w:widowControl w:val="0"/>
        <w:kinsoku/>
        <w:wordWrap/>
        <w:overflowPunct w:val="0"/>
        <w:topLinePunct/>
        <w:autoSpaceDE/>
        <w:autoSpaceDN/>
        <w:bidi w:val="0"/>
        <w:spacing w:after="0" w:line="580" w:lineRule="exact"/>
        <w:ind w:right="0" w:rightChars="0" w:firstLine="643" w:firstLineChars="200"/>
        <w:jc w:val="both"/>
        <w:textAlignment w:val="auto"/>
        <w:outlineLvl w:val="9"/>
        <w:rPr>
          <w:rFonts w:hint="eastAsia" w:ascii="Times New Roman" w:hAnsi="Times New Roman" w:eastAsia="仿宋_GB2312" w:cs="Times New Roman"/>
          <w:b/>
          <w:bCs/>
          <w:color w:val="000000"/>
          <w:spacing w:val="0"/>
          <w:sz w:val="32"/>
          <w:szCs w:val="32"/>
        </w:rPr>
      </w:pPr>
      <w:r>
        <w:rPr>
          <w:rFonts w:hint="eastAsia" w:ascii="Times New Roman" w:hAnsi="Times New Roman" w:eastAsia="仿宋_GB2312" w:cs="Times New Roman"/>
          <w:b/>
          <w:bCs/>
          <w:color w:val="000000"/>
          <w:spacing w:val="0"/>
          <w:sz w:val="32"/>
          <w:szCs w:val="32"/>
          <w:lang w:eastAsia="zh-CN"/>
        </w:rPr>
        <w:t>（二）</w:t>
      </w:r>
      <w:r>
        <w:rPr>
          <w:rFonts w:hint="eastAsia" w:ascii="Times New Roman" w:hAnsi="Times New Roman" w:eastAsia="仿宋_GB2312" w:cs="Times New Roman"/>
          <w:b/>
          <w:bCs/>
          <w:color w:val="000000"/>
          <w:spacing w:val="0"/>
          <w:sz w:val="32"/>
          <w:szCs w:val="32"/>
        </w:rPr>
        <w:t>202</w:t>
      </w:r>
      <w:r>
        <w:rPr>
          <w:rFonts w:hint="eastAsia" w:ascii="Times New Roman" w:hAnsi="Times New Roman" w:eastAsia="仿宋_GB2312" w:cs="Times New Roman"/>
          <w:b/>
          <w:bCs/>
          <w:color w:val="000000"/>
          <w:spacing w:val="0"/>
          <w:sz w:val="32"/>
          <w:szCs w:val="32"/>
          <w:lang w:val="en-US" w:eastAsia="zh-CN"/>
        </w:rPr>
        <w:t>1</w:t>
      </w:r>
      <w:r>
        <w:rPr>
          <w:rFonts w:hint="eastAsia" w:ascii="Times New Roman" w:hAnsi="Times New Roman" w:eastAsia="仿宋_GB2312" w:cs="Times New Roman"/>
          <w:b/>
          <w:bCs/>
          <w:color w:val="000000"/>
          <w:spacing w:val="0"/>
          <w:sz w:val="32"/>
          <w:szCs w:val="32"/>
        </w:rPr>
        <w:t>年度收支决算情况</w:t>
      </w:r>
    </w:p>
    <w:p>
      <w:pPr>
        <w:keepNext w:val="0"/>
        <w:keepLines w:val="0"/>
        <w:pageBreakBefore w:val="0"/>
        <w:widowControl w:val="0"/>
        <w:kinsoku/>
        <w:wordWrap/>
        <w:overflowPunct w:val="0"/>
        <w:topLinePunct/>
        <w:autoSpaceDE/>
        <w:autoSpaceDN/>
        <w:bidi w:val="0"/>
        <w:spacing w:after="0" w:line="580" w:lineRule="exact"/>
        <w:ind w:right="0" w:rightChars="0" w:firstLine="640" w:firstLineChars="200"/>
        <w:jc w:val="both"/>
        <w:textAlignment w:val="auto"/>
        <w:outlineLvl w:val="9"/>
        <w:rPr>
          <w:rFonts w:hint="default" w:ascii="Times New Roman" w:hAnsi="Times New Roman" w:eastAsia="仿宋_GB2312" w:cs="Times New Roman"/>
          <w:color w:val="000000"/>
          <w:spacing w:val="0"/>
          <w:sz w:val="32"/>
          <w:szCs w:val="32"/>
          <w:lang w:val="en-US" w:eastAsia="zh-CN"/>
        </w:rPr>
      </w:pPr>
      <w:r>
        <w:rPr>
          <w:rFonts w:hint="eastAsia" w:ascii="Times New Roman" w:hAnsi="Times New Roman" w:eastAsia="仿宋_GB2312" w:cs="Times New Roman"/>
          <w:color w:val="000000"/>
          <w:spacing w:val="0"/>
          <w:sz w:val="32"/>
          <w:szCs w:val="32"/>
          <w:lang w:val="en-US" w:eastAsia="zh-CN"/>
        </w:rPr>
        <w:t>2021年，管委会办公室2021年度共支出7993.51万元。基本经支出1747.16万元，支出率100%（兰州新区2021年新区机关工作人员伙食补助等未纳入基本预算）。项目支出6246.35万元，支出率99.6%。</w:t>
      </w:r>
    </w:p>
    <w:p>
      <w:pPr>
        <w:keepNext w:val="0"/>
        <w:keepLines w:val="0"/>
        <w:pageBreakBefore w:val="0"/>
        <w:widowControl w:val="0"/>
        <w:kinsoku/>
        <w:wordWrap/>
        <w:overflowPunct w:val="0"/>
        <w:topLinePunct/>
        <w:autoSpaceDE/>
        <w:autoSpaceDN/>
        <w:bidi w:val="0"/>
        <w:spacing w:after="0" w:line="580" w:lineRule="exact"/>
        <w:ind w:right="0" w:rightChars="0" w:firstLine="640" w:firstLineChars="200"/>
        <w:jc w:val="both"/>
        <w:textAlignment w:val="auto"/>
        <w:outlineLvl w:val="9"/>
        <w:rPr>
          <w:rFonts w:hint="default" w:ascii="Times New Roman" w:hAnsi="Times New Roman" w:eastAsia="仿宋_GB2312" w:cs="Times New Roman"/>
          <w:color w:val="000000"/>
          <w:spacing w:val="0"/>
          <w:sz w:val="32"/>
          <w:szCs w:val="32"/>
          <w:lang w:val="en-US" w:eastAsia="zh-CN"/>
        </w:rPr>
      </w:pPr>
      <w:r>
        <w:rPr>
          <w:rFonts w:hint="eastAsia" w:ascii="黑体" w:hAnsi="黑体" w:eastAsia="黑体" w:cs="黑体"/>
          <w:color w:val="000000"/>
          <w:spacing w:val="0"/>
          <w:sz w:val="32"/>
          <w:szCs w:val="32"/>
          <w:lang w:eastAsia="zh-CN"/>
        </w:rPr>
        <w:t>四、部门预算项目支出绩效自评情况分析</w:t>
      </w:r>
    </w:p>
    <w:p>
      <w:pPr>
        <w:keepNext w:val="0"/>
        <w:keepLines w:val="0"/>
        <w:pageBreakBefore w:val="0"/>
        <w:widowControl w:val="0"/>
        <w:kinsoku/>
        <w:wordWrap/>
        <w:overflowPunct w:val="0"/>
        <w:topLinePunct/>
        <w:autoSpaceDE/>
        <w:autoSpaceDN/>
        <w:bidi w:val="0"/>
        <w:spacing w:after="0" w:line="580" w:lineRule="exact"/>
        <w:ind w:right="0" w:rightChars="0" w:firstLine="640"/>
        <w:jc w:val="both"/>
        <w:textAlignment w:val="auto"/>
        <w:outlineLvl w:val="9"/>
        <w:rPr>
          <w:rFonts w:hint="eastAsia" w:ascii="Times New Roman" w:hAnsi="Times New Roman" w:eastAsia="仿宋_GB2312" w:cs="Times New Roman"/>
          <w:color w:val="000000"/>
          <w:spacing w:val="0"/>
          <w:sz w:val="32"/>
          <w:szCs w:val="32"/>
          <w:lang w:val="en-US" w:eastAsia="zh-CN"/>
        </w:rPr>
      </w:pPr>
      <w:r>
        <w:rPr>
          <w:rFonts w:hint="eastAsia" w:ascii="Times New Roman" w:hAnsi="Times New Roman" w:eastAsia="仿宋_GB2312" w:cs="Times New Roman"/>
          <w:color w:val="000000"/>
          <w:spacing w:val="0"/>
          <w:sz w:val="32"/>
          <w:szCs w:val="32"/>
          <w:lang w:val="en-US" w:eastAsia="zh-CN"/>
        </w:rPr>
        <w:t>通过绩效自评，2021管委会办公室部门项目绩效目标完成为99%，项目实施和绩效目标吻合，实现了履职效益提升，预算配置科学，预算执行有效，预算管理规范的设定目标。其中：春节慰问费、彩虹城租赁及运行费、中川商务中心租赁及运行费、公租房租赁及运行费、机关食堂运行费、雅苑周转房运行费、招商引资工作经费、文书档案扫描费用、支出执行到位，支出率均达到100%以上。2021年管委会办公室文件印刷费经费支出未执行到位：由于文件印制收费标准降低，加之新区公文处理协同办公系统全面上线运行，文件印刷数量减少，故2021年文件印刷费预算结余。</w:t>
      </w:r>
    </w:p>
    <w:p>
      <w:pPr>
        <w:keepNext w:val="0"/>
        <w:keepLines w:val="0"/>
        <w:pageBreakBefore w:val="0"/>
        <w:widowControl w:val="0"/>
        <w:numPr>
          <w:ilvl w:val="0"/>
          <w:numId w:val="0"/>
        </w:numPr>
        <w:kinsoku/>
        <w:wordWrap/>
        <w:overflowPunct w:val="0"/>
        <w:topLinePunct/>
        <w:autoSpaceDE/>
        <w:autoSpaceDN/>
        <w:bidi w:val="0"/>
        <w:spacing w:after="0" w:line="580" w:lineRule="exact"/>
        <w:ind w:right="0" w:rightChars="0" w:firstLine="640" w:firstLineChars="200"/>
        <w:jc w:val="both"/>
        <w:textAlignment w:val="auto"/>
        <w:outlineLvl w:val="9"/>
        <w:rPr>
          <w:rFonts w:hint="eastAsia" w:ascii="Times New Roman" w:hAnsi="Times New Roman" w:eastAsia="仿宋_GB2312" w:cs="Times New Roman"/>
          <w:color w:val="000000"/>
          <w:spacing w:val="0"/>
          <w:sz w:val="32"/>
          <w:szCs w:val="32"/>
          <w:lang w:val="en-US" w:eastAsia="zh-CN"/>
        </w:rPr>
      </w:pPr>
      <w:r>
        <w:rPr>
          <w:rFonts w:hint="eastAsia" w:ascii="黑体" w:hAnsi="黑体" w:eastAsia="黑体" w:cs="黑体"/>
          <w:color w:val="000000"/>
          <w:spacing w:val="0"/>
          <w:sz w:val="32"/>
          <w:szCs w:val="32"/>
          <w:lang w:val="en-US" w:eastAsia="zh-CN"/>
        </w:rPr>
        <w:t>五、绩效自评结果拟应用和公开情况</w:t>
      </w:r>
    </w:p>
    <w:p>
      <w:pPr>
        <w:keepNext w:val="0"/>
        <w:keepLines w:val="0"/>
        <w:pageBreakBefore w:val="0"/>
        <w:widowControl w:val="0"/>
        <w:numPr>
          <w:ilvl w:val="0"/>
          <w:numId w:val="0"/>
        </w:numPr>
        <w:kinsoku/>
        <w:wordWrap/>
        <w:overflowPunct w:val="0"/>
        <w:topLinePunct/>
        <w:autoSpaceDE/>
        <w:autoSpaceDN/>
        <w:bidi w:val="0"/>
        <w:spacing w:after="0" w:line="580" w:lineRule="exact"/>
        <w:ind w:right="0" w:rightChars="0" w:firstLine="640"/>
        <w:jc w:val="both"/>
        <w:textAlignment w:val="auto"/>
        <w:outlineLvl w:val="9"/>
        <w:rPr>
          <w:rFonts w:hint="eastAsia" w:ascii="Times New Roman" w:hAnsi="Times New Roman" w:eastAsia="仿宋_GB2312" w:cs="Times New Roman"/>
          <w:color w:val="000000"/>
          <w:spacing w:val="0"/>
          <w:sz w:val="32"/>
          <w:szCs w:val="32"/>
          <w:lang w:val="en-US" w:eastAsia="zh-CN"/>
        </w:rPr>
      </w:pPr>
      <w:r>
        <w:rPr>
          <w:rFonts w:hint="eastAsia" w:ascii="Times New Roman" w:hAnsi="Times New Roman" w:eastAsia="仿宋_GB2312" w:cs="Times New Roman"/>
          <w:color w:val="000000"/>
          <w:spacing w:val="0"/>
          <w:sz w:val="32"/>
          <w:szCs w:val="32"/>
          <w:lang w:val="en-US" w:eastAsia="zh-CN"/>
        </w:rPr>
        <w:t>根据本次绩效自评工作的要求，开展预算绩效评价以来，管委会办公室对项目自评结果存在的偏差原因进行了分析总结，明确了改进措施，今后将强化财政预算资金管理，针对不同项目，设定不同的目标，定期开展预算执行绩效自评，使预算执行绩效的作用充分发挥。</w:t>
      </w:r>
    </w:p>
    <w:p>
      <w:pPr>
        <w:keepNext w:val="0"/>
        <w:keepLines w:val="0"/>
        <w:pageBreakBefore w:val="0"/>
        <w:widowControl w:val="0"/>
        <w:numPr>
          <w:ilvl w:val="0"/>
          <w:numId w:val="0"/>
        </w:numPr>
        <w:kinsoku/>
        <w:wordWrap/>
        <w:overflowPunct w:val="0"/>
        <w:topLinePunct/>
        <w:autoSpaceDE/>
        <w:autoSpaceDN/>
        <w:bidi w:val="0"/>
        <w:spacing w:after="0" w:line="580" w:lineRule="exact"/>
        <w:ind w:right="0" w:rightChars="0" w:firstLine="640" w:firstLineChars="200"/>
        <w:jc w:val="both"/>
        <w:textAlignment w:val="auto"/>
        <w:outlineLvl w:val="9"/>
        <w:rPr>
          <w:rFonts w:hint="eastAsia" w:ascii="黑体" w:hAnsi="黑体" w:eastAsia="黑体" w:cs="黑体"/>
          <w:color w:val="000000"/>
          <w:spacing w:val="0"/>
          <w:sz w:val="32"/>
          <w:szCs w:val="32"/>
          <w:lang w:val="en-US" w:eastAsia="zh-CN"/>
        </w:rPr>
      </w:pPr>
      <w:r>
        <w:rPr>
          <w:rFonts w:hint="eastAsia" w:ascii="黑体" w:hAnsi="黑体" w:eastAsia="黑体" w:cs="黑体"/>
          <w:color w:val="000000"/>
          <w:spacing w:val="0"/>
          <w:sz w:val="32"/>
          <w:szCs w:val="32"/>
          <w:lang w:val="en-US" w:eastAsia="zh-CN"/>
        </w:rPr>
        <w:t>六、其他需要说明的问题</w:t>
      </w:r>
    </w:p>
    <w:p>
      <w:pPr>
        <w:keepNext w:val="0"/>
        <w:keepLines w:val="0"/>
        <w:pageBreakBefore w:val="0"/>
        <w:widowControl w:val="0"/>
        <w:numPr>
          <w:ilvl w:val="0"/>
          <w:numId w:val="0"/>
        </w:numPr>
        <w:kinsoku/>
        <w:wordWrap/>
        <w:overflowPunct w:val="0"/>
        <w:topLinePunct/>
        <w:autoSpaceDE/>
        <w:autoSpaceDN/>
        <w:bidi w:val="0"/>
        <w:spacing w:after="0" w:line="580" w:lineRule="exact"/>
        <w:ind w:right="0" w:rightChars="0" w:firstLine="640"/>
        <w:jc w:val="both"/>
        <w:textAlignment w:val="auto"/>
        <w:outlineLvl w:val="9"/>
        <w:rPr>
          <w:rFonts w:hint="default" w:ascii="Times New Roman" w:hAnsi="Times New Roman" w:eastAsia="仿宋_GB2312" w:cs="Times New Roman"/>
          <w:color w:val="000000"/>
          <w:spacing w:val="0"/>
          <w:sz w:val="32"/>
          <w:szCs w:val="32"/>
          <w:lang w:val="en-US" w:eastAsia="zh-CN"/>
        </w:rPr>
      </w:pPr>
      <w:r>
        <w:rPr>
          <w:rFonts w:hint="eastAsia" w:ascii="Times New Roman" w:hAnsi="Times New Roman" w:eastAsia="仿宋_GB2312" w:cs="Times New Roman"/>
          <w:color w:val="000000"/>
          <w:spacing w:val="0"/>
          <w:sz w:val="32"/>
          <w:szCs w:val="32"/>
          <w:lang w:val="en-US" w:eastAsia="zh-CN"/>
        </w:rPr>
        <w:t>无。</w:t>
      </w:r>
    </w:p>
    <w:p>
      <w:pPr>
        <w:keepNext w:val="0"/>
        <w:keepLines w:val="0"/>
        <w:pageBreakBefore w:val="0"/>
        <w:widowControl w:val="0"/>
        <w:kinsoku/>
        <w:wordWrap/>
        <w:overflowPunct w:val="0"/>
        <w:topLinePunct/>
        <w:autoSpaceDE/>
        <w:autoSpaceDN/>
        <w:bidi w:val="0"/>
        <w:spacing w:after="0" w:line="580" w:lineRule="exact"/>
        <w:ind w:right="0" w:rightChars="0"/>
        <w:jc w:val="both"/>
        <w:textAlignment w:val="auto"/>
        <w:outlineLvl w:val="9"/>
      </w:pPr>
      <w:r>
        <w:rPr>
          <w:rFonts w:hint="eastAsia" w:ascii="Times New Roman" w:hAnsi="Times New Roman" w:eastAsia="仿宋_GB2312" w:cs="Times New Roman"/>
          <w:color w:val="000000"/>
          <w:spacing w:val="0"/>
          <w:sz w:val="32"/>
          <w:szCs w:val="32"/>
          <w:lang w:val="en-US" w:eastAsia="zh-CN"/>
        </w:rPr>
        <w:t xml:space="preserve">   </w:t>
      </w:r>
    </w:p>
    <w:p>
      <w:pPr>
        <w:rPr>
          <w:rFonts w:hint="eastAsia"/>
          <w:lang w:val="en-US" w:eastAsia="zh-CN"/>
        </w:rPr>
      </w:pPr>
      <w:r>
        <w:rPr>
          <w:rFonts w:hint="eastAsia"/>
          <w:lang w:val="en-US" w:eastAsia="zh-CN"/>
        </w:rPr>
        <w:t xml:space="preserve">  </w:t>
      </w:r>
    </w:p>
    <w:p>
      <w:pPr>
        <w:pStyle w:val="2"/>
        <w:rPr>
          <w:rFonts w:hint="eastAsia"/>
          <w:lang w:val="en-US" w:eastAsia="zh-CN"/>
        </w:rPr>
      </w:pPr>
    </w:p>
    <w:p>
      <w:pPr>
        <w:pStyle w:val="8"/>
        <w:keepNext w:val="0"/>
        <w:keepLines w:val="0"/>
        <w:pageBreakBefore w:val="0"/>
        <w:widowControl w:val="0"/>
        <w:kinsoku/>
        <w:wordWrap/>
        <w:overflowPunct/>
        <w:topLinePunct w:val="0"/>
        <w:autoSpaceDE/>
        <w:autoSpaceDN/>
        <w:bidi w:val="0"/>
        <w:adjustRightInd/>
        <w:snapToGrid/>
        <w:spacing w:line="600" w:lineRule="exact"/>
        <w:ind w:left="0" w:leftChars="0" w:firstLine="2937" w:firstLineChars="918"/>
        <w:jc w:val="center"/>
        <w:textAlignment w:val="auto"/>
        <w:rPr>
          <w:rFonts w:hint="default" w:ascii="Times New Roman" w:hAnsi="Times New Roman" w:cs="Times New Roman"/>
          <w:kern w:val="2"/>
          <w:sz w:val="32"/>
          <w:szCs w:val="32"/>
          <w:lang w:val="en-US" w:eastAsia="zh-CN" w:bidi="ar-SA"/>
        </w:rPr>
      </w:pPr>
      <w:r>
        <w:rPr>
          <w:rFonts w:hint="eastAsia" w:ascii="Times New Roman" w:hAnsi="Times New Roman" w:cs="Times New Roman"/>
          <w:kern w:val="2"/>
          <w:sz w:val="32"/>
          <w:szCs w:val="32"/>
          <w:lang w:val="en-US" w:eastAsia="zh-CN" w:bidi="ar-SA"/>
        </w:rPr>
        <w:t xml:space="preserve">          </w:t>
      </w:r>
      <w:r>
        <w:rPr>
          <w:rFonts w:hint="default" w:ascii="Times New Roman" w:hAnsi="Times New Roman" w:cs="Times New Roman"/>
          <w:kern w:val="2"/>
          <w:sz w:val="32"/>
          <w:szCs w:val="32"/>
          <w:lang w:val="en-US" w:eastAsia="zh-CN" w:bidi="ar-SA"/>
        </w:rPr>
        <w:t>兰州新区</w:t>
      </w:r>
      <w:r>
        <w:rPr>
          <w:rFonts w:hint="eastAsia" w:ascii="Times New Roman" w:hAnsi="Times New Roman" w:cs="Times New Roman"/>
          <w:kern w:val="2"/>
          <w:sz w:val="32"/>
          <w:szCs w:val="32"/>
          <w:lang w:val="en-US" w:eastAsia="zh-CN" w:bidi="ar-SA"/>
        </w:rPr>
        <w:t>管委会办公室</w:t>
      </w:r>
    </w:p>
    <w:p>
      <w:pPr>
        <w:pStyle w:val="8"/>
        <w:keepNext w:val="0"/>
        <w:keepLines w:val="0"/>
        <w:pageBreakBefore w:val="0"/>
        <w:widowControl w:val="0"/>
        <w:kinsoku/>
        <w:wordWrap/>
        <w:overflowPunct/>
        <w:topLinePunct w:val="0"/>
        <w:autoSpaceDE/>
        <w:autoSpaceDN/>
        <w:bidi w:val="0"/>
        <w:adjustRightInd/>
        <w:snapToGrid/>
        <w:spacing w:line="600" w:lineRule="exact"/>
        <w:ind w:left="0" w:leftChars="0" w:firstLine="2937" w:firstLineChars="918"/>
        <w:jc w:val="center"/>
        <w:textAlignment w:val="auto"/>
        <w:rPr>
          <w:rFonts w:hint="default" w:ascii="Times New Roman" w:hAnsi="Times New Roman" w:cs="Times New Roman"/>
          <w:kern w:val="2"/>
          <w:sz w:val="32"/>
          <w:szCs w:val="32"/>
          <w:lang w:val="en-US" w:eastAsia="zh-CN" w:bidi="ar-SA"/>
        </w:rPr>
      </w:pPr>
      <w:r>
        <w:rPr>
          <w:rFonts w:hint="eastAsia" w:ascii="Times New Roman" w:hAnsi="Times New Roman" w:cs="Times New Roman"/>
          <w:kern w:val="2"/>
          <w:sz w:val="32"/>
          <w:szCs w:val="32"/>
          <w:lang w:val="en-US" w:eastAsia="zh-CN" w:bidi="ar-SA"/>
        </w:rPr>
        <w:t xml:space="preserve">             </w:t>
      </w:r>
      <w:bookmarkStart w:id="0" w:name="_GoBack"/>
      <w:bookmarkEnd w:id="0"/>
      <w:r>
        <w:rPr>
          <w:rFonts w:hint="default" w:ascii="Times New Roman" w:hAnsi="Times New Roman" w:cs="Times New Roman"/>
          <w:kern w:val="2"/>
          <w:sz w:val="32"/>
          <w:szCs w:val="32"/>
          <w:lang w:val="en-US" w:eastAsia="zh-CN" w:bidi="ar-SA"/>
        </w:rPr>
        <w:t>202</w:t>
      </w:r>
      <w:r>
        <w:rPr>
          <w:rFonts w:hint="eastAsia" w:ascii="Times New Roman" w:hAnsi="Times New Roman" w:cs="Times New Roman"/>
          <w:kern w:val="2"/>
          <w:sz w:val="32"/>
          <w:szCs w:val="32"/>
          <w:lang w:val="en-US" w:eastAsia="zh-CN" w:bidi="ar-SA"/>
        </w:rPr>
        <w:t>2</w:t>
      </w:r>
      <w:r>
        <w:rPr>
          <w:rFonts w:hint="default" w:ascii="Times New Roman" w:hAnsi="Times New Roman" w:cs="Times New Roman"/>
          <w:kern w:val="2"/>
          <w:sz w:val="32"/>
          <w:szCs w:val="32"/>
          <w:lang w:val="en-US" w:eastAsia="zh-CN" w:bidi="ar-SA"/>
        </w:rPr>
        <w:t>年</w:t>
      </w:r>
      <w:r>
        <w:rPr>
          <w:rFonts w:hint="eastAsia" w:ascii="Times New Roman" w:hAnsi="Times New Roman" w:cs="Times New Roman"/>
          <w:kern w:val="2"/>
          <w:sz w:val="32"/>
          <w:szCs w:val="32"/>
          <w:lang w:val="en-US" w:eastAsia="zh-CN" w:bidi="ar-SA"/>
        </w:rPr>
        <w:t>4</w:t>
      </w:r>
      <w:r>
        <w:rPr>
          <w:rFonts w:hint="default" w:ascii="Times New Roman" w:hAnsi="Times New Roman" w:cs="Times New Roman"/>
          <w:kern w:val="2"/>
          <w:sz w:val="32"/>
          <w:szCs w:val="32"/>
          <w:lang w:val="en-US" w:eastAsia="zh-CN" w:bidi="ar-SA"/>
        </w:rPr>
        <w:t>月</w:t>
      </w:r>
      <w:r>
        <w:rPr>
          <w:rFonts w:hint="eastAsia" w:ascii="Times New Roman" w:hAnsi="Times New Roman" w:cs="Times New Roman"/>
          <w:kern w:val="2"/>
          <w:sz w:val="32"/>
          <w:szCs w:val="32"/>
          <w:lang w:val="en-US" w:eastAsia="zh-CN" w:bidi="ar-SA"/>
        </w:rPr>
        <w:t>8</w:t>
      </w:r>
      <w:r>
        <w:rPr>
          <w:rFonts w:hint="default" w:ascii="Times New Roman" w:hAnsi="Times New Roman" w:cs="Times New Roman"/>
          <w:kern w:val="2"/>
          <w:sz w:val="32"/>
          <w:szCs w:val="32"/>
          <w:lang w:val="en-US" w:eastAsia="zh-CN" w:bidi="ar-SA"/>
        </w:rPr>
        <w:t>日</w:t>
      </w:r>
    </w:p>
    <w:p>
      <w:pPr>
        <w:pStyle w:val="2"/>
        <w:rPr>
          <w:rFonts w:hint="default"/>
          <w:lang w:val="en-US" w:eastAsia="zh-CN"/>
        </w:rPr>
      </w:pPr>
    </w:p>
    <w:sectPr>
      <w:headerReference r:id="rId3" w:type="default"/>
      <w:footerReference r:id="rId4" w:type="default"/>
      <w:pgSz w:w="11906" w:h="16838"/>
      <w:pgMar w:top="1497" w:right="1800" w:bottom="1497" w:left="1800" w:header="708" w:footer="709" w:gutter="0"/>
      <w:pgNumType w:fmt="decimal"/>
      <w:cols w:space="0" w:num="1"/>
      <w:rtlGutter w:val="0"/>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50"/>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embedRegular r:id="rId1" w:fontKey="{89613043-B5F6-4A1B-B1AA-D6FC81194302}"/>
  </w:font>
  <w:font w:name="Arial">
    <w:panose1 w:val="020B0604020202020204"/>
    <w:charset w:val="01"/>
    <w:family w:val="swiss"/>
    <w:pitch w:val="default"/>
    <w:sig w:usb0="00007A87" w:usb1="80000000" w:usb2="00000008" w:usb3="00000000" w:csb0="400001FF" w:csb1="FFFF0000"/>
    <w:embedRegular r:id="rId2" w:fontKey="{9F10A234-07AD-43E3-9DA5-AEE68769C23D}"/>
  </w:font>
  <w:font w:name="黑体">
    <w:panose1 w:val="02010600030101010101"/>
    <w:charset w:val="86"/>
    <w:family w:val="auto"/>
    <w:pitch w:val="default"/>
    <w:sig w:usb0="00000001" w:usb1="080E0000" w:usb2="00000000" w:usb3="00000000" w:csb0="00040000" w:csb1="00000000"/>
    <w:embedRegular r:id="rId3" w:fontKey="{C0B064E7-21E1-4963-8ACF-23A446E515B6}"/>
  </w:font>
  <w:font w:name="Courier New">
    <w:panose1 w:val="02070309020205020404"/>
    <w:charset w:val="01"/>
    <w:family w:val="modern"/>
    <w:pitch w:val="default"/>
    <w:sig w:usb0="00007A87" w:usb1="80000000" w:usb2="00000008" w:usb3="00000000" w:csb0="400001FF" w:csb1="FFFF0000"/>
    <w:embedRegular r:id="rId4" w:fontKey="{85980AB2-10AB-430E-A60A-70CCC1767E7A}"/>
  </w:font>
  <w:font w:name="Symbol">
    <w:altName w:val="Bookshelf Symbol 7"/>
    <w:panose1 w:val="05050102010706020507"/>
    <w:charset w:val="02"/>
    <w:family w:val="roman"/>
    <w:pitch w:val="default"/>
    <w:sig w:usb0="00000000" w:usb1="00000000" w:usb2="00000000" w:usb3="00000000" w:csb0="80000000" w:csb1="00000000"/>
    <w:embedRegular r:id="rId5" w:fontKey="{E6E7ACD1-853D-4548-8516-97D56EA6585A}"/>
  </w:font>
  <w:font w:name="Calibri">
    <w:panose1 w:val="020F0502020204030204"/>
    <w:charset w:val="00"/>
    <w:family w:val="swiss"/>
    <w:pitch w:val="default"/>
    <w:sig w:usb0="A00002EF" w:usb1="4000207B" w:usb2="00000000" w:usb3="00000000" w:csb0="2000009F" w:csb1="00000000"/>
    <w:embedRegular r:id="rId6" w:fontKey="{F30B81BF-5BE9-4C63-B786-E9141CB66BC3}"/>
  </w:font>
  <w:font w:name="Tahoma">
    <w:panose1 w:val="020B0604030504040204"/>
    <w:charset w:val="00"/>
    <w:family w:val="swiss"/>
    <w:pitch w:val="default"/>
    <w:sig w:usb0="61007A87" w:usb1="80000000" w:usb2="00000008" w:usb3="00000000" w:csb0="200101FF" w:csb1="20280000"/>
    <w:embedRegular r:id="rId7" w:fontKey="{1D26508F-00D3-4493-9DB9-6918AC9BD1D9}"/>
  </w:font>
  <w:font w:name="微软雅黑">
    <w:altName w:val="黑体"/>
    <w:panose1 w:val="020B0503020204020204"/>
    <w:charset w:val="86"/>
    <w:family w:val="swiss"/>
    <w:pitch w:val="default"/>
    <w:sig w:usb0="00000000" w:usb1="00000000" w:usb2="00000016" w:usb3="00000000" w:csb0="0004001F" w:csb1="00000000"/>
    <w:embedRegular r:id="rId8" w:fontKey="{0E4F81B9-3B22-473D-816D-4BA6E57EA6B1}"/>
  </w:font>
  <w:font w:name="方正大标宋简体">
    <w:panose1 w:val="03000509000000000000"/>
    <w:charset w:val="86"/>
    <w:family w:val="auto"/>
    <w:pitch w:val="default"/>
    <w:sig w:usb0="00000001" w:usb1="080E0000" w:usb2="00000000" w:usb3="00000000" w:csb0="00040001" w:csb1="00000000"/>
    <w:embedRegular r:id="rId9" w:fontKey="{AA384AE1-7B95-4131-B180-F79264658F0C}"/>
  </w:font>
  <w:font w:name="仿宋_GB2312">
    <w:panose1 w:val="02010609030101010101"/>
    <w:charset w:val="86"/>
    <w:family w:val="modern"/>
    <w:pitch w:val="default"/>
    <w:sig w:usb0="00000001" w:usb1="080E0000" w:usb2="00000000" w:usb3="00000000" w:csb0="00040000" w:csb1="00000000"/>
    <w:embedRegular r:id="rId10" w:fontKey="{A25CD0A8-8983-46FA-9CEB-61EFEF9619F2}"/>
  </w:font>
  <w:font w:name="Bookshelf Symbol 7">
    <w:panose1 w:val="05010101010101010101"/>
    <w:charset w:val="00"/>
    <w:family w:val="auto"/>
    <w:pitch w:val="default"/>
    <w:sig w:usb0="00000000" w:usb1="00000000" w:usb2="00000000" w:usb3="00000000" w:csb0="80000000" w:csb1="00000000"/>
    <w:embedRegular r:id="rId11" w:fontKey="{34B04DB2-D4BE-4B64-A6E2-CB3F768AE14F}"/>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微软雅黑"/>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3"/>
                      <w:rPr>
                        <w:rFonts w:hint="eastAsia" w:eastAsia="微软雅黑"/>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60"/>
  <w:embedTrueType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5521289"/>
    <w:rsid w:val="04136806"/>
    <w:rsid w:val="05521289"/>
    <w:rsid w:val="084F10DB"/>
    <w:rsid w:val="09215415"/>
    <w:rsid w:val="0BE27F3B"/>
    <w:rsid w:val="0C010DA1"/>
    <w:rsid w:val="0F2972C7"/>
    <w:rsid w:val="10BD1694"/>
    <w:rsid w:val="12134F8D"/>
    <w:rsid w:val="13FD6184"/>
    <w:rsid w:val="143A11AF"/>
    <w:rsid w:val="165A06AC"/>
    <w:rsid w:val="1AFE35BE"/>
    <w:rsid w:val="1B1F7285"/>
    <w:rsid w:val="1E16779A"/>
    <w:rsid w:val="1EDC6770"/>
    <w:rsid w:val="2133324B"/>
    <w:rsid w:val="227C2C41"/>
    <w:rsid w:val="2B450EFA"/>
    <w:rsid w:val="2DD57EB9"/>
    <w:rsid w:val="2FD77E28"/>
    <w:rsid w:val="31234C5B"/>
    <w:rsid w:val="31BE6B47"/>
    <w:rsid w:val="334A7C79"/>
    <w:rsid w:val="36EF562B"/>
    <w:rsid w:val="3D153D6D"/>
    <w:rsid w:val="3FFF02EF"/>
    <w:rsid w:val="48CB21DF"/>
    <w:rsid w:val="502A64E5"/>
    <w:rsid w:val="55A950C1"/>
    <w:rsid w:val="5ED02C54"/>
    <w:rsid w:val="5EFC3162"/>
    <w:rsid w:val="5EFC4072"/>
    <w:rsid w:val="63825EC6"/>
    <w:rsid w:val="63CA6F45"/>
    <w:rsid w:val="66924129"/>
    <w:rsid w:val="713D5F78"/>
    <w:rsid w:val="76E34579"/>
    <w:rsid w:val="77795159"/>
    <w:rsid w:val="785F05E8"/>
    <w:rsid w:val="7B60751C"/>
    <w:rsid w:val="7E302D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semiHidden/>
    <w:unhideWhenUsed/>
    <w:qFormat/>
    <w:uiPriority w:val="99"/>
    <w:pPr>
      <w:spacing w:after="120"/>
    </w:pPr>
  </w:style>
  <w:style w:type="paragraph" w:styleId="3">
    <w:name w:val="footer"/>
    <w:basedOn w:val="1"/>
    <w:semiHidden/>
    <w:unhideWhenUsed/>
    <w:qFormat/>
    <w:uiPriority w:val="99"/>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
    </w:rPr>
  </w:style>
  <w:style w:type="paragraph" w:customStyle="1" w:styleId="8">
    <w:name w:val="样式1"/>
    <w:basedOn w:val="1"/>
    <w:qFormat/>
    <w:uiPriority w:val="0"/>
    <w:rPr>
      <w:rFonts w:ascii="Calibri" w:hAnsi="Calibri" w:eastAsia="仿宋_GB2312" w:cs="Times New Roman"/>
      <w:sz w:val="32"/>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2021-03-17T03:06:00Z</dcterms:created>
  <dc:creator>姗姗</dc:creator>
  <cp:lastModifiedBy>姗姗</cp:lastModifiedBy>
  <cp:lastPrinted>2022-04-15T09:02:00Z</cp:lastPrinted>
  <dcterms:modified xsi:type="dcterms:W3CDTF">2022-04-15T10:48:17Z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KSOSaveFontToCloudKey">
    <vt:lpwstr>710901876_embed</vt:lpwstr>
  </property>
</Properties>
</file>