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left="0" w:leftChars="0" w:firstLine="0" w:firstLineChars="0"/>
        <w:rPr>
          <w:rFonts w:hint="eastAsia" w:ascii="仿宋_GB2312" w:hAnsi="仿宋_GB2312" w:eastAsia="仿宋_GB2312" w:cs="仿宋_GB2312"/>
          <w:sz w:val="32"/>
          <w:szCs w:val="32"/>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兰州新区经济发展局（统计局）</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w:t>
      </w:r>
      <w:r>
        <w:rPr>
          <w:rFonts w:hint="eastAsia" w:ascii="方正小标宋_GBK" w:hAnsi="方正小标宋_GBK" w:eastAsia="方正小标宋_GBK" w:cs="方正小标宋_GBK"/>
          <w:sz w:val="44"/>
          <w:szCs w:val="44"/>
          <w:lang w:val="en-US" w:eastAsia="zh-CN"/>
        </w:rPr>
        <w:t>1</w:t>
      </w:r>
      <w:r>
        <w:rPr>
          <w:rFonts w:hint="eastAsia" w:ascii="方正小标宋_GBK" w:hAnsi="方正小标宋_GBK" w:eastAsia="方正小标宋_GBK" w:cs="方正小标宋_GBK"/>
          <w:sz w:val="44"/>
          <w:szCs w:val="44"/>
        </w:rPr>
        <w:t>年度部门预算执行情况自评报告</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960" w:firstLineChars="3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基本情况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（一）部门主要职责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1.拟订并组织实施新区国民经济和社会发展战略、中长期规划和年度计划；提出新区国民经济发展、优化重大经济结构的目标、政策和建议。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2.负责研究经济运行、总量平衡、经济安全等重大问题，提出相关政策建议，推动新区高质量发展；统筹协调新区各项改革事业。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3.负责新区重大项目和产业布局，提出全社会固定资产投资总规模。研究确定和管理重大建设项目，协调解决重大项目建设中的问题；负责新区项目建设的申报、审批、核准和备案。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推进新区经济结构战略性调整。组织拟定综合性产业政策，负责协调一、二、三产业发展的重大问题并衔接平衡相关发展规划和重大政策，做好与国民经济和社会发展规划、计划的衔接平衡；负责新区利用外资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sz w:val="32"/>
          <w:szCs w:val="32"/>
        </w:rPr>
        <w:t>5.推进可持续发展战略，负责节能减排的综合协调工作。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组织拟订并综合协调实施发展循环经济、资源节约和综合利用规划及政策措施，参与编制生态建设、环境保护规划。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6.研究提出新区城镇化发展、城市可持续发展等战略和重大政策并协调实施。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7.负责新区社会事业发展与国民经济发展的政策街接，组织拟定社会事业发展战略、总体规划，推进社会事业和公共服务体系建设。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8.组织拟订新区能源发展战略、规划和政策，提出相关体制改革建议，实施对石油、天然气、煤炭、电力等能源行业的管理。提出发展新能源和能源行业节能的政策措施。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9.负责新区工业和信息化工作，拟订并落实新区工业和信息化发展规划、政策和措施，协调解决循环经济发展中的重大问题。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10.负责新区工业企业生产、经营的安全监督管理工作，监督管理新区境内长输石油天然气管道设施保护。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11.负责新区的统计工作。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负责落实国家、省、市价格政策和改革任务，制定和实施新区重要商品和服务价格政策，提出新区价格调控目标，管理行政事业性收费，监测重点领域价格，组织成本调查、监审及价格听证，管理价格调节基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负责新区粮食、食糖、肉菜、食盐等重要消费品及应急储备物资的收储、轮换和日常管理。贯彻落实党中央和省委关于粮食和物资储备工作的方针政策和决策部署，承担粮食流通和物资储备体制改革工作。负责粮食流通行业监督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负责新区“放管服”改革、行政审批制度改革和政务服务工作。负责对国家、省、市下放、下达、转移和取消项目的跟踪、检查、落实工作；负责新区政务服务有关制度的设计和制定，并组织实施；负责政务服务中心的信息化管理、组织实施审批项目的网上申报、审批；负责受理中心服务对象及电话投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15.负责新区非公有制经济发展协调推进工作，承担兰州新区非公有制经济发展协调推进领导小</w:t>
      </w:r>
      <w:bookmarkStart w:id="0" w:name="_GoBack"/>
      <w:bookmarkEnd w:id="0"/>
      <w:r>
        <w:rPr>
          <w:rFonts w:hint="eastAsia" w:ascii="仿宋_GB2312" w:hAnsi="仿宋_GB2312" w:eastAsia="仿宋_GB2312" w:cs="仿宋_GB2312"/>
          <w:sz w:val="32"/>
          <w:szCs w:val="32"/>
        </w:rPr>
        <w:t>组办公室工作。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16.负责联系省兰州新区规划建设协调推进领导小组办公室。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17.负责协调新区铁路枢纽和民航建设相关工作。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18.负责电力、通讯行业管理。负责电网规划与国民经济总体规划衔接以及与各项规划的统筹衔接、项目核准及电网建设重大事项的协调和管理工作，协调解决重大项目建设供需电线路改迁和重建有关工作。负责电网与新区经济运行的配合工作以及电网保护管理工作，协调电网运行中可能引发大面积停电及危及公共安全的重大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19.完成新区党工委、管委会和上级业务部门交办的其他任务。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(二)内设机构及所属单位概况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兰州新区经济发展局（统计局）内设办公室、固定资产投资科、产业发展科、能源科、发展规划科、财政金融科（利用外资科）、价格管理科、综合核算科、产业统计科（普查调查科）,代管兰州新区政务服务中心、兰州新区利用外资项目管理办公室，核定工作人员70名。</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960" w:firstLineChars="3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二、绩效自评工作组织开展情况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兰州新区全面推进预算绩效管理实施办法(试行)》(新发〔2020〕33号)文件精神，为加快构建全方位、全过程、全覆盖的预算绩效管理体系，进一步提高财政资金的使用效益，推进全面实施预算绩效管理，规范财政资金的分配使用成立了兰州新区经济发展局（统计局）预算绩效管理工作领导小组下设于办公室，制定了《兰州新区经济发展局（统计局）预算绩效管理办法》。由办公室牵头，各科室配合完成各年度全口径预算资金绩效评价各项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320" w:firstLineChars="1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三、部门整体支出绩效自评情况分析</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（一）部门决算情况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2021年我单位财政拨款收入113646.16万元，决算收入 113646.16万元。</w:t>
      </w:r>
      <w:r>
        <w:rPr>
          <w:rFonts w:hint="eastAsia" w:ascii="仿宋_GB2312" w:hAnsi="仿宋_GB2312" w:eastAsia="仿宋_GB2312" w:cs="仿宋_GB2312"/>
          <w:sz w:val="32"/>
          <w:szCs w:val="32"/>
          <w:lang w:val="en-US" w:eastAsia="zh-CN"/>
        </w:rPr>
        <w:t>预决算收支一致，未出现差异。</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（二）总体绩效目标完成情况分析</w:t>
      </w:r>
    </w:p>
    <w:p>
      <w:pPr>
        <w:pStyle w:val="4"/>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2021年我局财政拨款预算收入113646.16万元，其中基本支出财政拨款收入1597.51万元，占财政拨款总收入的0.01%；项目支出财政拨款收入</w:t>
      </w:r>
      <w:r>
        <w:rPr>
          <w:rFonts w:hint="eastAsia" w:ascii="仿宋_GB2312" w:hAnsi="仿宋" w:eastAsia="仿宋_GB2312" w:cs="Times New Roman"/>
          <w:sz w:val="32"/>
          <w:szCs w:val="32"/>
          <w:lang w:val="en-US" w:eastAsia="zh-CN"/>
        </w:rPr>
        <w:t>112048.65</w:t>
      </w:r>
      <w:r>
        <w:rPr>
          <w:rFonts w:hint="eastAsia" w:ascii="仿宋_GB2312" w:hAnsi="仿宋_GB2312" w:eastAsia="仿宋_GB2312" w:cs="仿宋_GB2312"/>
          <w:sz w:val="32"/>
          <w:szCs w:val="32"/>
          <w:lang w:val="en-US" w:eastAsia="zh-CN"/>
        </w:rPr>
        <w:t>万元，占财政拨款总支出的99.99%。</w:t>
      </w:r>
    </w:p>
    <w:p>
      <w:pPr>
        <w:pStyle w:val="4"/>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 w:eastAsia="仿宋_GB2312" w:cs="Times New Roman"/>
          <w:sz w:val="32"/>
          <w:szCs w:val="32"/>
          <w:lang w:val="en-US" w:eastAsia="zh-CN"/>
        </w:rPr>
      </w:pPr>
      <w:r>
        <w:rPr>
          <w:rFonts w:hint="eastAsia" w:ascii="仿宋_GB2312" w:hAnsi="仿宋_GB2312" w:eastAsia="仿宋_GB2312" w:cs="仿宋_GB2312"/>
          <w:sz w:val="32"/>
          <w:szCs w:val="32"/>
          <w:lang w:val="en-US" w:eastAsia="zh-CN"/>
        </w:rPr>
        <w:t>2021年我局财政拨款预算支出112700.32万元，预算执行率99%。其中，</w:t>
      </w:r>
      <w:r>
        <w:rPr>
          <w:rFonts w:hint="eastAsia" w:ascii="仿宋_GB2312" w:hAnsi="仿宋" w:eastAsia="仿宋_GB2312" w:cs="Times New Roman"/>
          <w:sz w:val="32"/>
          <w:szCs w:val="32"/>
          <w:lang w:val="en-US" w:eastAsia="zh-CN"/>
        </w:rPr>
        <w:t>基本支出财政拨款支出</w:t>
      </w:r>
      <w:r>
        <w:rPr>
          <w:rFonts w:hint="eastAsia" w:ascii="仿宋_GB2312" w:hAnsi="仿宋_GB2312" w:eastAsia="仿宋_GB2312" w:cs="仿宋_GB2312"/>
          <w:sz w:val="32"/>
          <w:szCs w:val="32"/>
          <w:lang w:val="en-US" w:eastAsia="zh-CN"/>
        </w:rPr>
        <w:t>1597.51万元，预算执行率100%；</w:t>
      </w:r>
      <w:r>
        <w:rPr>
          <w:rFonts w:hint="eastAsia" w:ascii="仿宋_GB2312" w:hAnsi="仿宋" w:eastAsia="仿宋_GB2312" w:cs="Times New Roman"/>
          <w:sz w:val="32"/>
          <w:szCs w:val="32"/>
          <w:lang w:val="en-US" w:eastAsia="zh-CN"/>
        </w:rPr>
        <w:t>项目支出财政拨款支出111773.65万元，预算执行率99%。</w:t>
      </w:r>
    </w:p>
    <w:p>
      <w:pPr>
        <w:pStyle w:val="4"/>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各项指标完成情况分析</w:t>
      </w:r>
    </w:p>
    <w:p>
      <w:pPr>
        <w:pStyle w:val="4"/>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 w:eastAsia="仿宋_GB2312" w:cs="Times New Roman"/>
          <w:sz w:val="32"/>
          <w:szCs w:val="32"/>
          <w:lang w:val="en-US" w:eastAsia="zh-CN"/>
        </w:rPr>
        <w:t xml:space="preserve"> </w:t>
      </w:r>
      <w:r>
        <w:rPr>
          <w:rFonts w:hint="eastAsia" w:ascii="仿宋_GB2312" w:hAnsi="仿宋_GB2312" w:eastAsia="仿宋_GB2312" w:cs="仿宋_GB2312"/>
          <w:sz w:val="32"/>
          <w:szCs w:val="32"/>
          <w:lang w:val="en-US" w:eastAsia="zh-CN"/>
        </w:rPr>
        <w:t>2021年我局财政拨款预算收入113646.16万元，其中基本支出财政拨款收入1597.51万元，项目支出财政拨款收入</w:t>
      </w:r>
      <w:r>
        <w:rPr>
          <w:rFonts w:hint="eastAsia" w:ascii="仿宋_GB2312" w:hAnsi="仿宋" w:eastAsia="仿宋_GB2312" w:cs="Times New Roman"/>
          <w:sz w:val="32"/>
          <w:szCs w:val="32"/>
          <w:lang w:val="en-US" w:eastAsia="zh-CN"/>
        </w:rPr>
        <w:t>111773.65</w:t>
      </w:r>
      <w:r>
        <w:rPr>
          <w:rFonts w:hint="eastAsia" w:ascii="仿宋_GB2312" w:hAnsi="仿宋_GB2312" w:eastAsia="仿宋_GB2312" w:cs="仿宋_GB2312"/>
          <w:sz w:val="32"/>
          <w:szCs w:val="32"/>
          <w:lang w:val="en-US" w:eastAsia="zh-CN"/>
        </w:rPr>
        <w:t>万元。截止2021年12月31日，基本支出预算资金全额支出，项目预算支出111102.81万元，结转使用275万元。</w:t>
      </w:r>
    </w:p>
    <w:p>
      <w:pPr>
        <w:pStyle w:val="4"/>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仿宋_GB2312" w:hAnsi="仿宋" w:eastAsia="仿宋_GB2312" w:cs="Times New Roman"/>
          <w:sz w:val="32"/>
          <w:szCs w:val="32"/>
          <w:lang w:val="en-US" w:eastAsia="zh-CN"/>
        </w:rPr>
      </w:pPr>
      <w:r>
        <w:rPr>
          <w:rFonts w:hint="eastAsia" w:ascii="仿宋_GB2312" w:hAnsi="仿宋_GB2312" w:eastAsia="仿宋_GB2312" w:cs="仿宋_GB2312"/>
          <w:sz w:val="32"/>
          <w:szCs w:val="32"/>
          <w:lang w:val="en-US" w:eastAsia="zh-CN"/>
        </w:rPr>
        <w:t>偏离绩效目标的原因及下一步改进措施</w:t>
      </w:r>
    </w:p>
    <w:p>
      <w:pPr>
        <w:pStyle w:val="4"/>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eastAsia="仿宋_GB2312"/>
          <w:sz w:val="32"/>
          <w:szCs w:val="32"/>
        </w:rPr>
      </w:pPr>
      <w:r>
        <w:rPr>
          <w:rFonts w:hint="eastAsia" w:ascii="仿宋_GB2312" w:hAnsi="仿宋" w:eastAsia="仿宋_GB2312" w:cs="Times New Roman"/>
          <w:sz w:val="32"/>
          <w:szCs w:val="32"/>
          <w:lang w:val="en-US" w:eastAsia="zh-CN"/>
        </w:rPr>
        <w:t>2021年项目预算资金未能百分之百支出的原因是按照项目实施合同约定，付款期限在2021年12月底至2022年1月期间，为确保各项资金按期完成支付，申请将上述资金结转至2022年使用。</w:t>
      </w:r>
      <w:r>
        <w:rPr>
          <w:rFonts w:hint="eastAsia" w:ascii="仿宋_GB2312" w:eastAsia="仿宋_GB2312"/>
          <w:sz w:val="32"/>
          <w:szCs w:val="32"/>
        </w:rPr>
        <w:t>为更好开展推广预算绩效管理，完善预算绩效程序，下步整改措施如下：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一是</w:t>
      </w:r>
      <w:r>
        <w:rPr>
          <w:rFonts w:hint="eastAsia" w:ascii="仿宋_GB2312" w:eastAsia="仿宋_GB2312"/>
          <w:sz w:val="32"/>
          <w:szCs w:val="32"/>
        </w:rPr>
        <w:t>加强组织领导，强化绩效理念，制定相对应的领导责任制，牢固树立绩效意识，加强预算绩效管理，充实预算绩效管理人员，督促指导相关政策措施落实。</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二是</w:t>
      </w:r>
      <w:r>
        <w:rPr>
          <w:rFonts w:hint="eastAsia" w:ascii="仿宋_GB2312" w:eastAsia="仿宋_GB2312"/>
          <w:sz w:val="32"/>
          <w:szCs w:val="32"/>
        </w:rPr>
        <w:t>抓好预算绩效重点环节，在预算编制环节突出绩效导向，强化对重大项目事前事后的评估，进一步提高预算编制的科学性和准确性。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三是</w:t>
      </w:r>
      <w:r>
        <w:rPr>
          <w:rFonts w:hint="eastAsia" w:ascii="仿宋_GB2312" w:eastAsia="仿宋_GB2312"/>
          <w:sz w:val="32"/>
          <w:szCs w:val="32"/>
        </w:rPr>
        <w:t>在预算执行环节中加强绩效监控，推行“谁支出、谁负责”的原则、绩效目标实现程度和预算执行进度实行“双监控”，及时做好预算绩效问题的动态纠正。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Times New Roman"/>
          <w:kern w:val="2"/>
          <w:sz w:val="32"/>
          <w:szCs w:val="32"/>
          <w:lang w:val="en-US" w:eastAsia="zh-CN" w:bidi="ar-SA"/>
        </w:rPr>
      </w:pPr>
      <w:r>
        <w:rPr>
          <w:rFonts w:hint="eastAsia" w:ascii="仿宋_GB2312" w:eastAsia="仿宋_GB2312"/>
          <w:sz w:val="32"/>
          <w:szCs w:val="32"/>
          <w:lang w:eastAsia="zh-CN"/>
        </w:rPr>
        <w:t>四是</w:t>
      </w:r>
      <w:r>
        <w:rPr>
          <w:rFonts w:hint="eastAsia" w:ascii="仿宋_GB2312" w:eastAsia="仿宋_GB2312"/>
          <w:sz w:val="32"/>
          <w:szCs w:val="32"/>
        </w:rPr>
        <w:t>加大项目跟踪机制，督促项目完成进度，确保项目</w:t>
      </w:r>
      <w:r>
        <w:rPr>
          <w:rFonts w:hint="eastAsia" w:ascii="仿宋_GB2312" w:hAnsi="仿宋" w:eastAsia="仿宋_GB2312" w:cs="Times New Roman"/>
          <w:kern w:val="2"/>
          <w:sz w:val="32"/>
          <w:szCs w:val="32"/>
          <w:lang w:val="en-US" w:eastAsia="zh-CN" w:bidi="ar-SA"/>
        </w:rPr>
        <w:t>达到绩效目标。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320" w:firstLineChars="1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四、部门预算项目支出绩效自评情况分析及偏差原因分析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2021年，本部门预算支出项目58个项目，当年财政拨款113646.16万元，全年支出113371.16万元，预算执行率99%。通过自评，有52个项目结果为“优”，2个项目结果为“良”，2个项目结果为“中”。分项目自评情况分析如下：</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Style w:val="10"/>
          <w:rFonts w:hint="eastAsia" w:ascii="仿宋_GB2312" w:hAnsi="仿宋_GB2312" w:eastAsia="仿宋_GB2312" w:cs="仿宋_GB2312"/>
          <w:sz w:val="32"/>
          <w:szCs w:val="32"/>
          <w:lang w:val="en-US" w:eastAsia="zh-CN"/>
        </w:rPr>
        <w:t>兰州新区救灾物资储备库运营管理服务项目</w:t>
      </w:r>
      <w:r>
        <w:rPr>
          <w:rStyle w:val="10"/>
          <w:rFonts w:hint="eastAsia" w:cs="仿宋_GB2312"/>
          <w:sz w:val="32"/>
          <w:szCs w:val="32"/>
          <w:lang w:val="en-US" w:eastAsia="zh-CN"/>
        </w:rPr>
        <w:t>：该项目预算支出执行率100%；2021年度兰州新区救灾物资储备库整体运行维护良好，符合管理要求和标准。各项指标综合自评结果“优”。</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兰州新区供应链服务平台开发及运行</w:t>
      </w:r>
      <w:r>
        <w:rPr>
          <w:rFonts w:hint="eastAsia"/>
          <w:lang w:val="en-US" w:eastAsia="zh-CN"/>
        </w:rPr>
        <w:t>项目：</w:t>
      </w:r>
      <w:r>
        <w:rPr>
          <w:rStyle w:val="10"/>
          <w:rFonts w:hint="eastAsia" w:cs="仿宋_GB2312"/>
          <w:sz w:val="32"/>
          <w:szCs w:val="32"/>
          <w:lang w:val="en-US" w:eastAsia="zh-CN"/>
        </w:rPr>
        <w:t>该项目预算支出执行率100%；2021年</w:t>
      </w:r>
      <w:r>
        <w:rPr>
          <w:rFonts w:hint="default"/>
          <w:lang w:val="en-US" w:eastAsia="zh-CN"/>
        </w:rPr>
        <w:t>兰州新区供应链服务平台开发及运行</w:t>
      </w:r>
      <w:r>
        <w:rPr>
          <w:rFonts w:hint="eastAsia"/>
          <w:lang w:val="en-US" w:eastAsia="zh-CN"/>
        </w:rPr>
        <w:t>项目整体完成情况良好，受疫情影响项目社会效益未得到充分发挥。各项指标综合自评结果“优”，其中社会效益指标自评结果“良”。</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政务中心日常运转</w:t>
      </w:r>
      <w:r>
        <w:rPr>
          <w:rFonts w:hint="eastAsia"/>
          <w:lang w:val="en-US" w:eastAsia="zh-CN"/>
        </w:rPr>
        <w:t>项目：</w:t>
      </w:r>
      <w:r>
        <w:rPr>
          <w:rStyle w:val="10"/>
          <w:rFonts w:hint="eastAsia" w:cs="仿宋_GB2312"/>
          <w:sz w:val="32"/>
          <w:szCs w:val="32"/>
          <w:lang w:val="en-US" w:eastAsia="zh-CN"/>
        </w:rPr>
        <w:t>该项目预算支出执行率100%；2021年兰州新区政务服务中心运转正常，为打造优质营商环境加分，一定程度上提高了办事群众和企业的满意度。各项指标综合自评结果“优”。</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互联网租赁</w:t>
      </w:r>
      <w:r>
        <w:rPr>
          <w:rFonts w:hint="eastAsia"/>
          <w:lang w:val="en-US" w:eastAsia="zh-CN"/>
        </w:rPr>
        <w:t>项目：</w:t>
      </w:r>
      <w:r>
        <w:rPr>
          <w:rStyle w:val="10"/>
          <w:rFonts w:hint="eastAsia" w:cs="仿宋_GB2312"/>
          <w:sz w:val="32"/>
          <w:szCs w:val="32"/>
          <w:lang w:val="en-US" w:eastAsia="zh-CN"/>
        </w:rPr>
        <w:t>该项目预算支出执行率100%；2021年兰州新区政务服务中心互联网运行正常，各项业务、自助终端等正常运行。各项指标综合自评结果“优”。</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政务系统和政务专网链路使用费以及租用机房设备维护</w:t>
      </w:r>
      <w:r>
        <w:rPr>
          <w:rFonts w:hint="eastAsia"/>
          <w:lang w:val="en-US" w:eastAsia="zh-CN"/>
        </w:rPr>
        <w:t>项目：</w:t>
      </w:r>
      <w:r>
        <w:rPr>
          <w:rStyle w:val="10"/>
          <w:rFonts w:hint="eastAsia" w:cs="仿宋_GB2312"/>
          <w:sz w:val="32"/>
          <w:szCs w:val="32"/>
          <w:lang w:val="en-US" w:eastAsia="zh-CN"/>
        </w:rPr>
        <w:t>该项目预算支出执行率100%；2021年兰州新区政务服务中心互联网运行正常，各项业务、自助终端等正常运行。各项指标综合自评结果“优”。</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多式联运项目管理</w:t>
      </w:r>
      <w:r>
        <w:rPr>
          <w:rFonts w:hint="eastAsia"/>
          <w:lang w:val="en-US" w:eastAsia="zh-CN"/>
        </w:rPr>
        <w:t>项目：</w:t>
      </w:r>
      <w:r>
        <w:rPr>
          <w:rStyle w:val="10"/>
          <w:rFonts w:hint="eastAsia" w:cs="仿宋_GB2312"/>
          <w:sz w:val="32"/>
          <w:szCs w:val="32"/>
          <w:lang w:val="en-US" w:eastAsia="zh-CN"/>
        </w:rPr>
        <w:t>该项目预算支出执行率100%；2021年兰州新区政务服务中心互联网运行正常，各项业务、自助终端等正常运行。各项指标综合自评结果“良”。</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统计专网</w:t>
      </w:r>
      <w:r>
        <w:rPr>
          <w:rFonts w:hint="eastAsia"/>
          <w:lang w:val="en-US" w:eastAsia="zh-CN"/>
        </w:rPr>
        <w:t>租赁项目：</w:t>
      </w:r>
      <w:r>
        <w:rPr>
          <w:rStyle w:val="10"/>
          <w:rFonts w:hint="eastAsia" w:cs="仿宋_GB2312"/>
          <w:sz w:val="32"/>
          <w:szCs w:val="32"/>
          <w:lang w:val="en-US" w:eastAsia="zh-CN"/>
        </w:rPr>
        <w:t>该项目预算支出执行率100%；2021年兰州新区统计专网</w:t>
      </w:r>
      <w:r>
        <w:rPr>
          <w:rFonts w:hint="eastAsia"/>
          <w:lang w:val="en-US" w:eastAsia="zh-CN"/>
        </w:rPr>
        <w:t>安全畅通，有效防治了统计数据泄密。</w:t>
      </w:r>
      <w:r>
        <w:rPr>
          <w:rStyle w:val="10"/>
          <w:rFonts w:hint="eastAsia" w:cs="仿宋_GB2312"/>
          <w:sz w:val="32"/>
          <w:szCs w:val="32"/>
          <w:lang w:val="en-US" w:eastAsia="zh-CN"/>
        </w:rPr>
        <w:t>各项指标综合自评结果“优”。</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第七次全国人口普查</w:t>
      </w:r>
      <w:r>
        <w:rPr>
          <w:rFonts w:hint="eastAsia"/>
          <w:lang w:val="en-US" w:eastAsia="zh-CN"/>
        </w:rPr>
        <w:t>项目：</w:t>
      </w:r>
      <w:r>
        <w:rPr>
          <w:rStyle w:val="10"/>
          <w:rFonts w:hint="eastAsia" w:cs="仿宋_GB2312"/>
          <w:sz w:val="32"/>
          <w:szCs w:val="32"/>
          <w:lang w:val="en-US" w:eastAsia="zh-CN"/>
        </w:rPr>
        <w:t>该项目预算支出执行率0%；</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两项收入调查</w:t>
      </w:r>
      <w:r>
        <w:rPr>
          <w:rFonts w:hint="eastAsia"/>
          <w:lang w:val="en-US" w:eastAsia="zh-CN"/>
        </w:rPr>
        <w:t>项目：</w:t>
      </w:r>
      <w:r>
        <w:rPr>
          <w:rStyle w:val="10"/>
          <w:rFonts w:hint="eastAsia" w:cs="仿宋_GB2312"/>
          <w:sz w:val="32"/>
          <w:szCs w:val="32"/>
          <w:lang w:val="en-US" w:eastAsia="zh-CN"/>
        </w:rPr>
        <w:t>该项目预算支出执行率22%；2021年兰州新区两项收入调查项目国家抽中的100户记账户日记账数据采集，辅调员定期入户调查等各项工作，客观监测了新区城乡居民收入分配格局，更好的满足研究制定城乡统筹政策和民生政策的需要，为国民经济核算和居民消费价格指数权重制定提供了基础数据。项目整体综合自评结果“良”，除预算执行率自评结果“良”，其他各项指标自评结果“优”。</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基本单位名录库维护</w:t>
      </w:r>
      <w:r>
        <w:rPr>
          <w:rFonts w:hint="eastAsia"/>
          <w:lang w:val="en-US" w:eastAsia="zh-CN"/>
        </w:rPr>
        <w:t>项目：</w:t>
      </w:r>
      <w:r>
        <w:rPr>
          <w:rStyle w:val="10"/>
          <w:rFonts w:hint="eastAsia" w:cs="仿宋_GB2312"/>
          <w:sz w:val="32"/>
          <w:szCs w:val="32"/>
          <w:lang w:val="en-US" w:eastAsia="zh-CN"/>
        </w:rPr>
        <w:t>该项目预算支出执行率100%；</w:t>
      </w:r>
      <w:r>
        <w:rPr>
          <w:rFonts w:hint="eastAsia"/>
          <w:lang w:val="en-US" w:eastAsia="zh-CN"/>
        </w:rPr>
        <w:t>通过项目实施对兰州新区当年新注册登记企业按照国家制度要求进行了逐户核准或登记，及时更新了基本单位名录。</w:t>
      </w:r>
      <w:r>
        <w:rPr>
          <w:rStyle w:val="10"/>
          <w:rFonts w:hint="eastAsia" w:cs="仿宋_GB2312"/>
          <w:sz w:val="32"/>
          <w:szCs w:val="32"/>
          <w:lang w:val="en-US" w:eastAsia="zh-CN"/>
        </w:rPr>
        <w:t>各项指标自评结果“优”。</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经济协同管理平台服务器迁移</w:t>
      </w:r>
      <w:r>
        <w:rPr>
          <w:rFonts w:hint="eastAsia"/>
          <w:lang w:val="en-US" w:eastAsia="zh-CN"/>
        </w:rPr>
        <w:t>项目：</w:t>
      </w:r>
      <w:r>
        <w:rPr>
          <w:rStyle w:val="10"/>
          <w:rFonts w:hint="eastAsia" w:cs="仿宋_GB2312"/>
          <w:sz w:val="32"/>
          <w:szCs w:val="32"/>
          <w:lang w:val="en-US" w:eastAsia="zh-CN"/>
        </w:rPr>
        <w:t>该项目预算支出执行率100%；</w:t>
      </w:r>
      <w:r>
        <w:rPr>
          <w:rFonts w:hint="eastAsia"/>
          <w:lang w:val="en-US" w:eastAsia="zh-CN"/>
        </w:rPr>
        <w:t>为保证网络安全，</w:t>
      </w:r>
      <w:r>
        <w:rPr>
          <w:rStyle w:val="10"/>
          <w:rFonts w:hint="eastAsia" w:cs="仿宋_GB2312"/>
          <w:sz w:val="32"/>
          <w:szCs w:val="32"/>
          <w:lang w:val="en-US" w:eastAsia="zh-CN"/>
        </w:rPr>
        <w:t>按照</w:t>
      </w:r>
      <w:r>
        <w:rPr>
          <w:rFonts w:hint="eastAsia"/>
          <w:lang w:val="en-US" w:eastAsia="zh-CN"/>
        </w:rPr>
        <w:t>省市统计部门要求，完成兰州新区</w:t>
      </w:r>
      <w:r>
        <w:rPr>
          <w:rFonts w:hint="default"/>
          <w:lang w:val="en-US" w:eastAsia="zh-CN"/>
        </w:rPr>
        <w:t>经济协同管理平台服务器</w:t>
      </w:r>
      <w:r>
        <w:rPr>
          <w:rFonts w:hint="eastAsia"/>
          <w:lang w:val="en-US" w:eastAsia="zh-CN"/>
        </w:rPr>
        <w:t>迁移至内网使用环境，保障了平台在内网正常运行。</w:t>
      </w:r>
      <w:r>
        <w:rPr>
          <w:rStyle w:val="10"/>
          <w:rFonts w:hint="eastAsia" w:cs="仿宋_GB2312"/>
          <w:sz w:val="32"/>
          <w:szCs w:val="32"/>
          <w:lang w:val="en-US" w:eastAsia="zh-CN"/>
        </w:rPr>
        <w:t>各项指标自评结果“优”。</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EMS邮寄</w:t>
      </w:r>
      <w:r>
        <w:rPr>
          <w:rFonts w:hint="eastAsia"/>
          <w:lang w:val="en-US" w:eastAsia="zh-CN"/>
        </w:rPr>
        <w:t>项目：</w:t>
      </w:r>
      <w:r>
        <w:rPr>
          <w:rStyle w:val="10"/>
          <w:rFonts w:hint="eastAsia" w:cs="仿宋_GB2312"/>
          <w:sz w:val="32"/>
          <w:szCs w:val="32"/>
          <w:lang w:val="en-US" w:eastAsia="zh-CN"/>
        </w:rPr>
        <w:t>该项目预算支出执行率100%；2021年兰州新区政务服务中心EMS邮寄项目实施，</w:t>
      </w:r>
      <w:r>
        <w:rPr>
          <w:rFonts w:hint="eastAsia"/>
          <w:lang w:val="en-US" w:eastAsia="zh-CN"/>
        </w:rPr>
        <w:t>实现了企业和群众到政府办事“最多跑一次”承诺。</w:t>
      </w:r>
      <w:r>
        <w:rPr>
          <w:rStyle w:val="10"/>
          <w:rFonts w:hint="eastAsia" w:cs="仿宋_GB2312"/>
          <w:sz w:val="32"/>
          <w:szCs w:val="32"/>
          <w:lang w:val="en-US" w:eastAsia="zh-CN"/>
        </w:rPr>
        <w:t>各项指标自评结果“优”。</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兰州新区中川商务中心智能化政务服务中心建设项目</w:t>
      </w:r>
      <w:r>
        <w:rPr>
          <w:rFonts w:hint="eastAsia"/>
          <w:lang w:val="en-US" w:eastAsia="zh-CN"/>
        </w:rPr>
        <w:t>：</w:t>
      </w:r>
      <w:r>
        <w:rPr>
          <w:rStyle w:val="10"/>
          <w:rFonts w:hint="eastAsia" w:cs="仿宋_GB2312"/>
          <w:sz w:val="32"/>
          <w:szCs w:val="32"/>
          <w:lang w:val="en-US" w:eastAsia="zh-CN"/>
        </w:rPr>
        <w:t>该项目预算支出执行率100%；</w:t>
      </w:r>
      <w:r>
        <w:rPr>
          <w:rFonts w:hint="eastAsia"/>
          <w:lang w:val="en-US" w:eastAsia="zh-CN"/>
        </w:rPr>
        <w:t>2021年该项目已完成验收，智能化政务中心项目建设一定程度上提高了办事群众和企业的满意度为打造优质营商环境加分。</w:t>
      </w:r>
      <w:r>
        <w:rPr>
          <w:rStyle w:val="10"/>
          <w:rFonts w:hint="eastAsia" w:cs="仿宋_GB2312"/>
          <w:sz w:val="32"/>
          <w:szCs w:val="32"/>
          <w:lang w:val="en-US" w:eastAsia="zh-CN"/>
        </w:rPr>
        <w:t>各项指标自评结果“优”。</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2021年重大项目前期费</w:t>
      </w:r>
      <w:r>
        <w:rPr>
          <w:rFonts w:hint="eastAsia"/>
          <w:lang w:val="en-US" w:eastAsia="zh-CN"/>
        </w:rPr>
        <w:t>：</w:t>
      </w:r>
      <w:r>
        <w:rPr>
          <w:rStyle w:val="10"/>
          <w:rFonts w:hint="eastAsia" w:cs="仿宋_GB2312"/>
          <w:sz w:val="32"/>
          <w:szCs w:val="32"/>
          <w:lang w:val="en-US" w:eastAsia="zh-CN"/>
        </w:rPr>
        <w:t>该项目预算支出执行率100%；除补助项目前期工作完成率自评结果为“良”，其他各项指标自评结果为“优”。</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全省重大项目集中开工复工动员大会活动</w:t>
      </w:r>
      <w:r>
        <w:rPr>
          <w:rFonts w:hint="eastAsia"/>
          <w:lang w:val="en-US" w:eastAsia="zh-CN"/>
        </w:rPr>
        <w:t>：</w:t>
      </w:r>
      <w:r>
        <w:rPr>
          <w:rStyle w:val="10"/>
          <w:rFonts w:hint="eastAsia" w:cs="仿宋_GB2312"/>
          <w:sz w:val="32"/>
          <w:szCs w:val="32"/>
          <w:lang w:val="en-US" w:eastAsia="zh-CN"/>
        </w:rPr>
        <w:t>该项目预算支出执行率100%；2021年重大项目集中开复工动员大会有效推动了重大项目尽快开工复工，充分发挥项目建设在稳投资、促增长中的重要作用。各项指标自评结果为“优”。</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固定资产投资项目节能咨询服务</w:t>
      </w:r>
      <w:r>
        <w:rPr>
          <w:rFonts w:hint="eastAsia"/>
          <w:lang w:val="en-US" w:eastAsia="zh-CN"/>
        </w:rPr>
        <w:t>项目：</w:t>
      </w:r>
      <w:r>
        <w:rPr>
          <w:rStyle w:val="10"/>
          <w:rFonts w:hint="eastAsia" w:cs="仿宋_GB2312"/>
          <w:sz w:val="32"/>
          <w:szCs w:val="32"/>
          <w:lang w:val="en-US" w:eastAsia="zh-CN"/>
        </w:rPr>
        <w:t>该项目预算支出执行率100%；2021年</w:t>
      </w:r>
      <w:r>
        <w:rPr>
          <w:rFonts w:hint="eastAsia"/>
          <w:lang w:val="en-US" w:eastAsia="zh-CN"/>
        </w:rPr>
        <w:t>完成21个项目节能审查工作，各项指标自评</w:t>
      </w:r>
      <w:r>
        <w:rPr>
          <w:rStyle w:val="10"/>
          <w:rFonts w:hint="eastAsia" w:cs="仿宋_GB2312"/>
          <w:sz w:val="32"/>
          <w:szCs w:val="32"/>
          <w:lang w:val="en-US" w:eastAsia="zh-CN"/>
        </w:rPr>
        <w:t>结果为“优”。</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固定资产投资项目节能监察</w:t>
      </w:r>
      <w:r>
        <w:rPr>
          <w:rFonts w:hint="eastAsia"/>
          <w:lang w:val="en-US" w:eastAsia="zh-CN"/>
        </w:rPr>
        <w:t>项目：</w:t>
      </w:r>
      <w:r>
        <w:rPr>
          <w:rStyle w:val="10"/>
          <w:rFonts w:hint="eastAsia" w:cs="仿宋_GB2312"/>
          <w:sz w:val="32"/>
          <w:szCs w:val="32"/>
          <w:lang w:val="en-US" w:eastAsia="zh-CN"/>
        </w:rPr>
        <w:t>该项目预算支出执行率100%；2021年</w:t>
      </w:r>
      <w:r>
        <w:rPr>
          <w:rFonts w:hint="eastAsia"/>
          <w:lang w:val="en-US" w:eastAsia="zh-CN"/>
        </w:rPr>
        <w:t>完成因企业停产、新区工厂无生产线等原因，实际完成26家工业企业节能监察。各项指标自评</w:t>
      </w:r>
      <w:r>
        <w:rPr>
          <w:rStyle w:val="10"/>
          <w:rFonts w:hint="eastAsia" w:cs="仿宋_GB2312"/>
          <w:sz w:val="32"/>
          <w:szCs w:val="32"/>
          <w:lang w:val="en-US" w:eastAsia="zh-CN"/>
        </w:rPr>
        <w:t>结果为“优”。</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移民办工作</w:t>
      </w:r>
      <w:r>
        <w:rPr>
          <w:rFonts w:hint="eastAsia"/>
          <w:lang w:val="en-US" w:eastAsia="zh-CN"/>
        </w:rPr>
        <w:t>项目：</w:t>
      </w:r>
      <w:r>
        <w:rPr>
          <w:rStyle w:val="10"/>
          <w:rFonts w:hint="eastAsia" w:cs="仿宋_GB2312"/>
          <w:sz w:val="32"/>
          <w:szCs w:val="32"/>
          <w:lang w:val="en-US" w:eastAsia="zh-CN"/>
        </w:rPr>
        <w:t>该项目预算支出执行率100%；2021年移民办合理采购办公用品，为移民办管理提供必要的后勤保障；规范经费支出行为，控制三公经费，确保了资金使用高效规范。</w:t>
      </w:r>
      <w:r>
        <w:rPr>
          <w:rFonts w:hint="eastAsia"/>
          <w:lang w:val="en-US" w:eastAsia="zh-CN"/>
        </w:rPr>
        <w:t>各项指标自评</w:t>
      </w:r>
      <w:r>
        <w:rPr>
          <w:rStyle w:val="10"/>
          <w:rFonts w:hint="eastAsia" w:cs="仿宋_GB2312"/>
          <w:sz w:val="32"/>
          <w:szCs w:val="32"/>
          <w:lang w:val="en-US" w:eastAsia="zh-CN"/>
        </w:rPr>
        <w:t>结果为“优”。</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甘肃省工业经济运行监测可视化生产指挥系统项目</w:t>
      </w:r>
      <w:r>
        <w:rPr>
          <w:rFonts w:hint="eastAsia"/>
          <w:lang w:val="en-US" w:eastAsia="zh-CN"/>
        </w:rPr>
        <w:t>：</w:t>
      </w:r>
      <w:r>
        <w:rPr>
          <w:rStyle w:val="10"/>
          <w:rFonts w:hint="eastAsia" w:cs="仿宋_GB2312"/>
          <w:sz w:val="32"/>
          <w:szCs w:val="32"/>
          <w:lang w:val="en-US" w:eastAsia="zh-CN"/>
        </w:rPr>
        <w:t>该项目预算支出执行率100%；2021年正常应用甘肃省工业经济运行监测可视化生产指挥系统项目，对工业企业生产、产量、产品价格等情况进行实时监测，第一时间掌握企业生产运行困难和问题，提出解决应对方案。</w:t>
      </w:r>
      <w:r>
        <w:rPr>
          <w:rFonts w:hint="eastAsia"/>
          <w:lang w:val="en-US" w:eastAsia="zh-CN"/>
        </w:rPr>
        <w:t>各项指标自评</w:t>
      </w:r>
      <w:r>
        <w:rPr>
          <w:rStyle w:val="10"/>
          <w:rFonts w:hint="eastAsia" w:cs="仿宋_GB2312"/>
          <w:sz w:val="32"/>
          <w:szCs w:val="32"/>
          <w:lang w:val="en-US" w:eastAsia="zh-CN"/>
        </w:rPr>
        <w:t>结果为“优”。</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兰州新区电力设施迁改</w:t>
      </w:r>
      <w:r>
        <w:rPr>
          <w:rFonts w:hint="eastAsia"/>
          <w:lang w:val="en-US" w:eastAsia="zh-CN"/>
        </w:rPr>
        <w:t>项目：</w:t>
      </w:r>
      <w:r>
        <w:rPr>
          <w:rStyle w:val="10"/>
          <w:rFonts w:hint="eastAsia" w:cs="仿宋_GB2312"/>
          <w:sz w:val="32"/>
          <w:szCs w:val="32"/>
          <w:lang w:val="en-US" w:eastAsia="zh-CN"/>
        </w:rPr>
        <w:t>该项目预算支出执行率100%；</w:t>
      </w:r>
      <w:r>
        <w:rPr>
          <w:rFonts w:hint="eastAsia"/>
          <w:lang w:val="en-US" w:eastAsia="zh-CN"/>
        </w:rPr>
        <w:t>2021年完成了影响落地项目建设的电力、通信线路迁改工程15个，确保招商引资项目顺利开展建设。各项指标自评</w:t>
      </w:r>
      <w:r>
        <w:rPr>
          <w:rStyle w:val="10"/>
          <w:rFonts w:hint="eastAsia" w:cs="仿宋_GB2312"/>
          <w:sz w:val="32"/>
          <w:szCs w:val="32"/>
          <w:lang w:val="en-US" w:eastAsia="zh-CN"/>
        </w:rPr>
        <w:t>结果为“优”。</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甘肃德福电力专线补贴</w:t>
      </w:r>
      <w:r>
        <w:rPr>
          <w:rFonts w:hint="eastAsia"/>
          <w:lang w:val="en-US" w:eastAsia="zh-CN"/>
        </w:rPr>
        <w:t>：</w:t>
      </w:r>
      <w:r>
        <w:rPr>
          <w:rStyle w:val="10"/>
          <w:rFonts w:hint="eastAsia" w:cs="仿宋_GB2312"/>
          <w:sz w:val="32"/>
          <w:szCs w:val="32"/>
          <w:lang w:val="en-US" w:eastAsia="zh-CN"/>
        </w:rPr>
        <w:t>该项目预算支出执行率100%；</w:t>
      </w:r>
      <w:r>
        <w:rPr>
          <w:rFonts w:hint="eastAsia"/>
          <w:lang w:val="en-US" w:eastAsia="zh-CN"/>
        </w:rPr>
        <w:t>2021年完成了完成甘肃德福电力设施建设并完成电力接入。各项指标自评</w:t>
      </w:r>
      <w:r>
        <w:rPr>
          <w:rStyle w:val="10"/>
          <w:rFonts w:hint="eastAsia" w:cs="仿宋_GB2312"/>
          <w:sz w:val="32"/>
          <w:szCs w:val="32"/>
          <w:lang w:val="en-US" w:eastAsia="zh-CN"/>
        </w:rPr>
        <w:t>结果为“优”。</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ascii="仿宋_GB2312" w:hAnsi="仿宋_GB2312" w:eastAsia="仿宋_GB2312" w:cs="仿宋_GB2312"/>
          <w:sz w:val="32"/>
          <w:szCs w:val="32"/>
          <w:lang w:val="en-US" w:eastAsia="zh-CN"/>
        </w:rPr>
      </w:pPr>
      <w:r>
        <w:rPr>
          <w:rFonts w:hint="default"/>
          <w:lang w:val="en-US" w:eastAsia="zh-CN"/>
        </w:rPr>
        <w:t>兰州新区向西开放新枢纽多式联运示范项目</w:t>
      </w:r>
      <w:r>
        <w:rPr>
          <w:rFonts w:hint="eastAsia"/>
          <w:lang w:val="en-US" w:eastAsia="zh-CN"/>
        </w:rPr>
        <w:t>：纬八路东延段、纬五十一路、BW13#路完成合同造价77%；科东路、科体路南延段完成合同造价50%，经七路北延段完成合同造价9%；中川北铁路项目完成施工合同造价55%，高家庄铁路项目完成施工合同造价94%，中川北物流园补强工程的46%，高家庄货场工程的55%；物流信息服务平台项目完成合同计量25%；整体项目综合自评结果“优”。</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2021年度储备粮补贴</w:t>
      </w:r>
      <w:r>
        <w:rPr>
          <w:rFonts w:hint="eastAsia"/>
          <w:lang w:val="en-US" w:eastAsia="zh-CN"/>
        </w:rPr>
        <w:t>项目：</w:t>
      </w:r>
      <w:r>
        <w:rPr>
          <w:rStyle w:val="10"/>
          <w:rFonts w:hint="eastAsia" w:cs="仿宋_GB2312"/>
          <w:sz w:val="32"/>
          <w:szCs w:val="32"/>
          <w:lang w:val="en-US" w:eastAsia="zh-CN"/>
        </w:rPr>
        <w:t>该项目预算支出执行率100%；2021年度9000吨储备原粮储存安全，数量真实，质量良好。</w:t>
      </w:r>
      <w:r>
        <w:rPr>
          <w:rFonts w:hint="eastAsia"/>
          <w:lang w:val="en-US" w:eastAsia="zh-CN"/>
        </w:rPr>
        <w:t>各项指标自评</w:t>
      </w:r>
      <w:r>
        <w:rPr>
          <w:rStyle w:val="10"/>
          <w:rFonts w:hint="eastAsia" w:cs="仿宋_GB2312"/>
          <w:sz w:val="32"/>
          <w:szCs w:val="32"/>
          <w:lang w:val="en-US" w:eastAsia="zh-CN"/>
        </w:rPr>
        <w:t>结果为“优”。</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default"/>
          <w:lang w:val="en-US" w:eastAsia="zh-CN"/>
        </w:rPr>
      </w:pPr>
      <w:r>
        <w:rPr>
          <w:rFonts w:hint="default"/>
          <w:lang w:val="en-US" w:eastAsia="zh-CN"/>
        </w:rPr>
        <w:t>抗疫物资采购资金</w:t>
      </w:r>
      <w:r>
        <w:rPr>
          <w:rFonts w:hint="eastAsia"/>
          <w:lang w:val="en-US" w:eastAsia="zh-CN"/>
        </w:rPr>
        <w:t>：</w:t>
      </w:r>
      <w:r>
        <w:rPr>
          <w:rStyle w:val="10"/>
          <w:rFonts w:hint="eastAsia" w:cs="仿宋_GB2312"/>
          <w:sz w:val="32"/>
          <w:szCs w:val="32"/>
          <w:lang w:val="en-US" w:eastAsia="zh-CN"/>
        </w:rPr>
        <w:t>该项目预算支出执行率100%；各类物资采购验收库。</w:t>
      </w:r>
      <w:r>
        <w:rPr>
          <w:rFonts w:hint="eastAsia"/>
          <w:lang w:val="en-US" w:eastAsia="zh-CN"/>
        </w:rPr>
        <w:t>各项指标自评</w:t>
      </w:r>
      <w:r>
        <w:rPr>
          <w:rStyle w:val="10"/>
          <w:rFonts w:hint="eastAsia" w:cs="仿宋_GB2312"/>
          <w:sz w:val="32"/>
          <w:szCs w:val="32"/>
          <w:lang w:val="en-US" w:eastAsia="zh-CN"/>
        </w:rPr>
        <w:t>结果为“优”。</w:t>
      </w:r>
    </w:p>
    <w:p>
      <w:pPr>
        <w:pStyle w:val="11"/>
        <w:keepNext w:val="0"/>
        <w:keepLines w:val="0"/>
        <w:pageBreakBefore w:val="0"/>
        <w:widowControl w:val="0"/>
        <w:numPr>
          <w:ilvl w:val="0"/>
          <w:numId w:val="2"/>
        </w:numPr>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lang w:val="en-US" w:eastAsia="zh-CN"/>
        </w:rPr>
      </w:pPr>
      <w:r>
        <w:rPr>
          <w:rFonts w:hint="eastAsia"/>
          <w:lang w:val="en-US" w:eastAsia="zh-CN"/>
        </w:rPr>
        <w:t>《</w:t>
      </w:r>
      <w:r>
        <w:rPr>
          <w:rFonts w:hint="default"/>
          <w:lang w:val="en-US" w:eastAsia="zh-CN"/>
        </w:rPr>
        <w:t>兰州国际空港规划编制费</w:t>
      </w:r>
      <w:r>
        <w:rPr>
          <w:rFonts w:hint="eastAsia"/>
          <w:lang w:val="en-US" w:eastAsia="zh-CN"/>
        </w:rPr>
        <w:t>》、</w:t>
      </w:r>
      <w:r>
        <w:rPr>
          <w:rFonts w:hint="default"/>
          <w:lang w:val="en-US" w:eastAsia="zh-CN"/>
        </w:rPr>
        <w:t>《兰州新区光气产业园发展规划》</w:t>
      </w:r>
      <w:r>
        <w:rPr>
          <w:rFonts w:hint="eastAsia"/>
          <w:lang w:val="en-US" w:eastAsia="zh-CN"/>
        </w:rPr>
        <w:t>、</w:t>
      </w:r>
      <w:r>
        <w:rPr>
          <w:rFonts w:hint="default"/>
          <w:lang w:val="en-US" w:eastAsia="zh-CN"/>
        </w:rPr>
        <w:t>《兰州临空经济示范区总体方案》</w:t>
      </w:r>
      <w:r>
        <w:rPr>
          <w:rFonts w:hint="eastAsia"/>
          <w:lang w:val="en-US" w:eastAsia="zh-CN"/>
        </w:rPr>
        <w:t>等规划编制项目：各类规划项目预算执行率100%，各项指标自评</w:t>
      </w:r>
      <w:r>
        <w:rPr>
          <w:rStyle w:val="10"/>
          <w:rFonts w:hint="eastAsia" w:ascii="仿宋_GB2312" w:hAnsi="仿宋_GB2312" w:eastAsia="仿宋_GB2312" w:cs="仿宋_GB2312"/>
          <w:sz w:val="32"/>
          <w:szCs w:val="32"/>
          <w:lang w:val="en-US" w:eastAsia="zh-CN"/>
        </w:rPr>
        <w:t>结果为“优”。</w:t>
      </w:r>
    </w:p>
    <w:p>
      <w:pPr>
        <w:pStyle w:val="11"/>
        <w:keepNext w:val="0"/>
        <w:keepLines w:val="0"/>
        <w:pageBreakBefore w:val="0"/>
        <w:widowControl w:val="0"/>
        <w:numPr>
          <w:ilvl w:val="0"/>
          <w:numId w:val="3"/>
        </w:numPr>
        <w:kinsoku/>
        <w:wordWrap/>
        <w:overflowPunct/>
        <w:topLinePunct w:val="0"/>
        <w:autoSpaceDE/>
        <w:autoSpaceDN/>
        <w:bidi w:val="0"/>
        <w:adjustRightInd/>
        <w:snapToGrid/>
        <w:spacing w:line="600" w:lineRule="exact"/>
        <w:ind w:firstLine="640" w:firstLineChars="200"/>
        <w:textAlignment w:val="auto"/>
        <w:rPr>
          <w:rStyle w:val="10"/>
          <w:rFonts w:hint="eastAsia" w:ascii="黑体" w:hAnsi="黑体" w:eastAsia="黑体" w:cs="黑体"/>
          <w:sz w:val="32"/>
          <w:szCs w:val="32"/>
          <w:lang w:val="en-US" w:eastAsia="zh-CN"/>
        </w:rPr>
      </w:pPr>
      <w:r>
        <w:rPr>
          <w:rStyle w:val="10"/>
          <w:rFonts w:hint="eastAsia" w:ascii="黑体" w:hAnsi="黑体" w:eastAsia="黑体" w:cs="黑体"/>
          <w:sz w:val="32"/>
          <w:szCs w:val="32"/>
          <w:lang w:val="en-US" w:eastAsia="zh-CN"/>
        </w:rPr>
        <w:t>部门管理管理的省、市对新区转移支付绩效自评情况分析及偏差原因分析</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Style w:val="10"/>
          <w:rFonts w:hint="default" w:cs="仿宋_GB2312"/>
          <w:sz w:val="32"/>
          <w:szCs w:val="32"/>
          <w:lang w:val="en-US" w:eastAsia="zh-CN"/>
        </w:rPr>
      </w:pPr>
      <w:r>
        <w:rPr>
          <w:rStyle w:val="10"/>
          <w:rFonts w:hint="eastAsia" w:cs="仿宋_GB2312"/>
          <w:sz w:val="32"/>
          <w:szCs w:val="32"/>
          <w:lang w:val="en-US" w:eastAsia="zh-CN"/>
        </w:rPr>
        <w:t>2021年，本部门共计管理省、市转移支付25项目，当年各级预算共安排100135.06万元，其中：中央下达28191万元，省级预算安排71944.06万元；当年支出100135.06万元，执行率100%。25个项目自评结果为“优”。无偏差。</w:t>
      </w:r>
    </w:p>
    <w:p>
      <w:pPr>
        <w:pStyle w:val="11"/>
        <w:keepNext w:val="0"/>
        <w:keepLines w:val="0"/>
        <w:pageBreakBefore w:val="0"/>
        <w:widowControl w:val="0"/>
        <w:numPr>
          <w:ilvl w:val="0"/>
          <w:numId w:val="3"/>
        </w:numPr>
        <w:kinsoku/>
        <w:wordWrap/>
        <w:overflowPunct/>
        <w:topLinePunct w:val="0"/>
        <w:autoSpaceDE/>
        <w:autoSpaceDN/>
        <w:bidi w:val="0"/>
        <w:adjustRightInd/>
        <w:snapToGrid/>
        <w:spacing w:line="600" w:lineRule="exact"/>
        <w:ind w:firstLine="640" w:firstLineChars="200"/>
        <w:textAlignment w:val="auto"/>
        <w:rPr>
          <w:rStyle w:val="10"/>
          <w:rFonts w:hint="eastAsia" w:ascii="黑体" w:hAnsi="黑体" w:eastAsia="黑体" w:cs="黑体"/>
          <w:sz w:val="32"/>
          <w:szCs w:val="32"/>
          <w:lang w:val="en-US" w:eastAsia="zh-CN"/>
        </w:rPr>
      </w:pPr>
      <w:r>
        <w:rPr>
          <w:rStyle w:val="10"/>
          <w:rFonts w:hint="eastAsia" w:ascii="黑体" w:hAnsi="黑体" w:eastAsia="黑体" w:cs="黑体"/>
          <w:sz w:val="32"/>
          <w:szCs w:val="32"/>
          <w:lang w:val="en-US" w:eastAsia="zh-CN"/>
        </w:rPr>
        <w:t>绩效自评结果拟应用和公开情况</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Style w:val="10"/>
          <w:rFonts w:hint="eastAsia" w:cs="仿宋_GB2312"/>
          <w:sz w:val="32"/>
          <w:szCs w:val="32"/>
          <w:lang w:val="en-US" w:eastAsia="zh-CN"/>
        </w:rPr>
      </w:pPr>
      <w:r>
        <w:rPr>
          <w:rStyle w:val="10"/>
          <w:rFonts w:hint="eastAsia" w:ascii="仿宋_GB2312" w:hAnsi="仿宋_GB2312" w:eastAsia="仿宋_GB2312" w:cs="仿宋_GB2312"/>
          <w:sz w:val="32"/>
          <w:szCs w:val="32"/>
          <w:lang w:val="en-US" w:eastAsia="zh-CN"/>
        </w:rPr>
        <w:t>绩效</w:t>
      </w:r>
      <w:r>
        <w:rPr>
          <w:rStyle w:val="10"/>
          <w:rFonts w:hint="eastAsia" w:cs="仿宋_GB2312"/>
          <w:sz w:val="32"/>
          <w:szCs w:val="32"/>
          <w:lang w:val="en-US" w:eastAsia="zh-CN"/>
        </w:rPr>
        <w:t>自评结果将为今后年度预算编制、项目管理等各项工作开展提供决策依据。绩效自评结果经上级部门审定后按照要求进行公开。</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Style w:val="10"/>
          <w:rFonts w:hint="default" w:cs="仿宋_GB2312"/>
          <w:sz w:val="32"/>
          <w:szCs w:val="32"/>
          <w:lang w:val="en-US" w:eastAsia="zh-CN"/>
        </w:rPr>
      </w:pP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Style w:val="10"/>
          <w:rFonts w:hint="default" w:cs="仿宋_GB2312"/>
          <w:sz w:val="32"/>
          <w:szCs w:val="32"/>
          <w:lang w:val="en-US" w:eastAsia="zh-CN"/>
        </w:rPr>
      </w:pP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Style w:val="10"/>
          <w:rFonts w:hint="default" w:cs="仿宋_GB2312"/>
          <w:sz w:val="32"/>
          <w:szCs w:val="32"/>
          <w:lang w:val="en-US" w:eastAsia="zh-CN"/>
        </w:rPr>
      </w:pP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3200" w:firstLineChars="1000"/>
        <w:textAlignment w:val="auto"/>
        <w:rPr>
          <w:rStyle w:val="10"/>
          <w:rFonts w:hint="eastAsia" w:cs="仿宋_GB2312"/>
          <w:sz w:val="32"/>
          <w:szCs w:val="32"/>
          <w:lang w:val="en-US" w:eastAsia="zh-CN"/>
        </w:rPr>
      </w:pPr>
      <w:r>
        <w:rPr>
          <w:rStyle w:val="10"/>
          <w:rFonts w:hint="eastAsia" w:cs="仿宋_GB2312"/>
          <w:sz w:val="32"/>
          <w:szCs w:val="32"/>
          <w:lang w:val="en-US" w:eastAsia="zh-CN"/>
        </w:rPr>
        <w:t>兰州新区经济发展局（统计局）</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160" w:firstLineChars="1300"/>
        <w:textAlignment w:val="auto"/>
        <w:rPr>
          <w:rStyle w:val="10"/>
          <w:rFonts w:hint="default" w:cs="仿宋_GB2312"/>
          <w:sz w:val="32"/>
          <w:szCs w:val="32"/>
          <w:lang w:val="en-US" w:eastAsia="zh-CN"/>
        </w:rPr>
      </w:pPr>
      <w:r>
        <w:rPr>
          <w:rStyle w:val="10"/>
          <w:rFonts w:hint="eastAsia" w:cs="仿宋_GB2312"/>
          <w:sz w:val="32"/>
          <w:szCs w:val="32"/>
          <w:lang w:val="en-US" w:eastAsia="zh-CN"/>
        </w:rPr>
        <w:t>2022年4月12日</w:t>
      </w:r>
    </w:p>
    <w:sectPr>
      <w:footerReference r:id="rId3" w:type="default"/>
      <w:pgSz w:w="11906" w:h="16838"/>
      <w:pgMar w:top="1440" w:right="1800" w:bottom="1440" w:left="1800" w:header="851" w:footer="992" w:gutter="0"/>
      <w:pgNumType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26E80B"/>
    <w:multiLevelType w:val="singleLevel"/>
    <w:tmpl w:val="BB26E80B"/>
    <w:lvl w:ilvl="0" w:tentative="0">
      <w:start w:val="1"/>
      <w:numFmt w:val="chineseCounting"/>
      <w:suff w:val="nothing"/>
      <w:lvlText w:val="（%1）"/>
      <w:lvlJc w:val="left"/>
      <w:rPr>
        <w:rFonts w:hint="eastAsia"/>
      </w:rPr>
    </w:lvl>
  </w:abstractNum>
  <w:abstractNum w:abstractNumId="1">
    <w:nsid w:val="F2730E04"/>
    <w:multiLevelType w:val="singleLevel"/>
    <w:tmpl w:val="F2730E04"/>
    <w:lvl w:ilvl="0" w:tentative="0">
      <w:start w:val="5"/>
      <w:numFmt w:val="chineseCounting"/>
      <w:suff w:val="nothing"/>
      <w:lvlText w:val="%1、"/>
      <w:lvlJc w:val="left"/>
      <w:rPr>
        <w:rFonts w:hint="eastAsia"/>
      </w:rPr>
    </w:lvl>
  </w:abstractNum>
  <w:abstractNum w:abstractNumId="2">
    <w:nsid w:val="F8C04CC2"/>
    <w:multiLevelType w:val="singleLevel"/>
    <w:tmpl w:val="F8C04CC2"/>
    <w:lvl w:ilvl="0" w:tentative="0">
      <w:start w:val="3"/>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FA479D"/>
    <w:rsid w:val="1CD33C13"/>
    <w:rsid w:val="28A3377D"/>
    <w:rsid w:val="3CFA479D"/>
    <w:rsid w:val="51505515"/>
    <w:rsid w:val="65CC0E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0">
    <w:name w:val="Default Paragraph Font"/>
    <w:qFormat/>
    <w:uiPriority w:val="0"/>
  </w:style>
  <w:style w:type="table" w:default="1" w:styleId="9">
    <w:name w:val="Normal Table"/>
    <w:semiHidden/>
    <w:uiPriority w:val="0"/>
    <w:tblPr>
      <w:tblCellMar>
        <w:top w:w="0" w:type="dxa"/>
        <w:left w:w="108" w:type="dxa"/>
        <w:bottom w:w="0" w:type="dxa"/>
        <w:right w:w="108" w:type="dxa"/>
      </w:tblCellMar>
    </w:tblPr>
  </w:style>
  <w:style w:type="paragraph" w:customStyle="1" w:styleId="2">
    <w:name w:val="样式1"/>
    <w:basedOn w:val="3"/>
    <w:next w:val="4"/>
    <w:qFormat/>
    <w:uiPriority w:val="0"/>
    <w:pPr>
      <w:tabs>
        <w:tab w:val="center" w:pos="4153"/>
        <w:tab w:val="right" w:pos="8306"/>
      </w:tabs>
    </w:pPr>
    <w:rPr>
      <w:rFonts w:ascii="Times New Roman" w:hAnsi="Times New Roman" w:eastAsia="仿宋_GB2312" w:cs="Times New Roman"/>
      <w:sz w:val="32"/>
    </w:rPr>
  </w:style>
  <w:style w:type="paragraph" w:styleId="3">
    <w:name w:val="header"/>
    <w:basedOn w:val="1"/>
    <w:next w:val="1"/>
    <w:qFormat/>
    <w:uiPriority w:val="99"/>
    <w:pPr>
      <w:pBdr>
        <w:bottom w:val="single" w:color="auto" w:sz="6" w:space="1"/>
      </w:pBdr>
      <w:tabs>
        <w:tab w:val="center" w:pos="4153"/>
        <w:tab w:val="right" w:pos="8306"/>
      </w:tabs>
      <w:snapToGrid w:val="0"/>
      <w:jc w:val="center"/>
    </w:pPr>
    <w:rPr>
      <w:sz w:val="18"/>
      <w:szCs w:val="18"/>
    </w:rPr>
  </w:style>
  <w:style w:type="paragraph" w:styleId="4">
    <w:name w:val="index 9"/>
    <w:basedOn w:val="1"/>
    <w:next w:val="1"/>
    <w:qFormat/>
    <w:uiPriority w:val="0"/>
    <w:pPr>
      <w:ind w:left="3360"/>
    </w:pPr>
    <w:rPr>
      <w:rFonts w:ascii="Times New Roman" w:hAnsi="Times New Roman"/>
      <w:szCs w:val="24"/>
    </w:rPr>
  </w:style>
  <w:style w:type="paragraph" w:styleId="6">
    <w:name w:val="Body Text"/>
    <w:basedOn w:val="1"/>
    <w:uiPriority w:val="0"/>
    <w:pPr>
      <w:spacing w:after="120" w:afterLines="0" w:afterAutospacing="0"/>
    </w:pPr>
  </w:style>
  <w:style w:type="paragraph" w:styleId="7">
    <w:name w:val="footer"/>
    <w:basedOn w:val="1"/>
    <w:uiPriority w:val="0"/>
    <w:pPr>
      <w:tabs>
        <w:tab w:val="center" w:pos="4153"/>
        <w:tab w:val="right" w:pos="8306"/>
      </w:tabs>
      <w:snapToGrid w:val="0"/>
      <w:jc w:val="left"/>
    </w:pPr>
    <w:rPr>
      <w:sz w:val="18"/>
    </w:rPr>
  </w:style>
  <w:style w:type="paragraph" w:styleId="8">
    <w:name w:val="Body Text First Indent"/>
    <w:basedOn w:val="6"/>
    <w:uiPriority w:val="0"/>
    <w:pPr>
      <w:ind w:firstLine="420" w:firstLineChars="100"/>
    </w:pPr>
  </w:style>
  <w:style w:type="paragraph" w:customStyle="1" w:styleId="11">
    <w:name w:val="样式2"/>
    <w:basedOn w:val="8"/>
    <w:uiPriority w:val="0"/>
    <w:pPr>
      <w:spacing w:line="560" w:lineRule="exact"/>
      <w:ind w:firstLine="640" w:firstLineChars="200"/>
    </w:pPr>
    <w:rPr>
      <w:rFonts w:hint="eastAsia" w:ascii="仿宋_GB2312" w:hAnsi="仿宋_GB2312" w:eastAsia="仿宋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4749</Words>
  <Characters>5142</Characters>
  <Lines>0</Lines>
  <Paragraphs>0</Paragraphs>
  <TotalTime>404</TotalTime>
  <ScaleCrop>false</ScaleCrop>
  <LinksUpToDate>false</LinksUpToDate>
  <CharactersWithSpaces>5148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2022-04-01T08:46:00Z</dcterms:created>
  <dc:creator>娟</dc:creator>
  <cp:lastModifiedBy>娟</cp:lastModifiedBy>
  <cp:lastPrinted>2022-04-12T00:31:42Z</cp:lastPrinted>
  <dcterms:modified xsi:type="dcterms:W3CDTF">2022-04-12T07:13:17Z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2F667A7BBD8547E387AB091323366DF6</vt:lpwstr>
  </property>
</Properties>
</file>