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600" w:lineRule="exact"/>
        <w:rPr>
          <w:rFonts w:ascii="仿宋_GB2312" w:eastAsia="仿宋_GB2312"/>
          <w:sz w:val="28"/>
          <w:szCs w:val="28"/>
        </w:rPr>
      </w:pPr>
      <w:bookmarkStart w:id="0" w:name="_GoBack"/>
      <w:bookmarkEnd w:id="0"/>
      <w:r>
        <w:rPr>
          <w:rFonts w:hint="eastAsia" w:ascii="仿宋_GB2312" w:eastAsia="仿宋_GB2312"/>
          <w:sz w:val="28"/>
          <w:szCs w:val="28"/>
        </w:rPr>
        <w:t>附件2</w:t>
      </w:r>
    </w:p>
    <w:p>
      <w:pPr>
        <w:spacing w:after="0" w:line="520" w:lineRule="exact"/>
        <w:jc w:val="center"/>
        <w:rPr>
          <w:rFonts w:hint="eastAsia" w:ascii="黑体" w:hAnsi="黑体" w:eastAsia="黑体" w:cs="黑体"/>
          <w:b/>
          <w:bCs/>
          <w:color w:val="000000"/>
          <w:sz w:val="32"/>
          <w:szCs w:val="32"/>
        </w:rPr>
      </w:pPr>
      <w:r>
        <w:rPr>
          <w:rFonts w:hint="eastAsia" w:ascii="黑体" w:hAnsi="黑体" w:eastAsia="黑体" w:cs="黑体"/>
          <w:b/>
          <w:bCs/>
          <w:color w:val="000000"/>
          <w:sz w:val="32"/>
          <w:szCs w:val="32"/>
          <w:lang w:eastAsia="zh-CN"/>
        </w:rPr>
        <w:t>西岔园区</w:t>
      </w:r>
      <w:r>
        <w:rPr>
          <w:rFonts w:hint="eastAsia" w:ascii="黑体" w:hAnsi="黑体" w:eastAsia="黑体" w:cs="黑体"/>
          <w:b/>
          <w:bCs/>
          <w:color w:val="000000"/>
          <w:sz w:val="32"/>
          <w:szCs w:val="32"/>
        </w:rPr>
        <w:t>扬尘管控工作周报表</w:t>
      </w:r>
    </w:p>
    <w:tbl>
      <w:tblPr>
        <w:tblStyle w:val="3"/>
        <w:tblW w:w="142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6662"/>
        <w:gridCol w:w="2410"/>
        <w:gridCol w:w="3260"/>
        <w:gridCol w:w="10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817" w:type="dxa"/>
          </w:tcPr>
          <w:p>
            <w:pPr>
              <w:spacing w:after="0" w:line="520" w:lineRule="exact"/>
              <w:jc w:val="center"/>
              <w:rPr>
                <w:rFonts w:ascii="仿宋_GB2312" w:eastAsia="仿宋_GB2312"/>
                <w:b/>
                <w:color w:val="000000"/>
                <w:sz w:val="28"/>
                <w:szCs w:val="28"/>
              </w:rPr>
            </w:pPr>
            <w:r>
              <w:rPr>
                <w:rFonts w:hint="eastAsia" w:ascii="仿宋_GB2312" w:eastAsia="仿宋_GB2312"/>
                <w:b/>
                <w:color w:val="000000"/>
                <w:sz w:val="28"/>
                <w:szCs w:val="28"/>
              </w:rPr>
              <w:t>序号</w:t>
            </w:r>
          </w:p>
        </w:tc>
        <w:tc>
          <w:tcPr>
            <w:tcW w:w="6662" w:type="dxa"/>
          </w:tcPr>
          <w:p>
            <w:pPr>
              <w:spacing w:after="0" w:line="520" w:lineRule="exact"/>
              <w:jc w:val="center"/>
              <w:rPr>
                <w:rFonts w:ascii="仿宋_GB2312" w:eastAsia="仿宋_GB2312"/>
                <w:b/>
                <w:color w:val="000000"/>
                <w:sz w:val="28"/>
                <w:szCs w:val="28"/>
              </w:rPr>
            </w:pPr>
            <w:r>
              <w:rPr>
                <w:rFonts w:hint="eastAsia" w:ascii="仿宋_GB2312" w:eastAsia="仿宋_GB2312"/>
                <w:b/>
                <w:color w:val="000000"/>
                <w:sz w:val="28"/>
                <w:szCs w:val="28"/>
              </w:rPr>
              <w:t>监管内容</w:t>
            </w:r>
          </w:p>
        </w:tc>
        <w:tc>
          <w:tcPr>
            <w:tcW w:w="2410" w:type="dxa"/>
          </w:tcPr>
          <w:p>
            <w:pPr>
              <w:spacing w:after="0" w:line="520" w:lineRule="exact"/>
              <w:jc w:val="center"/>
              <w:rPr>
                <w:rFonts w:ascii="仿宋_GB2312" w:eastAsia="仿宋_GB2312"/>
                <w:b/>
                <w:color w:val="000000"/>
                <w:sz w:val="28"/>
                <w:szCs w:val="28"/>
              </w:rPr>
            </w:pPr>
            <w:r>
              <w:rPr>
                <w:rFonts w:hint="eastAsia" w:ascii="仿宋_GB2312" w:eastAsia="仿宋_GB2312"/>
                <w:b/>
                <w:color w:val="000000"/>
                <w:sz w:val="28"/>
                <w:szCs w:val="28"/>
              </w:rPr>
              <w:t>责任单位</w:t>
            </w:r>
          </w:p>
        </w:tc>
        <w:tc>
          <w:tcPr>
            <w:tcW w:w="3260" w:type="dxa"/>
          </w:tcPr>
          <w:p>
            <w:pPr>
              <w:spacing w:after="0" w:line="520" w:lineRule="exact"/>
              <w:jc w:val="center"/>
              <w:rPr>
                <w:rFonts w:ascii="仿宋_GB2312" w:eastAsia="仿宋_GB2312"/>
                <w:b/>
                <w:color w:val="000000"/>
                <w:sz w:val="28"/>
                <w:szCs w:val="28"/>
              </w:rPr>
            </w:pPr>
            <w:r>
              <w:rPr>
                <w:rFonts w:hint="eastAsia" w:ascii="仿宋_GB2312" w:eastAsia="仿宋_GB2312"/>
                <w:b/>
                <w:color w:val="000000"/>
                <w:sz w:val="28"/>
                <w:szCs w:val="28"/>
              </w:rPr>
              <w:t>检查结果</w:t>
            </w:r>
          </w:p>
        </w:tc>
        <w:tc>
          <w:tcPr>
            <w:tcW w:w="1069" w:type="dxa"/>
          </w:tcPr>
          <w:p>
            <w:pPr>
              <w:spacing w:after="0" w:line="520" w:lineRule="exact"/>
              <w:jc w:val="center"/>
              <w:rPr>
                <w:rFonts w:ascii="仿宋_GB2312" w:eastAsia="仿宋_GB2312"/>
                <w:b/>
                <w:color w:val="000000"/>
                <w:sz w:val="28"/>
                <w:szCs w:val="28"/>
              </w:rPr>
            </w:pPr>
            <w:r>
              <w:rPr>
                <w:rFonts w:hint="eastAsia" w:ascii="仿宋_GB2312" w:eastAsia="仿宋_GB2312"/>
                <w:b/>
                <w:color w:val="00000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17" w:type="dxa"/>
            <w:vAlign w:val="center"/>
          </w:tcPr>
          <w:p>
            <w:pPr>
              <w:spacing w:after="0" w:line="520" w:lineRule="exact"/>
              <w:jc w:val="center"/>
              <w:rPr>
                <w:rFonts w:ascii="仿宋_GB2312" w:eastAsia="仿宋_GB2312"/>
                <w:color w:val="000000"/>
                <w:sz w:val="28"/>
                <w:szCs w:val="28"/>
              </w:rPr>
            </w:pPr>
            <w:r>
              <w:rPr>
                <w:rFonts w:hint="eastAsia" w:ascii="仿宋_GB2312" w:eastAsia="仿宋_GB2312"/>
                <w:color w:val="000000"/>
                <w:sz w:val="28"/>
                <w:szCs w:val="28"/>
              </w:rPr>
              <w:t>1</w:t>
            </w:r>
          </w:p>
        </w:tc>
        <w:tc>
          <w:tcPr>
            <w:tcW w:w="6662" w:type="dxa"/>
          </w:tcPr>
          <w:p>
            <w:pPr>
              <w:spacing w:after="0" w:line="240" w:lineRule="atLeast"/>
              <w:ind w:firstLine="422" w:firstLineChars="200"/>
              <w:jc w:val="center"/>
              <w:rPr>
                <w:rFonts w:ascii="宋体" w:hAnsi="宋体" w:eastAsia="宋体"/>
                <w:color w:val="000000"/>
                <w:sz w:val="21"/>
                <w:szCs w:val="21"/>
              </w:rPr>
            </w:pPr>
            <w:r>
              <w:rPr>
                <w:rFonts w:hint="eastAsia" w:ascii="宋体" w:hAnsi="宋体" w:eastAsia="宋体"/>
                <w:b/>
                <w:color w:val="000000"/>
                <w:sz w:val="21"/>
                <w:szCs w:val="21"/>
              </w:rPr>
              <w:t>施工工地扬尘污染监管。</w:t>
            </w:r>
            <w:r>
              <w:rPr>
                <w:rFonts w:hint="eastAsia" w:ascii="宋体" w:hAnsi="宋体" w:eastAsia="宋体"/>
                <w:color w:val="000000"/>
                <w:sz w:val="21"/>
                <w:szCs w:val="21"/>
              </w:rPr>
              <w:t>检查房建工程、建筑物拆除施工工地、低丘缓坡沟壑等未利用地开发项目、土方开挖、土地平整等施工现场是否有扬尘污染防治措施；施工工地是否采取周边硬质密闭围挡、物料堆放覆盖或密闭储存、出入车辆冲洗、施工现场地面硬化保洁、建筑土方（工程渣土、建筑垃圾）密闭堆存和及时密闭清运、拆迁工地湿法作业等6个100%抑尘措施；现场是否存在野蛮施工等现象。</w:t>
            </w:r>
          </w:p>
        </w:tc>
        <w:tc>
          <w:tcPr>
            <w:tcW w:w="2410" w:type="dxa"/>
            <w:vAlign w:val="center"/>
          </w:tcPr>
          <w:p>
            <w:pPr>
              <w:spacing w:after="0" w:line="520" w:lineRule="exact"/>
              <w:jc w:val="center"/>
              <w:rPr>
                <w:rFonts w:hint="eastAsia" w:ascii="仿宋_GB2312" w:eastAsia="仿宋_GB2312"/>
                <w:color w:val="000000"/>
                <w:sz w:val="28"/>
                <w:szCs w:val="28"/>
                <w:lang w:eastAsia="zh-CN"/>
              </w:rPr>
            </w:pPr>
            <w:r>
              <w:rPr>
                <w:rFonts w:hint="eastAsia" w:ascii="仿宋" w:hAnsi="仿宋" w:eastAsia="仿宋" w:cs="仿宋"/>
                <w:color w:val="000000"/>
                <w:sz w:val="24"/>
                <w:szCs w:val="24"/>
                <w:lang w:eastAsia="zh-CN"/>
              </w:rPr>
              <w:t>城（乡）建设局</w:t>
            </w:r>
          </w:p>
        </w:tc>
        <w:tc>
          <w:tcPr>
            <w:tcW w:w="3260" w:type="dxa"/>
            <w:vAlign w:val="center"/>
          </w:tcPr>
          <w:p>
            <w:pPr>
              <w:spacing w:after="0" w:line="520" w:lineRule="exact"/>
              <w:jc w:val="center"/>
              <w:rPr>
                <w:rFonts w:ascii="仿宋_GB2312" w:eastAsia="仿宋_GB2312"/>
                <w:color w:val="000000"/>
                <w:sz w:val="28"/>
                <w:szCs w:val="28"/>
              </w:rPr>
            </w:pPr>
          </w:p>
        </w:tc>
        <w:tc>
          <w:tcPr>
            <w:tcW w:w="1069" w:type="dxa"/>
            <w:vAlign w:val="center"/>
          </w:tcPr>
          <w:p>
            <w:pPr>
              <w:spacing w:after="0" w:line="520" w:lineRule="exact"/>
              <w:jc w:val="cente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after="0" w:line="520" w:lineRule="exact"/>
              <w:jc w:val="center"/>
              <w:rPr>
                <w:rFonts w:ascii="仿宋_GB2312" w:eastAsia="仿宋_GB2312"/>
                <w:color w:val="000000"/>
                <w:sz w:val="28"/>
                <w:szCs w:val="28"/>
              </w:rPr>
            </w:pPr>
            <w:r>
              <w:rPr>
                <w:rFonts w:hint="eastAsia" w:ascii="仿宋_GB2312" w:eastAsia="仿宋_GB2312"/>
                <w:color w:val="000000"/>
                <w:sz w:val="28"/>
                <w:szCs w:val="28"/>
              </w:rPr>
              <w:t>2</w:t>
            </w:r>
          </w:p>
        </w:tc>
        <w:tc>
          <w:tcPr>
            <w:tcW w:w="6662" w:type="dxa"/>
          </w:tcPr>
          <w:p>
            <w:pPr>
              <w:spacing w:after="0" w:line="240" w:lineRule="atLeast"/>
              <w:ind w:firstLine="422" w:firstLineChars="200"/>
              <w:jc w:val="center"/>
              <w:rPr>
                <w:rFonts w:ascii="宋体" w:hAnsi="宋体" w:eastAsia="宋体"/>
                <w:color w:val="000000"/>
                <w:sz w:val="21"/>
                <w:szCs w:val="21"/>
              </w:rPr>
            </w:pPr>
            <w:r>
              <w:rPr>
                <w:rFonts w:hint="eastAsia" w:ascii="宋体" w:hAnsi="宋体" w:eastAsia="宋体"/>
                <w:b/>
                <w:color w:val="000000"/>
                <w:sz w:val="21"/>
                <w:szCs w:val="21"/>
              </w:rPr>
              <w:t>市政工程扬尘污染监管。</w:t>
            </w:r>
            <w:r>
              <w:rPr>
                <w:rFonts w:hint="eastAsia" w:ascii="宋体" w:hAnsi="宋体" w:eastAsia="宋体"/>
                <w:color w:val="000000"/>
                <w:sz w:val="21"/>
                <w:szCs w:val="21"/>
              </w:rPr>
              <w:t>检查市政基础设施建设工程是否采取分段作业、择时施工措施；暂时不能施工的建设用地，建设单位是否对裸露地面进行覆盖；市政施工工地水泥、石灰、石膏、砂土等易产生扬尘的物料是否实行密闭储存；无法密闭的物料是否设置了不低于堆放物高度的严密围挡，是否采取有效覆盖措施防治扬尘污染；装卸物料是否采取密闭或者喷淋等方式防治扬尘污染。</w:t>
            </w:r>
          </w:p>
        </w:tc>
        <w:tc>
          <w:tcPr>
            <w:tcW w:w="2410" w:type="dxa"/>
            <w:vAlign w:val="center"/>
          </w:tcPr>
          <w:p>
            <w:pPr>
              <w:spacing w:after="0" w:line="520" w:lineRule="exac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城（乡）建设局</w:t>
            </w:r>
          </w:p>
          <w:p>
            <w:pPr>
              <w:spacing w:after="0" w:line="520" w:lineRule="exact"/>
              <w:jc w:val="center"/>
              <w:rPr>
                <w:rFonts w:hint="eastAsia" w:ascii="仿宋_GB2312" w:eastAsia="仿宋_GB2312"/>
                <w:color w:val="000000"/>
                <w:sz w:val="28"/>
                <w:szCs w:val="28"/>
                <w:lang w:eastAsia="zh-CN"/>
              </w:rPr>
            </w:pPr>
            <w:r>
              <w:rPr>
                <w:rFonts w:hint="eastAsia" w:ascii="仿宋" w:hAnsi="仿宋" w:eastAsia="仿宋" w:cs="仿宋"/>
                <w:color w:val="000000"/>
                <w:sz w:val="24"/>
                <w:szCs w:val="24"/>
                <w:lang w:eastAsia="zh-CN"/>
              </w:rPr>
              <w:t>文曲中心社区工委</w:t>
            </w:r>
          </w:p>
        </w:tc>
        <w:tc>
          <w:tcPr>
            <w:tcW w:w="3260" w:type="dxa"/>
            <w:vAlign w:val="center"/>
          </w:tcPr>
          <w:p>
            <w:pPr>
              <w:spacing w:after="0" w:line="520" w:lineRule="exact"/>
              <w:jc w:val="center"/>
              <w:rPr>
                <w:rFonts w:ascii="仿宋_GB2312" w:eastAsia="仿宋_GB2312"/>
                <w:color w:val="000000"/>
                <w:sz w:val="28"/>
                <w:szCs w:val="28"/>
              </w:rPr>
            </w:pPr>
          </w:p>
        </w:tc>
        <w:tc>
          <w:tcPr>
            <w:tcW w:w="1069" w:type="dxa"/>
            <w:vAlign w:val="center"/>
          </w:tcPr>
          <w:p>
            <w:pPr>
              <w:spacing w:after="0" w:line="520" w:lineRule="exact"/>
              <w:jc w:val="cente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after="0" w:line="520" w:lineRule="exact"/>
              <w:jc w:val="center"/>
              <w:rPr>
                <w:rFonts w:ascii="仿宋_GB2312" w:eastAsia="仿宋_GB2312"/>
                <w:color w:val="000000"/>
                <w:sz w:val="28"/>
                <w:szCs w:val="28"/>
              </w:rPr>
            </w:pPr>
            <w:r>
              <w:rPr>
                <w:rFonts w:hint="eastAsia" w:ascii="仿宋_GB2312" w:eastAsia="仿宋_GB2312"/>
                <w:color w:val="000000"/>
                <w:sz w:val="28"/>
                <w:szCs w:val="28"/>
              </w:rPr>
              <w:t>3</w:t>
            </w:r>
          </w:p>
        </w:tc>
        <w:tc>
          <w:tcPr>
            <w:tcW w:w="6662" w:type="dxa"/>
          </w:tcPr>
          <w:p>
            <w:pPr>
              <w:spacing w:after="0" w:line="240" w:lineRule="atLeast"/>
              <w:ind w:firstLine="422" w:firstLineChars="200"/>
              <w:jc w:val="center"/>
              <w:rPr>
                <w:rFonts w:ascii="宋体" w:hAnsi="宋体" w:eastAsia="宋体"/>
                <w:color w:val="000000"/>
                <w:sz w:val="21"/>
                <w:szCs w:val="21"/>
              </w:rPr>
            </w:pPr>
            <w:r>
              <w:rPr>
                <w:rFonts w:hint="eastAsia" w:ascii="宋体" w:hAnsi="宋体" w:eastAsia="宋体"/>
                <w:b/>
                <w:color w:val="000000"/>
                <w:sz w:val="21"/>
                <w:szCs w:val="21"/>
              </w:rPr>
              <w:t>拆迁工程扬尘污染监管。</w:t>
            </w:r>
            <w:r>
              <w:rPr>
                <w:rFonts w:hint="eastAsia" w:ascii="宋体" w:hAnsi="宋体" w:eastAsia="宋体"/>
                <w:color w:val="000000"/>
                <w:sz w:val="21"/>
                <w:szCs w:val="21"/>
              </w:rPr>
              <w:t>检查房建及建筑物拆除审批手续是否完整。拆迁作业是否同步实施提前湿化喷淋和高空喷雾抑尘。工地施工是否做到场地周边、物料堆场、车体车轮、施工道路“四净”。拆除后暂时不能开工的建设用地，建设单位是否对裸露地面采用可降解材料进行覆盖，超过三个月的是否进行绿化；重点扬尘工地是否实行行业监管方、属地监管方、建设方和施工方“四员”现场管理。</w:t>
            </w:r>
          </w:p>
        </w:tc>
        <w:tc>
          <w:tcPr>
            <w:tcW w:w="2410" w:type="dxa"/>
            <w:vAlign w:val="center"/>
          </w:tcPr>
          <w:p>
            <w:pPr>
              <w:spacing w:after="0" w:line="520" w:lineRule="exac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资源环境局</w:t>
            </w:r>
          </w:p>
          <w:p>
            <w:pPr>
              <w:spacing w:after="0" w:line="520" w:lineRule="exact"/>
              <w:jc w:val="center"/>
              <w:rPr>
                <w:rFonts w:hint="eastAsia" w:ascii="仿宋_GB2312" w:eastAsia="仿宋_GB2312"/>
                <w:color w:val="000000"/>
                <w:sz w:val="28"/>
                <w:szCs w:val="28"/>
                <w:lang w:eastAsia="zh-CN"/>
              </w:rPr>
            </w:pPr>
            <w:r>
              <w:rPr>
                <w:rFonts w:hint="eastAsia" w:ascii="仿宋" w:hAnsi="仿宋" w:eastAsia="仿宋" w:cs="仿宋"/>
                <w:color w:val="000000"/>
                <w:sz w:val="24"/>
                <w:szCs w:val="24"/>
                <w:lang w:eastAsia="zh-CN"/>
              </w:rPr>
              <w:t>西岔镇人民政府</w:t>
            </w:r>
          </w:p>
        </w:tc>
        <w:tc>
          <w:tcPr>
            <w:tcW w:w="3260" w:type="dxa"/>
            <w:vAlign w:val="center"/>
          </w:tcPr>
          <w:p>
            <w:pPr>
              <w:spacing w:after="0" w:line="520" w:lineRule="exact"/>
              <w:jc w:val="center"/>
              <w:rPr>
                <w:rFonts w:ascii="仿宋_GB2312" w:eastAsia="仿宋_GB2312"/>
                <w:color w:val="000000"/>
                <w:sz w:val="28"/>
                <w:szCs w:val="28"/>
              </w:rPr>
            </w:pPr>
          </w:p>
        </w:tc>
        <w:tc>
          <w:tcPr>
            <w:tcW w:w="1069" w:type="dxa"/>
            <w:vAlign w:val="center"/>
          </w:tcPr>
          <w:p>
            <w:pPr>
              <w:spacing w:after="0" w:line="520" w:lineRule="exact"/>
              <w:jc w:val="cente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after="0" w:line="520" w:lineRule="exact"/>
              <w:jc w:val="center"/>
              <w:rPr>
                <w:rFonts w:ascii="仿宋_GB2312" w:eastAsia="仿宋_GB2312"/>
                <w:color w:val="000000"/>
                <w:sz w:val="28"/>
                <w:szCs w:val="28"/>
              </w:rPr>
            </w:pPr>
            <w:r>
              <w:rPr>
                <w:rFonts w:hint="eastAsia" w:ascii="仿宋_GB2312" w:eastAsia="仿宋_GB2312"/>
                <w:color w:val="000000"/>
                <w:sz w:val="28"/>
                <w:szCs w:val="28"/>
              </w:rPr>
              <w:t>4</w:t>
            </w:r>
          </w:p>
        </w:tc>
        <w:tc>
          <w:tcPr>
            <w:tcW w:w="6662" w:type="dxa"/>
          </w:tcPr>
          <w:p>
            <w:pPr>
              <w:spacing w:after="0" w:line="240" w:lineRule="atLeast"/>
              <w:ind w:firstLine="422" w:firstLineChars="200"/>
              <w:jc w:val="center"/>
              <w:rPr>
                <w:rFonts w:ascii="宋体" w:hAnsi="宋体" w:eastAsia="宋体"/>
                <w:color w:val="000000"/>
                <w:sz w:val="21"/>
                <w:szCs w:val="21"/>
              </w:rPr>
            </w:pPr>
            <w:r>
              <w:rPr>
                <w:rFonts w:hint="eastAsia" w:ascii="宋体" w:hAnsi="宋体" w:eastAsia="宋体"/>
                <w:b/>
                <w:color w:val="000000"/>
                <w:sz w:val="21"/>
                <w:szCs w:val="21"/>
              </w:rPr>
              <w:t>未利用地开发扬尘污染源头管控。</w:t>
            </w:r>
            <w:r>
              <w:rPr>
                <w:rFonts w:hint="eastAsia" w:ascii="宋体" w:hAnsi="宋体" w:eastAsia="宋体"/>
                <w:color w:val="000000"/>
                <w:sz w:val="21"/>
                <w:szCs w:val="21"/>
              </w:rPr>
              <w:t>项目建设单位是否制定未利用地开发项目扬尘污染防治方案，是否报新区国土局、环保局和所在园区管委会备案；是否存在防尘、降尘、抑尘措施不到位的情况下开挖土方等行为。</w:t>
            </w:r>
          </w:p>
        </w:tc>
        <w:tc>
          <w:tcPr>
            <w:tcW w:w="2410" w:type="dxa"/>
            <w:vAlign w:val="center"/>
          </w:tcPr>
          <w:p>
            <w:pPr>
              <w:spacing w:after="0" w:line="520" w:lineRule="exac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资源环境局</w:t>
            </w:r>
          </w:p>
        </w:tc>
        <w:tc>
          <w:tcPr>
            <w:tcW w:w="3260" w:type="dxa"/>
            <w:vAlign w:val="center"/>
          </w:tcPr>
          <w:p>
            <w:pPr>
              <w:spacing w:after="0" w:line="520" w:lineRule="exact"/>
              <w:jc w:val="center"/>
              <w:rPr>
                <w:rFonts w:hint="eastAsia" w:ascii="仿宋" w:hAnsi="仿宋" w:eastAsia="仿宋" w:cs="仿宋"/>
                <w:color w:val="000000"/>
                <w:sz w:val="24"/>
                <w:szCs w:val="24"/>
                <w:lang w:eastAsia="zh-CN"/>
              </w:rPr>
            </w:pPr>
          </w:p>
        </w:tc>
        <w:tc>
          <w:tcPr>
            <w:tcW w:w="1069" w:type="dxa"/>
            <w:vAlign w:val="center"/>
          </w:tcPr>
          <w:p>
            <w:pPr>
              <w:spacing w:after="0" w:line="520" w:lineRule="exact"/>
              <w:jc w:val="cente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after="0" w:line="520" w:lineRule="exact"/>
              <w:jc w:val="center"/>
              <w:rPr>
                <w:rFonts w:ascii="仿宋_GB2312" w:eastAsia="仿宋_GB2312"/>
                <w:color w:val="000000"/>
                <w:sz w:val="28"/>
                <w:szCs w:val="28"/>
              </w:rPr>
            </w:pPr>
            <w:r>
              <w:rPr>
                <w:rFonts w:hint="eastAsia" w:ascii="仿宋_GB2312" w:eastAsia="仿宋_GB2312"/>
                <w:color w:val="000000"/>
                <w:sz w:val="28"/>
                <w:szCs w:val="28"/>
              </w:rPr>
              <w:t>5</w:t>
            </w:r>
          </w:p>
        </w:tc>
        <w:tc>
          <w:tcPr>
            <w:tcW w:w="6662" w:type="dxa"/>
          </w:tcPr>
          <w:p>
            <w:pPr>
              <w:spacing w:after="0" w:line="240" w:lineRule="atLeast"/>
              <w:ind w:firstLine="422" w:firstLineChars="200"/>
              <w:jc w:val="center"/>
              <w:rPr>
                <w:rFonts w:ascii="宋体" w:hAnsi="宋体" w:eastAsia="宋体"/>
                <w:color w:val="000000"/>
                <w:sz w:val="21"/>
                <w:szCs w:val="21"/>
              </w:rPr>
            </w:pPr>
            <w:r>
              <w:rPr>
                <w:rFonts w:hint="eastAsia" w:ascii="宋体" w:hAnsi="宋体" w:eastAsia="宋体"/>
                <w:b/>
                <w:color w:val="000000"/>
                <w:sz w:val="21"/>
                <w:szCs w:val="21"/>
              </w:rPr>
              <w:t>渣土运输扬尘污染监管。</w:t>
            </w:r>
            <w:r>
              <w:rPr>
                <w:rFonts w:hint="eastAsia" w:ascii="宋体" w:hAnsi="宋体" w:eastAsia="宋体"/>
                <w:color w:val="000000"/>
                <w:sz w:val="21"/>
                <w:szCs w:val="21"/>
              </w:rPr>
              <w:t>车辆运输和装卸建筑垃圾、渣土、砂石、土方、灰浆等散装、流体物料的车辆是否采取密闭或者其他措施防止物料遗撒造成扬尘污染；渣土运输车辆是否落实密闭运输、编号准入和加装限速器管制等措施，是否按照规定路线、规定时段、规定时速行驶。</w:t>
            </w:r>
          </w:p>
        </w:tc>
        <w:tc>
          <w:tcPr>
            <w:tcW w:w="2410" w:type="dxa"/>
            <w:vAlign w:val="center"/>
          </w:tcPr>
          <w:p>
            <w:pPr>
              <w:spacing w:after="0" w:line="520" w:lineRule="exact"/>
              <w:jc w:val="center"/>
              <w:rPr>
                <w:rFonts w:hint="eastAsia" w:ascii="仿宋_GB2312" w:eastAsia="仿宋_GB2312"/>
                <w:color w:val="000000"/>
                <w:sz w:val="28"/>
                <w:szCs w:val="28"/>
                <w:lang w:eastAsia="zh-CN"/>
              </w:rPr>
            </w:pPr>
            <w:r>
              <w:rPr>
                <w:rFonts w:hint="eastAsia" w:ascii="仿宋" w:hAnsi="仿宋" w:eastAsia="仿宋" w:cs="仿宋"/>
                <w:color w:val="000000"/>
                <w:sz w:val="24"/>
                <w:szCs w:val="24"/>
                <w:lang w:eastAsia="zh-CN"/>
              </w:rPr>
              <w:t>城（乡）建设局</w:t>
            </w:r>
          </w:p>
        </w:tc>
        <w:tc>
          <w:tcPr>
            <w:tcW w:w="3260" w:type="dxa"/>
            <w:vAlign w:val="center"/>
          </w:tcPr>
          <w:p>
            <w:pPr>
              <w:spacing w:after="0" w:line="520" w:lineRule="exact"/>
              <w:jc w:val="center"/>
              <w:rPr>
                <w:rFonts w:ascii="仿宋_GB2312" w:eastAsia="仿宋_GB2312"/>
                <w:color w:val="000000"/>
                <w:sz w:val="28"/>
                <w:szCs w:val="28"/>
              </w:rPr>
            </w:pPr>
          </w:p>
        </w:tc>
        <w:tc>
          <w:tcPr>
            <w:tcW w:w="1069" w:type="dxa"/>
            <w:vAlign w:val="center"/>
          </w:tcPr>
          <w:p>
            <w:pPr>
              <w:spacing w:after="0" w:line="520" w:lineRule="exact"/>
              <w:jc w:val="cente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817" w:type="dxa"/>
            <w:vAlign w:val="center"/>
          </w:tcPr>
          <w:p>
            <w:pPr>
              <w:spacing w:after="0" w:line="520" w:lineRule="exact"/>
              <w:jc w:val="center"/>
              <w:rPr>
                <w:rFonts w:ascii="仿宋_GB2312" w:eastAsia="仿宋_GB2312"/>
                <w:color w:val="000000"/>
                <w:sz w:val="28"/>
                <w:szCs w:val="28"/>
              </w:rPr>
            </w:pPr>
            <w:r>
              <w:rPr>
                <w:rFonts w:hint="eastAsia" w:ascii="仿宋_GB2312" w:eastAsia="仿宋_GB2312"/>
                <w:color w:val="000000"/>
                <w:sz w:val="28"/>
                <w:szCs w:val="28"/>
              </w:rPr>
              <w:t>6</w:t>
            </w:r>
          </w:p>
        </w:tc>
        <w:tc>
          <w:tcPr>
            <w:tcW w:w="6662" w:type="dxa"/>
          </w:tcPr>
          <w:p>
            <w:pPr>
              <w:spacing w:after="0" w:line="240" w:lineRule="atLeast"/>
              <w:ind w:firstLine="422" w:firstLineChars="200"/>
              <w:jc w:val="center"/>
              <w:rPr>
                <w:rFonts w:ascii="宋体" w:hAnsi="宋体" w:eastAsia="宋体"/>
                <w:color w:val="000000"/>
                <w:sz w:val="21"/>
                <w:szCs w:val="21"/>
              </w:rPr>
            </w:pPr>
            <w:r>
              <w:rPr>
                <w:rFonts w:hint="eastAsia" w:ascii="宋体" w:hAnsi="宋体" w:eastAsia="宋体"/>
                <w:b/>
                <w:color w:val="000000"/>
                <w:sz w:val="21"/>
                <w:szCs w:val="21"/>
              </w:rPr>
              <w:t>道路施工扬尘污染管控。</w:t>
            </w:r>
            <w:r>
              <w:rPr>
                <w:rFonts w:hint="eastAsia" w:ascii="宋体" w:hAnsi="宋体" w:eastAsia="宋体"/>
                <w:color w:val="000000"/>
                <w:sz w:val="21"/>
                <w:szCs w:val="21"/>
              </w:rPr>
              <w:t>分时分段检查道路施工现场是否存在扬尘污染；城乡结合部未硬化道路、土路等便道改造计划是否有抑尘措施；是否分批次分步骤实施硬化或铺设砂石等措施抑制道路交通扬尘污染。</w:t>
            </w:r>
          </w:p>
        </w:tc>
        <w:tc>
          <w:tcPr>
            <w:tcW w:w="2410" w:type="dxa"/>
            <w:vAlign w:val="center"/>
          </w:tcPr>
          <w:p>
            <w:pPr>
              <w:spacing w:after="0" w:line="520" w:lineRule="exact"/>
              <w:jc w:val="center"/>
              <w:rPr>
                <w:rFonts w:hint="eastAsia" w:ascii="仿宋" w:hAnsi="仿宋" w:eastAsia="仿宋" w:cs="仿宋"/>
                <w:color w:val="000000"/>
                <w:sz w:val="28"/>
                <w:szCs w:val="28"/>
                <w:lang w:eastAsia="zh-CN"/>
              </w:rPr>
            </w:pPr>
            <w:r>
              <w:rPr>
                <w:rFonts w:hint="eastAsia" w:ascii="仿宋" w:hAnsi="仿宋" w:eastAsia="仿宋" w:cs="仿宋"/>
                <w:color w:val="000000"/>
                <w:sz w:val="24"/>
                <w:szCs w:val="24"/>
                <w:lang w:eastAsia="zh-CN"/>
              </w:rPr>
              <w:t>城（乡）建设局</w:t>
            </w:r>
          </w:p>
        </w:tc>
        <w:tc>
          <w:tcPr>
            <w:tcW w:w="3260" w:type="dxa"/>
            <w:vAlign w:val="center"/>
          </w:tcPr>
          <w:p>
            <w:pPr>
              <w:spacing w:after="0" w:line="520" w:lineRule="exact"/>
              <w:jc w:val="center"/>
              <w:rPr>
                <w:rFonts w:ascii="仿宋_GB2312" w:eastAsia="仿宋_GB2312"/>
                <w:color w:val="000000"/>
                <w:sz w:val="28"/>
                <w:szCs w:val="28"/>
              </w:rPr>
            </w:pPr>
          </w:p>
        </w:tc>
        <w:tc>
          <w:tcPr>
            <w:tcW w:w="1069" w:type="dxa"/>
            <w:vAlign w:val="center"/>
          </w:tcPr>
          <w:p>
            <w:pPr>
              <w:spacing w:after="0" w:line="520" w:lineRule="exact"/>
              <w:jc w:val="cente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2" w:hRule="atLeast"/>
        </w:trPr>
        <w:tc>
          <w:tcPr>
            <w:tcW w:w="817" w:type="dxa"/>
            <w:vAlign w:val="center"/>
          </w:tcPr>
          <w:p>
            <w:pPr>
              <w:spacing w:after="0" w:line="520" w:lineRule="exact"/>
              <w:jc w:val="center"/>
              <w:rPr>
                <w:rFonts w:ascii="仿宋_GB2312" w:eastAsia="仿宋_GB2312"/>
                <w:color w:val="000000"/>
                <w:sz w:val="28"/>
                <w:szCs w:val="28"/>
              </w:rPr>
            </w:pPr>
            <w:r>
              <w:rPr>
                <w:rFonts w:hint="eastAsia" w:ascii="仿宋_GB2312" w:eastAsia="仿宋_GB2312"/>
                <w:color w:val="000000"/>
                <w:sz w:val="28"/>
                <w:szCs w:val="28"/>
              </w:rPr>
              <w:t>7</w:t>
            </w:r>
          </w:p>
        </w:tc>
        <w:tc>
          <w:tcPr>
            <w:tcW w:w="6662" w:type="dxa"/>
          </w:tcPr>
          <w:p>
            <w:pPr>
              <w:spacing w:after="0" w:line="240" w:lineRule="atLeast"/>
              <w:ind w:firstLine="422" w:firstLineChars="200"/>
              <w:jc w:val="center"/>
              <w:rPr>
                <w:rFonts w:ascii="宋体" w:hAnsi="宋体" w:eastAsia="宋体"/>
                <w:color w:val="000000"/>
                <w:sz w:val="21"/>
                <w:szCs w:val="21"/>
              </w:rPr>
            </w:pPr>
            <w:r>
              <w:rPr>
                <w:rFonts w:hint="eastAsia" w:ascii="宋体" w:hAnsi="宋体" w:eastAsia="宋体"/>
                <w:b/>
                <w:color w:val="000000"/>
                <w:sz w:val="21"/>
                <w:szCs w:val="21"/>
              </w:rPr>
              <w:t>工业堆场扬尘污染管控。</w:t>
            </w:r>
            <w:r>
              <w:rPr>
                <w:rFonts w:hint="eastAsia" w:ascii="宋体" w:hAnsi="宋体" w:eastAsia="宋体"/>
                <w:color w:val="000000"/>
                <w:sz w:val="21"/>
                <w:szCs w:val="21"/>
              </w:rPr>
              <w:t>检查工业堆煤场、工业渣场等工业企业堆场是否存在扬尘污染。现场不能密闭的，是否设置了不低于堆放物高度的严密围挡，是否采取有效覆盖措施防治扬尘污染；装卸物料是否采取密闭或者喷淋等方式防治扬尘污染。垃圾填埋场和消纳场是否按要求实施分区作业，是否采取有效措施防治扬尘污染。</w:t>
            </w:r>
          </w:p>
        </w:tc>
        <w:tc>
          <w:tcPr>
            <w:tcW w:w="2410" w:type="dxa"/>
            <w:vAlign w:val="center"/>
          </w:tcPr>
          <w:p>
            <w:pPr>
              <w:spacing w:after="0" w:line="520" w:lineRule="exact"/>
              <w:jc w:val="center"/>
              <w:rPr>
                <w:rFonts w:hint="eastAsia" w:ascii="仿宋" w:hAnsi="仿宋" w:eastAsia="仿宋" w:cs="仿宋"/>
                <w:color w:val="000000"/>
                <w:sz w:val="28"/>
                <w:szCs w:val="28"/>
                <w:lang w:eastAsia="zh-CN"/>
              </w:rPr>
            </w:pPr>
            <w:r>
              <w:rPr>
                <w:rFonts w:hint="eastAsia" w:ascii="仿宋" w:hAnsi="仿宋" w:eastAsia="仿宋" w:cs="仿宋"/>
                <w:color w:val="000000"/>
                <w:sz w:val="24"/>
                <w:szCs w:val="24"/>
                <w:lang w:eastAsia="zh-CN"/>
              </w:rPr>
              <w:t>资源环境局</w:t>
            </w:r>
          </w:p>
        </w:tc>
        <w:tc>
          <w:tcPr>
            <w:tcW w:w="3260" w:type="dxa"/>
            <w:vAlign w:val="center"/>
          </w:tcPr>
          <w:p>
            <w:pPr>
              <w:spacing w:after="0" w:line="520" w:lineRule="exact"/>
              <w:jc w:val="center"/>
              <w:rPr>
                <w:rFonts w:ascii="仿宋_GB2312" w:eastAsia="仿宋_GB2312"/>
                <w:color w:val="000000"/>
                <w:sz w:val="28"/>
                <w:szCs w:val="28"/>
              </w:rPr>
            </w:pPr>
          </w:p>
        </w:tc>
        <w:tc>
          <w:tcPr>
            <w:tcW w:w="1069" w:type="dxa"/>
            <w:vAlign w:val="center"/>
          </w:tcPr>
          <w:p>
            <w:pPr>
              <w:spacing w:after="0" w:line="520" w:lineRule="exact"/>
              <w:jc w:val="cente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817" w:type="dxa"/>
            <w:vAlign w:val="center"/>
          </w:tcPr>
          <w:p>
            <w:pPr>
              <w:spacing w:after="0" w:line="520" w:lineRule="exact"/>
              <w:jc w:val="center"/>
              <w:rPr>
                <w:rFonts w:ascii="仿宋_GB2312" w:eastAsia="仿宋_GB2312"/>
                <w:color w:val="000000"/>
                <w:sz w:val="28"/>
                <w:szCs w:val="28"/>
              </w:rPr>
            </w:pPr>
            <w:r>
              <w:rPr>
                <w:rFonts w:hint="eastAsia" w:ascii="仿宋_GB2312" w:eastAsia="仿宋_GB2312"/>
                <w:color w:val="000000"/>
                <w:sz w:val="28"/>
                <w:szCs w:val="28"/>
              </w:rPr>
              <w:t>8</w:t>
            </w:r>
          </w:p>
        </w:tc>
        <w:tc>
          <w:tcPr>
            <w:tcW w:w="6662" w:type="dxa"/>
          </w:tcPr>
          <w:p>
            <w:pPr>
              <w:spacing w:after="0" w:line="240" w:lineRule="atLeast"/>
              <w:ind w:firstLine="422" w:firstLineChars="200"/>
              <w:jc w:val="center"/>
              <w:rPr>
                <w:rFonts w:ascii="宋体" w:hAnsi="宋体" w:eastAsia="宋体"/>
                <w:b/>
                <w:color w:val="000000"/>
                <w:sz w:val="21"/>
                <w:szCs w:val="21"/>
              </w:rPr>
            </w:pPr>
            <w:r>
              <w:rPr>
                <w:rFonts w:hint="eastAsia" w:ascii="宋体" w:hAnsi="宋体" w:eastAsia="宋体"/>
                <w:b/>
                <w:color w:val="000000"/>
                <w:sz w:val="21"/>
                <w:szCs w:val="21"/>
              </w:rPr>
              <w:t>煤炭市场堆煤场扬尘污染管控。</w:t>
            </w:r>
            <w:r>
              <w:rPr>
                <w:rFonts w:hint="eastAsia" w:ascii="宋体" w:hAnsi="宋体" w:eastAsia="宋体"/>
                <w:color w:val="000000"/>
                <w:sz w:val="21"/>
                <w:szCs w:val="21"/>
              </w:rPr>
              <w:t>检查煤炭一级和二级市场内堆煤场是否存在扬尘污染，是否按要求实施密闭储存；不能密闭的是否设置了不低于堆放物高度的严密围挡，是否采取有效覆盖措施防治扬尘污染；装卸物料是否采取密闭或者喷淋等方式防治扬尘污染。</w:t>
            </w:r>
          </w:p>
        </w:tc>
        <w:tc>
          <w:tcPr>
            <w:tcW w:w="2410" w:type="dxa"/>
            <w:vAlign w:val="center"/>
          </w:tcPr>
          <w:p>
            <w:pPr>
              <w:spacing w:after="0" w:line="520" w:lineRule="exact"/>
              <w:jc w:val="center"/>
              <w:rPr>
                <w:rFonts w:hint="eastAsia" w:ascii="仿宋" w:hAnsi="仿宋" w:eastAsia="仿宋" w:cs="仿宋"/>
                <w:color w:val="000000"/>
                <w:sz w:val="28"/>
                <w:szCs w:val="28"/>
                <w:lang w:eastAsia="zh-CN"/>
              </w:rPr>
            </w:pPr>
            <w:r>
              <w:rPr>
                <w:rFonts w:hint="eastAsia" w:ascii="仿宋" w:hAnsi="仿宋" w:eastAsia="仿宋" w:cs="仿宋"/>
                <w:color w:val="000000"/>
                <w:sz w:val="24"/>
                <w:szCs w:val="24"/>
                <w:lang w:eastAsia="zh-CN"/>
              </w:rPr>
              <w:t>经发局</w:t>
            </w:r>
          </w:p>
        </w:tc>
        <w:tc>
          <w:tcPr>
            <w:tcW w:w="3260" w:type="dxa"/>
            <w:vAlign w:val="center"/>
          </w:tcPr>
          <w:p>
            <w:pPr>
              <w:spacing w:after="0" w:line="520" w:lineRule="exact"/>
              <w:jc w:val="center"/>
              <w:rPr>
                <w:rFonts w:ascii="仿宋_GB2312" w:eastAsia="仿宋_GB2312"/>
                <w:color w:val="000000"/>
                <w:sz w:val="28"/>
                <w:szCs w:val="28"/>
              </w:rPr>
            </w:pPr>
          </w:p>
        </w:tc>
        <w:tc>
          <w:tcPr>
            <w:tcW w:w="1069" w:type="dxa"/>
            <w:vAlign w:val="center"/>
          </w:tcPr>
          <w:p>
            <w:pPr>
              <w:spacing w:after="0" w:line="520" w:lineRule="exact"/>
              <w:jc w:val="cente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trPr>
        <w:tc>
          <w:tcPr>
            <w:tcW w:w="817" w:type="dxa"/>
            <w:vAlign w:val="center"/>
          </w:tcPr>
          <w:p>
            <w:pPr>
              <w:spacing w:after="0" w:line="520" w:lineRule="exact"/>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9</w:t>
            </w:r>
          </w:p>
        </w:tc>
        <w:tc>
          <w:tcPr>
            <w:tcW w:w="6662" w:type="dxa"/>
          </w:tcPr>
          <w:p>
            <w:pPr>
              <w:spacing w:after="0" w:line="240" w:lineRule="atLeast"/>
              <w:ind w:firstLine="422" w:firstLineChars="200"/>
              <w:jc w:val="center"/>
              <w:rPr>
                <w:rFonts w:ascii="宋体" w:hAnsi="宋体" w:eastAsia="宋体"/>
                <w:b/>
                <w:color w:val="000000"/>
                <w:sz w:val="21"/>
                <w:szCs w:val="21"/>
              </w:rPr>
            </w:pPr>
            <w:r>
              <w:rPr>
                <w:rFonts w:hint="eastAsia" w:ascii="宋体" w:hAnsi="宋体" w:eastAsia="宋体"/>
                <w:b/>
                <w:color w:val="000000"/>
                <w:sz w:val="21"/>
                <w:szCs w:val="21"/>
              </w:rPr>
              <w:t>商砼企业扬尘污染监管。</w:t>
            </w:r>
            <w:r>
              <w:rPr>
                <w:rFonts w:hint="eastAsia" w:ascii="宋体" w:hAnsi="宋体" w:eastAsia="宋体"/>
                <w:color w:val="000000"/>
                <w:sz w:val="21"/>
                <w:szCs w:val="21"/>
              </w:rPr>
              <w:t>动态监管主城区建成区内所有商砼搅拌站，是否办理相关环保手续，环保设施或环保设施运行是否正常，是否有洗车设施，物料堆场是否落实抑尘措施，被管理部门勒令停业整顿的是否按要求进行整改，是否非法开工。</w:t>
            </w:r>
          </w:p>
        </w:tc>
        <w:tc>
          <w:tcPr>
            <w:tcW w:w="2410" w:type="dxa"/>
            <w:vAlign w:val="center"/>
          </w:tcPr>
          <w:p>
            <w:pPr>
              <w:spacing w:after="0" w:line="520" w:lineRule="exact"/>
              <w:jc w:val="center"/>
              <w:rPr>
                <w:rFonts w:hint="eastAsia" w:ascii="仿宋" w:hAnsi="仿宋" w:eastAsia="仿宋" w:cs="仿宋"/>
                <w:color w:val="000000"/>
                <w:sz w:val="28"/>
                <w:szCs w:val="28"/>
                <w:lang w:eastAsia="zh-CN"/>
              </w:rPr>
            </w:pPr>
            <w:r>
              <w:rPr>
                <w:rFonts w:hint="eastAsia" w:ascii="仿宋" w:hAnsi="仿宋" w:eastAsia="仿宋" w:cs="仿宋"/>
                <w:color w:val="000000"/>
                <w:sz w:val="24"/>
                <w:szCs w:val="24"/>
                <w:lang w:eastAsia="zh-CN"/>
              </w:rPr>
              <w:t>资源环境局</w:t>
            </w:r>
          </w:p>
        </w:tc>
        <w:tc>
          <w:tcPr>
            <w:tcW w:w="3260" w:type="dxa"/>
            <w:vAlign w:val="center"/>
          </w:tcPr>
          <w:p>
            <w:pPr>
              <w:spacing w:after="0" w:line="520" w:lineRule="exact"/>
              <w:jc w:val="center"/>
              <w:rPr>
                <w:rFonts w:ascii="仿宋_GB2312" w:eastAsia="仿宋_GB2312"/>
                <w:color w:val="000000"/>
                <w:sz w:val="28"/>
                <w:szCs w:val="28"/>
              </w:rPr>
            </w:pPr>
          </w:p>
        </w:tc>
        <w:tc>
          <w:tcPr>
            <w:tcW w:w="1069" w:type="dxa"/>
            <w:vAlign w:val="center"/>
          </w:tcPr>
          <w:p>
            <w:pPr>
              <w:spacing w:after="0" w:line="520" w:lineRule="exact"/>
              <w:jc w:val="cente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2" w:hRule="atLeast"/>
        </w:trPr>
        <w:tc>
          <w:tcPr>
            <w:tcW w:w="817" w:type="dxa"/>
            <w:vAlign w:val="center"/>
          </w:tcPr>
          <w:p>
            <w:pPr>
              <w:spacing w:after="0" w:line="520" w:lineRule="exact"/>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rPr>
              <w:t>1</w:t>
            </w:r>
            <w:r>
              <w:rPr>
                <w:rFonts w:hint="eastAsia" w:ascii="仿宋_GB2312" w:eastAsia="仿宋_GB2312"/>
                <w:color w:val="000000"/>
                <w:sz w:val="28"/>
                <w:szCs w:val="28"/>
                <w:lang w:val="en-US" w:eastAsia="zh-CN"/>
              </w:rPr>
              <w:t>0</w:t>
            </w:r>
          </w:p>
        </w:tc>
        <w:tc>
          <w:tcPr>
            <w:tcW w:w="6662" w:type="dxa"/>
          </w:tcPr>
          <w:p>
            <w:pPr>
              <w:spacing w:after="0" w:line="240" w:lineRule="atLeast"/>
              <w:ind w:firstLine="422" w:firstLineChars="200"/>
              <w:jc w:val="center"/>
              <w:rPr>
                <w:rFonts w:ascii="宋体" w:hAnsi="宋体" w:eastAsia="宋体"/>
                <w:b/>
                <w:color w:val="000000"/>
                <w:sz w:val="21"/>
                <w:szCs w:val="21"/>
              </w:rPr>
            </w:pPr>
            <w:r>
              <w:rPr>
                <w:rFonts w:hint="eastAsia" w:ascii="宋体" w:hAnsi="宋体" w:eastAsia="宋体"/>
                <w:b/>
                <w:color w:val="000000"/>
                <w:sz w:val="21"/>
                <w:szCs w:val="21"/>
              </w:rPr>
              <w:t>削山造地扬尘污染监管。</w:t>
            </w:r>
            <w:r>
              <w:rPr>
                <w:rFonts w:hint="eastAsia" w:ascii="宋体" w:hAnsi="宋体" w:eastAsia="宋体"/>
                <w:color w:val="000000"/>
                <w:sz w:val="21"/>
                <w:szCs w:val="21"/>
              </w:rPr>
              <w:t>全面检查削山造地施工现场，审批手续是否齐全，扬尘污染防治配套设施和措施是否到位，生态恢复工程是否实施，被管理部门勒令停业整顿的是否按要求进行整改，是否非法开工。</w:t>
            </w:r>
          </w:p>
        </w:tc>
        <w:tc>
          <w:tcPr>
            <w:tcW w:w="2410" w:type="dxa"/>
            <w:vAlign w:val="center"/>
          </w:tcPr>
          <w:p>
            <w:pPr>
              <w:spacing w:after="0" w:line="520" w:lineRule="exac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资源环境局</w:t>
            </w:r>
          </w:p>
          <w:p>
            <w:pPr>
              <w:spacing w:after="0" w:line="520" w:lineRule="exac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农林水务局</w:t>
            </w:r>
          </w:p>
          <w:p>
            <w:pPr>
              <w:spacing w:after="0" w:line="520" w:lineRule="exact"/>
              <w:jc w:val="center"/>
              <w:rPr>
                <w:rFonts w:hint="eastAsia" w:ascii="仿宋" w:hAnsi="仿宋" w:eastAsia="仿宋" w:cs="仿宋"/>
                <w:color w:val="000000"/>
                <w:sz w:val="28"/>
                <w:szCs w:val="28"/>
                <w:lang w:eastAsia="zh-CN"/>
              </w:rPr>
            </w:pPr>
            <w:r>
              <w:rPr>
                <w:rFonts w:hint="eastAsia" w:ascii="仿宋" w:hAnsi="仿宋" w:eastAsia="仿宋" w:cs="仿宋"/>
                <w:color w:val="000000"/>
                <w:sz w:val="24"/>
                <w:szCs w:val="24"/>
                <w:lang w:eastAsia="zh-CN"/>
              </w:rPr>
              <w:t>西岔镇人民政府</w:t>
            </w:r>
          </w:p>
        </w:tc>
        <w:tc>
          <w:tcPr>
            <w:tcW w:w="3260" w:type="dxa"/>
            <w:vAlign w:val="center"/>
          </w:tcPr>
          <w:p>
            <w:pPr>
              <w:spacing w:after="0" w:line="520" w:lineRule="exact"/>
              <w:jc w:val="center"/>
              <w:rPr>
                <w:rFonts w:ascii="仿宋_GB2312" w:eastAsia="仿宋_GB2312"/>
                <w:color w:val="000000"/>
                <w:sz w:val="28"/>
                <w:szCs w:val="28"/>
              </w:rPr>
            </w:pPr>
          </w:p>
        </w:tc>
        <w:tc>
          <w:tcPr>
            <w:tcW w:w="1069" w:type="dxa"/>
            <w:vAlign w:val="center"/>
          </w:tcPr>
          <w:p>
            <w:pPr>
              <w:spacing w:after="0" w:line="520" w:lineRule="exact"/>
              <w:jc w:val="center"/>
              <w:rPr>
                <w:rFonts w:ascii="仿宋_GB2312" w:eastAsia="仿宋_GB2312"/>
                <w:color w:val="000000"/>
                <w:sz w:val="28"/>
                <w:szCs w:val="28"/>
              </w:rPr>
            </w:pPr>
          </w:p>
        </w:tc>
      </w:tr>
    </w:tbl>
    <w:p>
      <w:pPr>
        <w:spacing w:after="0" w:line="520" w:lineRule="exact"/>
        <w:jc w:val="center"/>
        <w:rPr>
          <w:rFonts w:ascii="仿宋_GB2312" w:eastAsia="仿宋_GB2312"/>
          <w:sz w:val="28"/>
          <w:szCs w:val="28"/>
        </w:rPr>
      </w:pPr>
    </w:p>
    <w:p>
      <w:pPr>
        <w:spacing w:after="0" w:line="520" w:lineRule="exact"/>
        <w:jc w:val="center"/>
        <w:rPr>
          <w:rFonts w:ascii="仿宋_GB2312" w:eastAsia="仿宋_GB2312"/>
          <w:sz w:val="28"/>
          <w:szCs w:val="28"/>
        </w:rPr>
      </w:pPr>
    </w:p>
    <w:p>
      <w:pPr>
        <w:spacing w:after="0" w:line="520" w:lineRule="exact"/>
        <w:jc w:val="center"/>
        <w:rPr>
          <w:rFonts w:ascii="仿宋_GB2312" w:eastAsia="仿宋_GB2312"/>
          <w:sz w:val="28"/>
          <w:szCs w:val="28"/>
        </w:rPr>
      </w:pPr>
    </w:p>
    <w:p>
      <w:pPr>
        <w:spacing w:after="0" w:line="520" w:lineRule="exact"/>
        <w:jc w:val="center"/>
        <w:rPr>
          <w:rFonts w:ascii="仿宋_GB2312" w:eastAsia="仿宋_GB2312"/>
          <w:sz w:val="28"/>
          <w:szCs w:val="28"/>
        </w:rPr>
      </w:pPr>
    </w:p>
    <w:p>
      <w:pPr>
        <w:spacing w:after="0" w:line="520" w:lineRule="exact"/>
        <w:jc w:val="center"/>
        <w:rPr>
          <w:rFonts w:ascii="仿宋_GB2312" w:eastAsia="仿宋_GB2312"/>
          <w:sz w:val="28"/>
          <w:szCs w:val="28"/>
        </w:rPr>
      </w:pPr>
    </w:p>
    <w:p/>
    <w:sectPr>
      <w:pgSz w:w="16838" w:h="11906" w:orient="landscape"/>
      <w:pgMar w:top="1418" w:right="1418" w:bottom="1247" w:left="1418" w:header="709" w:footer="709"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259BC17-DB08-4051-9541-38C4340578B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embedRegular r:id="rId2" w:fontKey="{8EB9329B-9159-4B28-9D1E-4A58F3CFBA3D}"/>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3" w:fontKey="{477F2026-8E8F-4C9A-9C56-945685A711AD}"/>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wOGRmMmJmMjg2NTNjMmY5ODk5NjlmYmUyOGYxNTQifQ=="/>
  </w:docVars>
  <w:rsids>
    <w:rsidRoot w:val="20373D32"/>
    <w:rsid w:val="020B4E45"/>
    <w:rsid w:val="05774853"/>
    <w:rsid w:val="069642A2"/>
    <w:rsid w:val="0B0B4811"/>
    <w:rsid w:val="0D1A3685"/>
    <w:rsid w:val="1CC66D00"/>
    <w:rsid w:val="200F00D8"/>
    <w:rsid w:val="20373D32"/>
    <w:rsid w:val="2A0A434A"/>
    <w:rsid w:val="2FFD73D2"/>
    <w:rsid w:val="369337E3"/>
    <w:rsid w:val="3828446D"/>
    <w:rsid w:val="412F28BB"/>
    <w:rsid w:val="45FF5241"/>
    <w:rsid w:val="469244A8"/>
    <w:rsid w:val="4B562F99"/>
    <w:rsid w:val="4B6D277C"/>
    <w:rsid w:val="57E14232"/>
    <w:rsid w:val="7284206A"/>
    <w:rsid w:val="761041E3"/>
    <w:rsid w:val="7D4C5283"/>
    <w:rsid w:val="7DD03875"/>
    <w:rsid w:val="7DF823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61</Words>
  <Characters>61</Characters>
  <Lines>0</Lines>
  <Paragraphs>0</Paragraphs>
  <TotalTime>7</TotalTime>
  <ScaleCrop>false</ScaleCrop>
  <LinksUpToDate>false</LinksUpToDate>
  <CharactersWithSpaces>61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2019-04-08T09:25:00Z</dcterms:created>
  <dc:creator>Administrator</dc:creator>
  <cp:lastModifiedBy>DUWENJUN.</cp:lastModifiedBy>
  <dcterms:modified xsi:type="dcterms:W3CDTF">2023-06-15T08:17:21Z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3E381D4039904FF096D3D6670EA56E98_13</vt:lpwstr>
  </property>
</Properties>
</file>