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方正小标宋简体" w:eastAsia="方正小标宋简体"/>
          <w:sz w:val="44"/>
          <w:szCs w:val="44"/>
        </w:rPr>
      </w:pPr>
    </w:p>
    <w:p>
      <w:pPr>
        <w:keepNext w:val="0"/>
        <w:keepLines w:val="0"/>
        <w:pageBreakBefore w:val="0"/>
        <w:kinsoku/>
        <w:overflowPunct/>
        <w:topLinePunct w:val="0"/>
        <w:autoSpaceDE/>
        <w:autoSpaceDN/>
        <w:bidi w:val="0"/>
        <w:adjustRightInd/>
        <w:snapToGrid/>
        <w:spacing w:line="600" w:lineRule="exact"/>
        <w:jc w:val="center"/>
        <w:textAlignment w:val="auto"/>
        <w:rPr>
          <w:rFonts w:ascii="仿宋_GB2312" w:hAnsi="仿宋_GB2312" w:eastAsia="仿宋_GB2312" w:cs="仿宋_GB2312"/>
          <w:sz w:val="32"/>
          <w:szCs w:val="32"/>
        </w:rPr>
      </w:pPr>
    </w:p>
    <w:p>
      <w:pPr>
        <w:pStyle w:val="2"/>
        <w:keepNext w:val="0"/>
        <w:keepLines w:val="0"/>
        <w:pageBreakBefore w:val="0"/>
        <w:kinsoku/>
        <w:overflowPunct/>
        <w:topLinePunct w:val="0"/>
        <w:autoSpaceDE/>
        <w:autoSpaceDN/>
        <w:bidi w:val="0"/>
        <w:adjustRightInd/>
        <w:snapToGrid/>
        <w:spacing w:line="600" w:lineRule="exact"/>
        <w:textAlignment w:val="auto"/>
      </w:pPr>
    </w:p>
    <w:p>
      <w:pPr>
        <w:keepNext w:val="0"/>
        <w:keepLines w:val="0"/>
        <w:pageBreakBefore w:val="0"/>
        <w:kinsoku/>
        <w:overflowPunct/>
        <w:topLinePunct w:val="0"/>
        <w:autoSpaceDE/>
        <w:autoSpaceDN/>
        <w:bidi w:val="0"/>
        <w:adjustRightInd/>
        <w:snapToGrid/>
        <w:spacing w:line="6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2</w:t>
      </w:r>
      <w:r>
        <w:rPr>
          <w:rFonts w:hint="eastAsia" w:ascii="方正小标宋简体" w:eastAsia="方正小标宋简体"/>
          <w:sz w:val="44"/>
          <w:szCs w:val="44"/>
        </w:rPr>
        <w:t>年度兰州新区科技发展局</w:t>
      </w:r>
    </w:p>
    <w:p>
      <w:pPr>
        <w:keepNext w:val="0"/>
        <w:keepLines w:val="0"/>
        <w:pageBreakBefore w:val="0"/>
        <w:kinsoku/>
        <w:overflowPunct/>
        <w:topLinePunct w:val="0"/>
        <w:autoSpaceDE/>
        <w:autoSpaceDN/>
        <w:bidi w:val="0"/>
        <w:adjustRightInd/>
        <w:snapToGrid/>
        <w:spacing w:line="6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部门预算执行情况自评报告</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一、基本情况</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ascii="楷体" w:hAnsi="楷体" w:eastAsia="楷体"/>
          <w:b/>
          <w:bCs/>
          <w:sz w:val="32"/>
          <w:szCs w:val="32"/>
        </w:rPr>
      </w:pPr>
      <w:r>
        <w:rPr>
          <w:rFonts w:hint="eastAsia" w:ascii="楷体" w:hAnsi="楷体" w:eastAsia="楷体"/>
          <w:b/>
          <w:bCs/>
          <w:sz w:val="32"/>
          <w:szCs w:val="32"/>
        </w:rPr>
        <w:t>（一）部门主要职能</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依据三定方案，</w:t>
      </w:r>
      <w:r>
        <w:rPr>
          <w:rFonts w:hint="eastAsia" w:ascii="仿宋_GB2312" w:hAnsi="仿宋_GB2312" w:eastAsia="仿宋_GB2312" w:cs="仿宋_GB2312"/>
          <w:color w:val="000000"/>
          <w:kern w:val="0"/>
          <w:sz w:val="32"/>
          <w:szCs w:val="32"/>
          <w:lang w:bidi="ar"/>
        </w:rPr>
        <w:t>新区科技局贯彻落实党中央、省委和兰州新区党工委关于科技创新工作的方针政策和决策部署，在履行职责过程中坚持和加强党对科技创新工作的集中统一领导</w:t>
      </w:r>
      <w:r>
        <w:rPr>
          <w:rFonts w:hint="eastAsia" w:ascii="仿宋_GB2312" w:hAnsi="仿宋_GB2312" w:eastAsia="仿宋_GB2312" w:cs="仿宋_GB2312"/>
          <w:sz w:val="32"/>
          <w:szCs w:val="32"/>
        </w:rPr>
        <w:t>。主要职责是:</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1.贯彻执行党和国家、省、市有关科学技术工作方针政策和法律法规，拟订新区创新驱动发展战略以及科技发展、引进国外智力规划和政策并组织实施和监督检查。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2.统筹推进兰州新区创新体系建设和科技体制改革，会同有关部门健全技术创新激励机制，并牵头组织实施。优化科研体系建设，指导科研机构改革发展与布局的规划、政策并监督实施，组织开展科研机构创新绩效管理。推动新区企业科技创新能力建设，培育壮大发展科技型企业，推进新区科技发展战略和科技决策咨询制度建设。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3.牵头拟订兰州新区科技创新中长期发展规划和年度科技计划，并组织实施和监督管理；拟订各类孵化器（众创空间）公共技术平台等科技创新基地和创新创业服务载体建设的政策措施并组织实施；制定科学技术普及规划和政策，拟定促进技术市场、科技中介组织发展政策，负责相关的科技评估管理和科技统计管理。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4.研究兰州新区科技促进经济与社会发展的重大问题，会同有关部门组织重大科技专项实施中的方案论证、综合平衡、评估验收和制定相关配套政策，推进重大科技成果产业化。</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5.负责申报甘肃省科学技术奖，会同有关部门拟定科技人才队伍建设规划，推动科技创新人才队伍建设；会同有关部门拟订政产学研结合的相关政策，指导科技成果转化工作；会同有关部门拟订科技产业化政策，推进科技产业基地的建设。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6.负责推进兰白科技创新改革试验区建设。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7.组织拟订高新技术发展及产业化、科技促进农业农村和社会发展的规划、政策和措施。组织开展重点领域技术发展需求分析，提出重大任务并监督实施。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8.制定科技企业孵化器、工程技术研究中心等科技基地计划，提出科研条件保障的规划和政策建议，推进科技基础条件平台建设和科技资源共享。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9.负责兰州新区引进国外人才和智力工作。拟订新区引进外国专家规划，建立完善引进外国专家、团队机制并组织实施；负责管理新区科技外事工作，开展科技合作与交流工作。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10.负责统筹新区大数据平台与基础设施建设，组织制定大数据收集、管理、开放、应用等相关标准规范，积极推动大数据信息资产开发应用与交易，进一步推动信息产业发展，推进兰州新区信息化及智慧城市建设。 </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11.负责协调推进新区信息资源整合共享和信息安全保障体系建设，指导信息化系统的运行管理和人员培训</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12.对接联系省、市科协，承担相关业务工作。</w:t>
      </w:r>
    </w:p>
    <w:p>
      <w:pPr>
        <w:keepNext w:val="0"/>
        <w:keepLines w:val="0"/>
        <w:pageBreakBefore w:val="0"/>
        <w:widowControl/>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13.负责归口管理的科技经费预决算及经费使用的监 督管理。</w:t>
      </w:r>
    </w:p>
    <w:p>
      <w:pPr>
        <w:keepNext w:val="0"/>
        <w:keepLines w:val="0"/>
        <w:pageBreakBefore w:val="0"/>
        <w:widowControl/>
        <w:kinsoku/>
        <w:overflowPunct/>
        <w:topLinePunct w:val="0"/>
        <w:autoSpaceDE/>
        <w:autoSpaceDN/>
        <w:bidi w:val="0"/>
        <w:adjustRightInd/>
        <w:snapToGrid/>
        <w:spacing w:line="600" w:lineRule="exact"/>
        <w:ind w:firstLine="640" w:firstLineChars="200"/>
        <w:jc w:val="left"/>
        <w:textAlignment w:val="auto"/>
      </w:pPr>
      <w:r>
        <w:rPr>
          <w:rFonts w:hint="eastAsia" w:ascii="仿宋_GB2312" w:hAnsi="仿宋_GB2312" w:eastAsia="仿宋_GB2312" w:cs="仿宋_GB2312"/>
          <w:color w:val="000000"/>
          <w:sz w:val="32"/>
          <w:szCs w:val="32"/>
        </w:rPr>
        <w:t>14.完成新区党工委、管委会和上级业务部门交办的其他任务。</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overflowPunct/>
        <w:topLinePunct w:val="0"/>
        <w:autoSpaceDE/>
        <w:autoSpaceDN/>
        <w:bidi w:val="0"/>
        <w:adjustRightInd/>
        <w:snapToGrid/>
        <w:spacing w:line="600" w:lineRule="exact"/>
        <w:ind w:firstLine="620" w:firstLineChars="200"/>
        <w:textAlignment w:val="auto"/>
        <w:rPr>
          <w:rFonts w:ascii="仿宋_GB2312" w:hAnsi="仿宋_GB2312" w:eastAsia="仿宋_GB2312" w:cs="仿宋_GB2312"/>
          <w:color w:val="000000"/>
          <w:sz w:val="32"/>
          <w:szCs w:val="32"/>
        </w:rPr>
      </w:pPr>
      <w:r>
        <w:rPr>
          <w:rFonts w:hint="eastAsia" w:ascii="仿宋_GB2312" w:hAnsi="宋体" w:eastAsia="仿宋_GB2312" w:cs="仿宋_GB2312"/>
          <w:color w:val="000000"/>
          <w:kern w:val="0"/>
          <w:sz w:val="31"/>
          <w:szCs w:val="31"/>
          <w:lang w:bidi="ar"/>
        </w:rPr>
        <w:t>15.</w:t>
      </w:r>
      <w:r>
        <w:rPr>
          <w:rFonts w:hint="eastAsia" w:ascii="仿宋_GB2312" w:hAnsi="仿宋_GB2312" w:eastAsia="仿宋_GB2312" w:cs="仿宋_GB2312"/>
          <w:color w:val="000000"/>
          <w:sz w:val="32"/>
          <w:szCs w:val="32"/>
        </w:rPr>
        <w:t>职能转变。围绕贯彻实施科教兴国战略、人才强国战略、创新驱动发展战略，加强、优化、转变政府科技管理和服务职能，完善科技创新制度和组织体系，加强宏观管理和统筹协调，减少微观管理和具体审批事项，加强事中事后监管和科研诚信建设。加强推进科技成果转化和先进技术转移，进一步推进充分调动各类创新主体的积极性和创造性，统筹兰州新区科技人才队伍建设和引进国外智力工作。</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（二）内设机构及所属单位概况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科技局内设机构4个，分别是办公室、发展规划科、信息技术科、产业化科，均为正科级建制。</w:t>
      </w:r>
      <w:r>
        <w:rPr>
          <w:rFonts w:hint="eastAsia" w:ascii="仿宋_GB2312" w:eastAsia="仿宋_GB2312"/>
          <w:color w:val="000000" w:themeColor="text1"/>
          <w:sz w:val="32"/>
          <w:szCs w:val="32"/>
          <w14:textFill>
            <w14:solidFill>
              <w14:schemeClr w14:val="tx1"/>
            </w14:solidFill>
          </w14:textFill>
        </w:rPr>
        <w:t>截止202</w:t>
      </w: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年底</w:t>
      </w:r>
      <w:r>
        <w:rPr>
          <w:rFonts w:hint="eastAsia" w:ascii="仿宋_GB2312" w:hAnsi="Times New Roman" w:eastAsia="仿宋_GB2312"/>
          <w:color w:val="000000" w:themeColor="text1"/>
          <w:sz w:val="32"/>
          <w:szCs w:val="32"/>
          <w14:textFill>
            <w14:solidFill>
              <w14:schemeClr w14:val="tx1"/>
            </w14:solidFill>
          </w14:textFill>
        </w:rPr>
        <w:t>工作人员2</w:t>
      </w:r>
      <w:r>
        <w:rPr>
          <w:rFonts w:hint="eastAsia" w:ascii="仿宋_GB2312" w:hAnsi="Times New Roman" w:eastAsia="仿宋_GB2312"/>
          <w:color w:val="000000" w:themeColor="text1"/>
          <w:sz w:val="32"/>
          <w:szCs w:val="32"/>
          <w:lang w:val="en-US" w:eastAsia="zh-CN"/>
          <w14:textFill>
            <w14:solidFill>
              <w14:schemeClr w14:val="tx1"/>
            </w14:solidFill>
          </w14:textFill>
        </w:rPr>
        <w:t>4</w:t>
      </w:r>
      <w:r>
        <w:rPr>
          <w:rFonts w:hint="eastAsia" w:ascii="仿宋_GB2312" w:hAnsi="Times New Roman" w:eastAsia="仿宋_GB2312"/>
          <w:color w:val="000000" w:themeColor="text1"/>
          <w:sz w:val="32"/>
          <w:szCs w:val="32"/>
          <w14:textFill>
            <w14:solidFill>
              <w14:schemeClr w14:val="tx1"/>
            </w14:solidFill>
          </w14:textFill>
        </w:rPr>
        <w:t>名</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Times New Roman" w:eastAsia="仿宋_GB2312"/>
          <w:color w:val="000000" w:themeColor="text1"/>
          <w:sz w:val="32"/>
          <w:szCs w:val="32"/>
          <w14:textFill>
            <w14:solidFill>
              <w14:schemeClr w14:val="tx1"/>
            </w14:solidFill>
          </w14:textFill>
        </w:rPr>
        <w:t>其中局长1名，副局长</w:t>
      </w:r>
      <w:r>
        <w:rPr>
          <w:rFonts w:hint="eastAsia" w:ascii="仿宋_GB2312" w:hAnsi="Times New Roman" w:eastAsia="仿宋_GB2312"/>
          <w:color w:val="000000" w:themeColor="text1"/>
          <w:sz w:val="32"/>
          <w:szCs w:val="32"/>
          <w:lang w:val="en-US" w:eastAsia="zh-CN"/>
          <w14:textFill>
            <w14:solidFill>
              <w14:schemeClr w14:val="tx1"/>
            </w14:solidFill>
          </w14:textFill>
        </w:rPr>
        <w:t>2</w:t>
      </w:r>
      <w:r>
        <w:rPr>
          <w:rFonts w:hint="eastAsia" w:ascii="仿宋_GB2312" w:hAnsi="Times New Roman" w:eastAsia="仿宋_GB2312"/>
          <w:color w:val="000000" w:themeColor="text1"/>
          <w:sz w:val="32"/>
          <w:szCs w:val="32"/>
          <w14:textFill>
            <w14:solidFill>
              <w14:schemeClr w14:val="tx1"/>
            </w14:solidFill>
          </w14:textFill>
        </w:rPr>
        <w:t>名，挂职副局长</w:t>
      </w:r>
      <w:r>
        <w:rPr>
          <w:rFonts w:hint="eastAsia" w:ascii="仿宋_GB2312" w:hAnsi="Times New Roman" w:eastAsia="仿宋_GB2312"/>
          <w:color w:val="000000" w:themeColor="text1"/>
          <w:sz w:val="32"/>
          <w:szCs w:val="32"/>
          <w:lang w:val="en-US" w:eastAsia="zh-CN"/>
          <w14:textFill>
            <w14:solidFill>
              <w14:schemeClr w14:val="tx1"/>
            </w14:solidFill>
          </w14:textFill>
        </w:rPr>
        <w:t>2</w:t>
      </w:r>
      <w:r>
        <w:rPr>
          <w:rFonts w:hint="eastAsia" w:ascii="仿宋_GB2312" w:hAnsi="Times New Roman" w:eastAsia="仿宋_GB2312"/>
          <w:color w:val="000000" w:themeColor="text1"/>
          <w:sz w:val="32"/>
          <w:szCs w:val="32"/>
          <w14:textFill>
            <w14:solidFill>
              <w14:schemeClr w14:val="tx1"/>
            </w14:solidFill>
          </w14:textFill>
        </w:rPr>
        <w:t>名，</w:t>
      </w:r>
      <w:r>
        <w:rPr>
          <w:rFonts w:hint="eastAsia" w:ascii="仿宋_GB2312" w:hAnsi="Times New Roman" w:eastAsia="仿宋_GB2312"/>
          <w:color w:val="000000" w:themeColor="text1"/>
          <w:sz w:val="32"/>
          <w:szCs w:val="32"/>
          <w:lang w:val="en-US" w:eastAsia="zh-CN"/>
          <w14:textFill>
            <w14:solidFill>
              <w14:schemeClr w14:val="tx1"/>
            </w14:solidFill>
          </w14:textFill>
        </w:rPr>
        <w:t>副县级干部</w:t>
      </w:r>
      <w:r>
        <w:rPr>
          <w:rFonts w:hint="eastAsia" w:ascii="仿宋_GB2312" w:hAnsi="Times New Roman" w:eastAsia="仿宋_GB2312"/>
          <w:sz w:val="32"/>
          <w:szCs w:val="32"/>
        </w:rPr>
        <w:t>1名，正科级2名，副科级6名，一般干部10名。在编人员</w:t>
      </w:r>
      <w:r>
        <w:rPr>
          <w:rFonts w:hint="eastAsia" w:ascii="仿宋_GB2312" w:hAnsi="Times New Roman" w:eastAsia="仿宋_GB2312"/>
          <w:sz w:val="32"/>
          <w:szCs w:val="32"/>
          <w:lang w:val="en-US" w:eastAsia="zh-CN"/>
        </w:rPr>
        <w:t>14</w:t>
      </w:r>
      <w:r>
        <w:rPr>
          <w:rFonts w:hint="eastAsia" w:ascii="仿宋_GB2312" w:hAnsi="Times New Roman" w:eastAsia="仿宋_GB2312"/>
          <w:sz w:val="32"/>
          <w:szCs w:val="32"/>
        </w:rPr>
        <w:t>名（含挂职领导），聘用人员10人。</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二、绩效自评工作组织开展情况</w:t>
      </w:r>
    </w:p>
    <w:p>
      <w:pPr>
        <w:keepNext w:val="0"/>
        <w:keepLines w:val="0"/>
        <w:pageBreakBefore w:val="0"/>
        <w:kinsoku/>
        <w:wordWrap w:val="0"/>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科技局</w:t>
      </w:r>
      <w:r>
        <w:rPr>
          <w:rFonts w:hint="eastAsia" w:ascii="仿宋" w:hAnsi="仿宋" w:eastAsia="仿宋" w:cs="仿宋"/>
          <w:sz w:val="32"/>
          <w:szCs w:val="32"/>
        </w:rPr>
        <w:t>成立了由局长为组长，其他班子成员为副组长，各科室负责人为成员的绩效管理领导小组，将预算绩效目标管理作为预算管理的必要前置和约束条件,</w:t>
      </w:r>
      <w:r>
        <w:rPr>
          <w:rFonts w:hint="eastAsia" w:ascii="仿宋_GB2312" w:eastAsia="仿宋_GB2312"/>
          <w:sz w:val="32"/>
          <w:szCs w:val="32"/>
        </w:rPr>
        <w:t>根据兰州新区财政局印发《关于开展202</w:t>
      </w:r>
      <w:r>
        <w:rPr>
          <w:rFonts w:hint="eastAsia" w:ascii="仿宋_GB2312" w:eastAsia="仿宋_GB2312"/>
          <w:sz w:val="32"/>
          <w:szCs w:val="32"/>
          <w:lang w:val="en-US" w:eastAsia="zh-CN"/>
        </w:rPr>
        <w:t>2</w:t>
      </w:r>
      <w:r>
        <w:rPr>
          <w:rFonts w:hint="eastAsia" w:ascii="仿宋_GB2312" w:eastAsia="仿宋_GB2312"/>
          <w:sz w:val="32"/>
          <w:szCs w:val="32"/>
        </w:rPr>
        <w:t>年度预算执行情况绩效单位自评工作的通知》（兰新财发〔202</w:t>
      </w: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36</w:t>
      </w:r>
      <w:r>
        <w:rPr>
          <w:rFonts w:hint="eastAsia" w:ascii="仿宋_GB2312" w:eastAsia="仿宋_GB2312"/>
          <w:sz w:val="32"/>
          <w:szCs w:val="32"/>
        </w:rPr>
        <w:t>号）文件要求，</w:t>
      </w:r>
      <w:r>
        <w:rPr>
          <w:rFonts w:hint="eastAsia" w:ascii="仿宋" w:hAnsi="仿宋" w:eastAsia="仿宋" w:cs="仿宋"/>
          <w:sz w:val="32"/>
          <w:szCs w:val="32"/>
        </w:rPr>
        <w:t>结合202</w:t>
      </w:r>
      <w:r>
        <w:rPr>
          <w:rFonts w:hint="eastAsia" w:ascii="仿宋" w:hAnsi="仿宋" w:eastAsia="仿宋" w:cs="仿宋"/>
          <w:sz w:val="32"/>
          <w:szCs w:val="32"/>
          <w:lang w:val="en-US" w:eastAsia="zh-CN"/>
        </w:rPr>
        <w:t>2</w:t>
      </w:r>
      <w:r>
        <w:rPr>
          <w:rFonts w:hint="eastAsia" w:ascii="仿宋" w:hAnsi="仿宋" w:eastAsia="仿宋" w:cs="仿宋"/>
          <w:sz w:val="32"/>
          <w:szCs w:val="32"/>
        </w:rPr>
        <w:t>年度决算情况,开展部门绩效自评工作,内容包含所有预算支出项目和省市转移支付项目,实现绩效目标全覆盖。</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三、部门整体支出自评情况分析</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ascii="楷体" w:hAnsi="楷体" w:eastAsia="楷体"/>
          <w:b/>
          <w:bCs/>
          <w:sz w:val="32"/>
          <w:szCs w:val="32"/>
        </w:rPr>
      </w:pPr>
      <w:r>
        <w:rPr>
          <w:rFonts w:hint="eastAsia" w:ascii="楷体" w:hAnsi="楷体" w:eastAsia="楷体"/>
          <w:b/>
          <w:bCs/>
          <w:sz w:val="32"/>
          <w:szCs w:val="32"/>
        </w:rPr>
        <w:t>（一）部门决算情况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rPr>
        <w:t>本年</w:t>
      </w:r>
      <w:r>
        <w:rPr>
          <w:rFonts w:hint="eastAsia" w:ascii="仿宋_GB2312" w:hAnsi="仿宋" w:eastAsia="仿宋_GB2312" w:cs="Times New Roman"/>
          <w:sz w:val="32"/>
          <w:szCs w:val="32"/>
          <w:lang w:val="en-US" w:eastAsia="zh-CN"/>
        </w:rPr>
        <w:t>预算总</w:t>
      </w:r>
      <w:r>
        <w:rPr>
          <w:rFonts w:hint="eastAsia" w:ascii="仿宋_GB2312" w:hAnsi="仿宋" w:eastAsia="仿宋_GB2312" w:cs="Times New Roman"/>
          <w:sz w:val="32"/>
          <w:szCs w:val="32"/>
        </w:rPr>
        <w:t>收入</w:t>
      </w:r>
      <w:r>
        <w:rPr>
          <w:rFonts w:hint="eastAsia" w:ascii="仿宋_GB2312" w:hAnsi="仿宋" w:eastAsia="仿宋_GB2312"/>
          <w:sz w:val="32"/>
          <w:szCs w:val="32"/>
          <w:lang w:val="en-US" w:eastAsia="zh-CN"/>
        </w:rPr>
        <w:t>90375.25万</w:t>
      </w:r>
      <w:r>
        <w:rPr>
          <w:rFonts w:hint="eastAsia" w:ascii="仿宋_GB2312" w:hAnsi="仿宋" w:eastAsia="仿宋_GB2312" w:cs="Times New Roman"/>
          <w:sz w:val="32"/>
          <w:szCs w:val="32"/>
        </w:rPr>
        <w:t>元，按照功能分类</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lang w:val="en-US" w:eastAsia="zh-CN"/>
        </w:rPr>
        <w:t>一般公共预算财政拨款收入：14275.25万元，政府性基金预算财政拨款收入：76100万元。其他收入：10.5万元，年初结转结余：7.13万元。</w:t>
      </w:r>
      <w:r>
        <w:rPr>
          <w:rFonts w:hint="eastAsia" w:ascii="仿宋_GB2312" w:hAnsi="仿宋" w:eastAsia="仿宋_GB2312" w:cs="Times New Roman"/>
          <w:color w:val="auto"/>
          <w:sz w:val="32"/>
          <w:szCs w:val="32"/>
        </w:rPr>
        <w:t>本年总支出</w:t>
      </w:r>
      <w:r>
        <w:rPr>
          <w:rFonts w:hint="eastAsia" w:ascii="仿宋_GB2312" w:hAnsi="仿宋" w:eastAsia="仿宋_GB2312" w:cs="Times New Roman"/>
          <w:color w:val="auto"/>
          <w:sz w:val="32"/>
          <w:szCs w:val="32"/>
          <w:lang w:val="en-US" w:eastAsia="zh-CN"/>
        </w:rPr>
        <w:t>90366.13万</w:t>
      </w:r>
      <w:r>
        <w:rPr>
          <w:rFonts w:hint="eastAsia" w:ascii="仿宋_GB2312" w:hAnsi="仿宋" w:eastAsia="仿宋_GB2312" w:cs="Times New Roman"/>
          <w:color w:val="auto"/>
          <w:sz w:val="32"/>
          <w:szCs w:val="32"/>
        </w:rPr>
        <w:t>元，</w:t>
      </w:r>
      <w:r>
        <w:rPr>
          <w:rFonts w:hint="eastAsia" w:ascii="仿宋_GB2312" w:hAnsi="仿宋" w:eastAsia="仿宋_GB2312" w:cs="Times New Roman"/>
          <w:color w:val="auto"/>
          <w:sz w:val="32"/>
          <w:szCs w:val="32"/>
          <w:lang w:val="en-US" w:eastAsia="zh-CN"/>
        </w:rPr>
        <w:t>其中基本支出（人员经费426.41万元、公用经费20.42万元）共计446.83万元，项目支出89919.3万元。</w:t>
      </w:r>
      <w:r>
        <w:rPr>
          <w:rFonts w:hint="eastAsia" w:ascii="仿宋_GB2312" w:hAnsi="仿宋" w:eastAsia="仿宋_GB2312"/>
          <w:color w:val="auto"/>
          <w:sz w:val="32"/>
          <w:szCs w:val="32"/>
          <w:lang w:val="en-US" w:eastAsia="zh-CN"/>
        </w:rPr>
        <w:t>年末人员经费结转结余16.25万元，项目经费结转结余10.50万元：其</w:t>
      </w:r>
      <w:r>
        <w:rPr>
          <w:rFonts w:hint="eastAsia" w:ascii="仿宋_GB2312" w:hAnsi="仿宋" w:eastAsia="仿宋_GB2312"/>
          <w:sz w:val="32"/>
          <w:szCs w:val="32"/>
          <w:lang w:val="en-US" w:eastAsia="zh-CN"/>
        </w:rPr>
        <w:t>中新区社保局划拨第三届创新创业大赛经费5万元元；新区工会划拨第三届创新创业大赛经费5万元元；新区党群部划拨新区机关“四好党建”示范点创建奖补资金0.5万元</w:t>
      </w:r>
      <w:r>
        <w:rPr>
          <w:rFonts w:hint="eastAsia" w:ascii="仿宋_GB2312" w:hAnsi="仿宋" w:eastAsia="仿宋_GB2312" w:cs="Times New Roman"/>
          <w:sz w:val="32"/>
          <w:szCs w:val="32"/>
          <w:lang w:val="en-US" w:eastAsia="zh-CN"/>
        </w:rPr>
        <w:t>。</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ascii="楷体" w:hAnsi="楷体" w:eastAsia="楷体"/>
          <w:b/>
          <w:bCs/>
          <w:sz w:val="32"/>
          <w:szCs w:val="32"/>
        </w:rPr>
      </w:pPr>
      <w:r>
        <w:rPr>
          <w:rFonts w:hint="eastAsia" w:ascii="楷体" w:hAnsi="楷体" w:eastAsia="楷体"/>
          <w:b/>
          <w:bCs/>
          <w:sz w:val="32"/>
          <w:szCs w:val="32"/>
        </w:rPr>
        <w:t>（二）总体绩效目标完成情况分析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年本级项目预算</w:t>
      </w:r>
      <w:r>
        <w:rPr>
          <w:rFonts w:hint="eastAsia" w:ascii="仿宋_GB2312" w:hAnsi="仿宋" w:eastAsia="仿宋_GB2312" w:cs="Times New Roman"/>
          <w:color w:val="auto"/>
          <w:sz w:val="32"/>
          <w:szCs w:val="32"/>
          <w:lang w:val="en-US" w:eastAsia="zh-CN"/>
        </w:rPr>
        <w:t>90645.44万元（含中期预算追加项目）</w:t>
      </w:r>
      <w:r>
        <w:rPr>
          <w:rFonts w:hint="eastAsia" w:ascii="仿宋_GB2312" w:eastAsia="仿宋_GB2312"/>
          <w:color w:val="auto"/>
          <w:sz w:val="32"/>
          <w:szCs w:val="32"/>
        </w:rPr>
        <w:t>，实际完成预算支出</w:t>
      </w:r>
      <w:r>
        <w:rPr>
          <w:rFonts w:hint="eastAsia" w:ascii="仿宋_GB2312" w:hAnsi="仿宋" w:eastAsia="仿宋_GB2312" w:cs="Times New Roman"/>
          <w:sz w:val="32"/>
          <w:szCs w:val="32"/>
          <w:lang w:val="en-US" w:eastAsia="zh-CN"/>
        </w:rPr>
        <w:t>87790.3</w:t>
      </w:r>
      <w:r>
        <w:rPr>
          <w:rFonts w:hint="eastAsia" w:ascii="仿宋_GB2312" w:eastAsia="仿宋_GB2312"/>
          <w:color w:val="auto"/>
          <w:sz w:val="32"/>
          <w:szCs w:val="32"/>
        </w:rPr>
        <w:t>万元，预算执行率</w:t>
      </w:r>
      <w:r>
        <w:rPr>
          <w:rFonts w:hint="eastAsia" w:ascii="仿宋_GB2312" w:eastAsia="仿宋_GB2312"/>
          <w:color w:val="auto"/>
          <w:sz w:val="32"/>
          <w:szCs w:val="32"/>
          <w:lang w:val="en-US" w:eastAsia="zh-CN"/>
        </w:rPr>
        <w:t>96.85</w:t>
      </w:r>
      <w:r>
        <w:rPr>
          <w:rFonts w:ascii="仿宋_GB2312" w:eastAsia="仿宋_GB2312"/>
          <w:color w:val="auto"/>
          <w:sz w:val="32"/>
          <w:szCs w:val="32"/>
        </w:rPr>
        <w:t>%</w:t>
      </w:r>
      <w:r>
        <w:rPr>
          <w:rFonts w:hint="eastAsia" w:ascii="仿宋_GB2312" w:eastAsia="仿宋_GB2312"/>
          <w:color w:val="auto"/>
          <w:sz w:val="32"/>
          <w:szCs w:val="32"/>
          <w:lang w:eastAsia="zh-CN"/>
        </w:rPr>
        <w:t>。</w:t>
      </w:r>
      <w:r>
        <w:rPr>
          <w:rFonts w:hint="eastAsia" w:ascii="仿宋_GB2312" w:eastAsia="仿宋_GB2312"/>
          <w:color w:val="auto"/>
          <w:sz w:val="32"/>
          <w:szCs w:val="32"/>
        </w:rPr>
        <w:t>省市下达资金</w:t>
      </w:r>
      <w:r>
        <w:rPr>
          <w:rFonts w:hint="eastAsia" w:ascii="仿宋_GB2312" w:eastAsia="仿宋_GB2312"/>
          <w:color w:val="auto"/>
          <w:sz w:val="32"/>
          <w:szCs w:val="32"/>
          <w:lang w:val="en-US" w:eastAsia="zh-CN"/>
        </w:rPr>
        <w:t>3349</w:t>
      </w:r>
      <w:r>
        <w:rPr>
          <w:rFonts w:hint="eastAsia" w:ascii="仿宋_GB2312" w:eastAsia="仿宋_GB2312"/>
          <w:color w:val="auto"/>
          <w:sz w:val="32"/>
          <w:szCs w:val="32"/>
        </w:rPr>
        <w:t>万元，实际完成预算支出</w:t>
      </w:r>
      <w:r>
        <w:rPr>
          <w:rFonts w:hint="eastAsia" w:ascii="仿宋_GB2312" w:eastAsia="仿宋_GB2312"/>
          <w:color w:val="auto"/>
          <w:sz w:val="32"/>
          <w:szCs w:val="32"/>
          <w:lang w:val="en-US" w:eastAsia="zh-CN"/>
        </w:rPr>
        <w:t>2129</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未支出1220万元，</w:t>
      </w:r>
      <w:r>
        <w:rPr>
          <w:rFonts w:hint="eastAsia" w:ascii="仿宋_GB2312" w:eastAsia="仿宋_GB2312"/>
          <w:color w:val="auto"/>
          <w:sz w:val="32"/>
          <w:szCs w:val="32"/>
        </w:rPr>
        <w:t>预算执行率</w:t>
      </w:r>
      <w:r>
        <w:rPr>
          <w:rFonts w:hint="eastAsia" w:ascii="仿宋_GB2312" w:eastAsia="仿宋_GB2312"/>
          <w:color w:val="auto"/>
          <w:sz w:val="32"/>
          <w:szCs w:val="32"/>
          <w:lang w:val="en-US" w:eastAsia="zh-CN"/>
        </w:rPr>
        <w:t>63.57</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支出率未达100%的原因：主要是受疫情的影响，财力安排有限，未支出项目资金结转到2023年支付。</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ascii="楷体" w:hAnsi="楷体" w:eastAsia="楷体" w:cs="楷体"/>
          <w:b/>
          <w:bCs/>
          <w:sz w:val="32"/>
          <w:szCs w:val="32"/>
        </w:rPr>
      </w:pPr>
      <w:r>
        <w:rPr>
          <w:rFonts w:hint="eastAsia" w:ascii="楷体" w:hAnsi="楷体" w:eastAsia="楷体" w:cs="楷体"/>
          <w:b/>
          <w:bCs/>
          <w:sz w:val="32"/>
          <w:szCs w:val="32"/>
        </w:rPr>
        <w:t>（三）各项指标完成情况分析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1.部门管理方面：202</w:t>
      </w:r>
      <w:r>
        <w:rPr>
          <w:rFonts w:hint="eastAsia" w:ascii="仿宋_GB2312" w:eastAsia="仿宋_GB2312"/>
          <w:sz w:val="32"/>
          <w:szCs w:val="32"/>
          <w:lang w:val="en-US" w:eastAsia="zh-CN"/>
        </w:rPr>
        <w:t>2</w:t>
      </w:r>
      <w:r>
        <w:rPr>
          <w:rFonts w:hint="eastAsia" w:ascii="仿宋_GB2312" w:eastAsia="仿宋_GB2312"/>
          <w:sz w:val="32"/>
          <w:szCs w:val="32"/>
        </w:rPr>
        <w:t>年度本部门财务管理、采购管理、资产管理、人员管理、重点工作管理制度健全、规范。基本支出、项目支出、三公经费以及结转结余变动方面实际完成值良好。</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2.履职效果方面：本部门及时完成组织规划编制、日常管理保障、信息技术支撑、企业培育服务等工作。有效的促进科技经济的发展、提升了新区智慧城市的建设以及企业的创新能力。</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服务对象满意度方面:我单位本年度服务企业满意度达95以上，积极组织省、市、新区举办的培训，邀请企业参加并对其开展科普宣传、科技政策解读等活动。通过对企业开展走访调研活动，提升了企业的满意度。下一步，将继续加大调研力度，对走访发现出的问题及时对接沟通解决，进一步提升企业满意度。</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四、部门预算项目支出绩效自评情况分析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年，本级预算支出项目</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个，通过自评，有</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个项目结果为“优”，</w:t>
      </w:r>
      <w:r>
        <w:rPr>
          <w:rFonts w:hint="eastAsia" w:ascii="仿宋_GB2312" w:eastAsia="仿宋_GB2312"/>
          <w:color w:val="auto"/>
          <w:sz w:val="32"/>
          <w:szCs w:val="32"/>
          <w:lang w:val="en-US" w:eastAsia="zh-CN"/>
        </w:rPr>
        <w:t>1个项目为“良”。</w:t>
      </w:r>
      <w:r>
        <w:rPr>
          <w:rFonts w:hint="eastAsia" w:ascii="仿宋_GB2312" w:eastAsia="仿宋_GB2312"/>
          <w:color w:val="auto"/>
          <w:sz w:val="32"/>
          <w:szCs w:val="32"/>
        </w:rPr>
        <w:t>分项目自评情况分析如下：</w:t>
      </w:r>
    </w:p>
    <w:p>
      <w:pPr>
        <w:pStyle w:val="2"/>
        <w:keepNext w:val="0"/>
        <w:keepLines w:val="0"/>
        <w:pageBreakBefore w:val="0"/>
        <w:numPr>
          <w:numId w:val="0"/>
        </w:numPr>
        <w:kinsoku/>
        <w:overflowPunct/>
        <w:topLinePunct w:val="0"/>
        <w:autoSpaceDE/>
        <w:autoSpaceDN/>
        <w:bidi w:val="0"/>
        <w:adjustRightInd/>
        <w:snapToGrid/>
        <w:spacing w:line="600" w:lineRule="exact"/>
        <w:ind w:firstLine="321" w:firstLineChars="100"/>
        <w:jc w:val="both"/>
        <w:textAlignment w:val="auto"/>
      </w:pPr>
      <w:r>
        <w:rPr>
          <w:rFonts w:hint="eastAsia" w:ascii="楷体" w:hAnsi="楷体" w:eastAsia="楷体"/>
          <w:b/>
          <w:bCs/>
          <w:szCs w:val="32"/>
          <w:lang w:eastAsia="zh-CN"/>
        </w:rPr>
        <w:t>（</w:t>
      </w:r>
      <w:r>
        <w:rPr>
          <w:rFonts w:hint="eastAsia" w:ascii="楷体" w:hAnsi="楷体" w:eastAsia="楷体"/>
          <w:b/>
          <w:bCs/>
          <w:szCs w:val="32"/>
          <w:lang w:val="en-US" w:eastAsia="zh-CN"/>
        </w:rPr>
        <w:t>一</w:t>
      </w:r>
      <w:r>
        <w:rPr>
          <w:rFonts w:hint="eastAsia" w:ascii="楷体" w:hAnsi="楷体" w:eastAsia="楷体"/>
          <w:b/>
          <w:bCs/>
          <w:szCs w:val="32"/>
          <w:lang w:eastAsia="zh-CN"/>
        </w:rPr>
        <w:t>）</w:t>
      </w:r>
      <w:r>
        <w:rPr>
          <w:rFonts w:ascii="楷体" w:hAnsi="楷体" w:eastAsia="楷体"/>
          <w:b/>
          <w:bCs/>
          <w:szCs w:val="32"/>
        </w:rPr>
        <w:t>智慧城市政府购买服务费用</w:t>
      </w:r>
    </w:p>
    <w:p>
      <w:pPr>
        <w:pStyle w:val="2"/>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szCs w:val="32"/>
          <w:lang w:val="en-US" w:eastAsia="zh-CN"/>
        </w:rPr>
      </w:pPr>
      <w:r>
        <w:rPr>
          <w:rFonts w:hint="eastAsia" w:ascii="仿宋" w:hAnsi="仿宋" w:eastAsia="仿宋" w:cs="仿宋"/>
          <w:b w:val="0"/>
          <w:bCs w:val="0"/>
          <w:szCs w:val="32"/>
        </w:rPr>
        <w:t>1. 项目支出预算执行情况</w:t>
      </w:r>
      <w:r>
        <w:rPr>
          <w:rFonts w:hint="eastAsia" w:ascii="仿宋" w:hAnsi="仿宋" w:eastAsia="仿宋" w:cs="仿宋"/>
          <w:b w:val="0"/>
          <w:bCs w:val="0"/>
          <w:szCs w:val="32"/>
          <w:lang w:val="en-US" w:eastAsia="zh-CN"/>
        </w:rPr>
        <w:t>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年兰州新区新型智慧城市政府购买服务项目费用</w:t>
      </w:r>
      <w:r>
        <w:rPr>
          <w:rFonts w:hint="eastAsia" w:ascii="仿宋" w:hAnsi="仿宋" w:eastAsia="仿宋" w:cs="仿宋"/>
          <w:b w:val="0"/>
          <w:bCs w:val="0"/>
          <w:sz w:val="32"/>
          <w:szCs w:val="32"/>
          <w:lang w:val="en-US" w:eastAsia="zh-CN"/>
        </w:rPr>
        <w:t>5204.44</w:t>
      </w:r>
      <w:r>
        <w:rPr>
          <w:rFonts w:hint="eastAsia" w:ascii="仿宋" w:hAnsi="仿宋" w:eastAsia="仿宋" w:cs="仿宋"/>
          <w:b w:val="0"/>
          <w:bCs w:val="0"/>
          <w:sz w:val="32"/>
          <w:szCs w:val="32"/>
        </w:rPr>
        <w:t>万，用于项目支出本级预算安排共计</w:t>
      </w:r>
      <w:r>
        <w:rPr>
          <w:rFonts w:hint="eastAsia" w:ascii="仿宋" w:hAnsi="仿宋" w:eastAsia="仿宋" w:cs="仿宋"/>
          <w:b w:val="0"/>
          <w:bCs w:val="0"/>
          <w:sz w:val="32"/>
          <w:szCs w:val="32"/>
          <w:lang w:val="en-US" w:eastAsia="zh-CN"/>
        </w:rPr>
        <w:t>3000</w:t>
      </w:r>
      <w:r>
        <w:rPr>
          <w:rFonts w:hint="eastAsia" w:ascii="仿宋" w:hAnsi="仿宋" w:eastAsia="仿宋" w:cs="仿宋"/>
          <w:b w:val="0"/>
          <w:bCs w:val="0"/>
          <w:sz w:val="32"/>
          <w:szCs w:val="32"/>
        </w:rPr>
        <w:t>万，实际支出</w:t>
      </w:r>
      <w:r>
        <w:rPr>
          <w:rFonts w:hint="eastAsia" w:ascii="仿宋" w:hAnsi="仿宋" w:eastAsia="仿宋" w:cs="仿宋"/>
          <w:b w:val="0"/>
          <w:bCs w:val="0"/>
          <w:sz w:val="32"/>
          <w:szCs w:val="32"/>
          <w:lang w:val="en-US" w:eastAsia="zh-CN"/>
        </w:rPr>
        <w:t>3000</w:t>
      </w:r>
      <w:r>
        <w:rPr>
          <w:rFonts w:hint="eastAsia" w:ascii="仿宋" w:hAnsi="仿宋" w:eastAsia="仿宋" w:cs="仿宋"/>
          <w:b w:val="0"/>
          <w:bCs w:val="0"/>
          <w:sz w:val="32"/>
          <w:szCs w:val="32"/>
        </w:rPr>
        <w:t>万预算执行率为</w:t>
      </w:r>
      <w:r>
        <w:rPr>
          <w:rFonts w:hint="eastAsia" w:ascii="仿宋" w:hAnsi="仿宋" w:eastAsia="仿宋" w:cs="仿宋"/>
          <w:b w:val="0"/>
          <w:bCs w:val="0"/>
          <w:sz w:val="32"/>
          <w:szCs w:val="32"/>
          <w:lang w:val="en-US" w:eastAsia="zh-CN"/>
        </w:rPr>
        <w:t>57.64</w:t>
      </w:r>
      <w:r>
        <w:rPr>
          <w:rFonts w:hint="eastAsia" w:ascii="仿宋" w:hAnsi="仿宋" w:eastAsia="仿宋" w:cs="仿宋"/>
          <w:b w:val="0"/>
          <w:bCs w:val="0"/>
          <w:sz w:val="32"/>
          <w:szCs w:val="32"/>
        </w:rPr>
        <w:t>%，资金使用合法合规。</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预算执行率</w:t>
      </w:r>
      <w:r>
        <w:rPr>
          <w:rFonts w:hint="eastAsia" w:ascii="仿宋" w:hAnsi="仿宋" w:eastAsia="仿宋" w:cs="仿宋"/>
          <w:b w:val="0"/>
          <w:bCs w:val="0"/>
          <w:sz w:val="32"/>
          <w:szCs w:val="32"/>
          <w:lang w:val="en-US" w:eastAsia="zh-CN"/>
        </w:rPr>
        <w:t>未达100%原因：主要受疫情影响、财力安排有限等原因，未能支付全年预算项目资金。</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2.项目绩效目标完成情况分析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通过2022年兰州新区新型智慧城市政府购买服务项目，保障了智慧城市一期系统平</w:t>
      </w:r>
      <w:r>
        <w:rPr>
          <w:rFonts w:hint="eastAsia" w:ascii="仿宋" w:hAnsi="仿宋" w:eastAsia="仿宋" w:cs="仿宋"/>
          <w:b w:val="0"/>
          <w:bCs w:val="0"/>
          <w:sz w:val="32"/>
          <w:szCs w:val="32"/>
        </w:rPr>
        <w:t>稳运行，解决系统运行期间的系统故障，并及时响应，完成备品备件的更换；完成网格化综合管理平台、智慧警务、智慧安监一期、视频融合平台、视频专网、智慧消防、智慧教育部分系统搭建及开发</w:t>
      </w:r>
      <w:r>
        <w:rPr>
          <w:rFonts w:hint="eastAsia" w:ascii="仿宋" w:hAnsi="仿宋" w:eastAsia="仿宋" w:cs="仿宋"/>
          <w:b w:val="0"/>
          <w:bCs w:val="0"/>
          <w:sz w:val="32"/>
          <w:szCs w:val="32"/>
          <w:lang w:eastAsia="zh-CN"/>
        </w:rPr>
        <w:t>，</w:t>
      </w:r>
      <w:r>
        <w:rPr>
          <w:rFonts w:hint="eastAsia" w:ascii="仿宋_GB2312" w:eastAsia="仿宋_GB2312"/>
          <w:sz w:val="32"/>
          <w:szCs w:val="32"/>
        </w:rPr>
        <w:t>自评结果为“</w:t>
      </w:r>
      <w:r>
        <w:rPr>
          <w:rFonts w:hint="eastAsia" w:ascii="仿宋_GB2312" w:eastAsia="仿宋_GB2312"/>
          <w:sz w:val="32"/>
          <w:szCs w:val="32"/>
          <w:lang w:val="en-US" w:eastAsia="zh-CN"/>
        </w:rPr>
        <w:t>良</w:t>
      </w:r>
      <w:r>
        <w:rPr>
          <w:rFonts w:hint="eastAsia" w:ascii="仿宋_GB2312" w:eastAsia="仿宋_GB2312"/>
          <w:sz w:val="32"/>
          <w:szCs w:val="32"/>
        </w:rPr>
        <w:t>”</w:t>
      </w:r>
      <w:r>
        <w:rPr>
          <w:rFonts w:hint="eastAsia" w:ascii="仿宋" w:hAnsi="仿宋" w:eastAsia="仿宋" w:cs="仿宋"/>
          <w:b w:val="0"/>
          <w:bCs w:val="0"/>
          <w:sz w:val="32"/>
          <w:szCs w:val="32"/>
        </w:rPr>
        <w:t xml:space="preserve">。 </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3.项目各项指标完成情况分析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 w:hAnsi="仿宋" w:eastAsia="仿宋" w:cs="仿宋"/>
          <w:b w:val="0"/>
          <w:bCs w:val="0"/>
          <w:sz w:val="32"/>
          <w:szCs w:val="32"/>
        </w:rPr>
        <w:t>通过绩效自评，2022年兰州新区新型智慧城市政府购买服务项目的年度绩效目标完成率为100%。产出指标方面：电子政务外网、eLTE市政无线专网等一期项目上线正常运行平稳，网格化综合管理平台、智慧警务、智慧安监一期、智慧消防、智慧教育等项目积极推进建设。效益指标方面：智慧城市各子项目平稳运行，及时响应解决系统运行期间各类硬件及软件的系统故障，且能够满足政府购买服务需求，方便政府开展各类便民服务并提升工作效率。通过项目的实施进一步提升了公共服务领域的便捷性，促进城市精细化管理。</w:t>
      </w:r>
      <w:r>
        <w:rPr>
          <w:rFonts w:hint="eastAsia" w:ascii="仿宋_GB2312" w:eastAsia="仿宋_GB2312"/>
          <w:sz w:val="32"/>
          <w:szCs w:val="32"/>
        </w:rPr>
        <w:t>满意度指标方面：项目使用单位对项目实施后提升工作效率和增强信息处理能力的满意度较高，均达到预期目标值。</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 偏离绩效目标的原因及下一步改进措施</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2022年兰州新区新型智慧城市政府购买服务项目资金在绩效指标中整体情况较好，但在以下方面要进一步改进：一是在服务效率和质量方面要全面提升，确保服务对象适用项目零故障。二是及时响应和维护系统，完善系统不足，确保用户体验顺畅便利。</w:t>
      </w:r>
    </w:p>
    <w:p>
      <w:pPr>
        <w:pStyle w:val="2"/>
        <w:keepNext w:val="0"/>
        <w:keepLines w:val="0"/>
        <w:pageBreakBefore w:val="0"/>
        <w:numPr>
          <w:ilvl w:val="0"/>
          <w:numId w:val="0"/>
        </w:numPr>
        <w:kinsoku/>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b/>
          <w:bCs/>
          <w:color w:val="auto"/>
          <w:szCs w:val="32"/>
          <w:lang w:val="en-US" w:eastAsia="zh-CN"/>
        </w:rPr>
      </w:pPr>
      <w:r>
        <w:rPr>
          <w:rFonts w:hint="eastAsia" w:ascii="楷体" w:hAnsi="楷体" w:eastAsia="楷体"/>
          <w:b/>
          <w:bCs/>
          <w:color w:val="auto"/>
          <w:szCs w:val="32"/>
          <w:lang w:val="en-US" w:eastAsia="zh-CN"/>
        </w:rPr>
        <w:t>（二）新区产业孵化大厦运营管理费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 w:hAnsi="仿宋" w:eastAsia="仿宋" w:cs="仿宋"/>
          <w:b w:val="0"/>
          <w:bCs w:val="0"/>
          <w:sz w:val="32"/>
          <w:szCs w:val="32"/>
          <w:lang w:val="en-US" w:eastAsia="zh-CN"/>
        </w:rPr>
        <w:t>1.2022年兰州新区产业孵化大厦运营管理</w:t>
      </w:r>
      <w:r>
        <w:rPr>
          <w:rFonts w:hint="eastAsia" w:ascii="仿宋_GB2312" w:eastAsia="仿宋_GB2312"/>
          <w:sz w:val="32"/>
          <w:szCs w:val="32"/>
        </w:rPr>
        <w:t>费项目支出预算执行情况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2022</w:t>
      </w:r>
      <w:r>
        <w:rPr>
          <w:rFonts w:hint="eastAsia" w:ascii="仿宋_GB2312" w:eastAsia="仿宋_GB2312"/>
          <w:sz w:val="32"/>
          <w:szCs w:val="32"/>
        </w:rPr>
        <w:t>年兰州新区产业孵化大厦运营管理费项目费用1</w:t>
      </w:r>
      <w:r>
        <w:rPr>
          <w:rFonts w:ascii="仿宋_GB2312" w:eastAsia="仿宋_GB2312"/>
          <w:sz w:val="32"/>
          <w:szCs w:val="32"/>
        </w:rPr>
        <w:t>600</w:t>
      </w:r>
      <w:r>
        <w:rPr>
          <w:rFonts w:hint="eastAsia" w:ascii="仿宋_GB2312" w:eastAsia="仿宋_GB2312"/>
          <w:sz w:val="32"/>
          <w:szCs w:val="32"/>
        </w:rPr>
        <w:t>万，用于项目支出本级预算安排共计</w:t>
      </w:r>
      <w:r>
        <w:rPr>
          <w:rFonts w:ascii="仿宋_GB2312" w:eastAsia="仿宋_GB2312"/>
          <w:sz w:val="32"/>
          <w:szCs w:val="32"/>
        </w:rPr>
        <w:t>1600</w:t>
      </w:r>
      <w:r>
        <w:rPr>
          <w:rFonts w:hint="eastAsia" w:ascii="仿宋_GB2312" w:eastAsia="仿宋_GB2312"/>
          <w:sz w:val="32"/>
          <w:szCs w:val="32"/>
        </w:rPr>
        <w:t>万，实际支出</w:t>
      </w:r>
      <w:r>
        <w:rPr>
          <w:rFonts w:ascii="仿宋_GB2312" w:eastAsia="仿宋_GB2312"/>
          <w:sz w:val="32"/>
          <w:szCs w:val="32"/>
        </w:rPr>
        <w:t>1600</w:t>
      </w:r>
      <w:r>
        <w:rPr>
          <w:rFonts w:hint="eastAsia" w:ascii="仿宋_GB2312" w:eastAsia="仿宋_GB2312"/>
          <w:sz w:val="32"/>
          <w:szCs w:val="32"/>
        </w:rPr>
        <w:t>万，预算执行率为100%，资金使用合法合规。</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eastAsia="仿宋_GB2312"/>
          <w:lang w:val="en-US" w:eastAsia="zh-CN"/>
        </w:rPr>
      </w:pPr>
      <w:r>
        <w:rPr>
          <w:rFonts w:hint="eastAsia" w:ascii="仿宋_GB2312" w:eastAsia="仿宋_GB2312"/>
          <w:sz w:val="32"/>
          <w:szCs w:val="32"/>
        </w:rPr>
        <w:t>2.绩效目标完成情况分析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2022</w:t>
      </w:r>
      <w:r>
        <w:rPr>
          <w:rFonts w:hint="eastAsia" w:ascii="仿宋_GB2312" w:eastAsia="仿宋_GB2312"/>
          <w:sz w:val="32"/>
          <w:szCs w:val="32"/>
        </w:rPr>
        <w:t>年兰州新区产业孵化大厦运营管理费项目，保证了孵化大厦物业管理服务、安保服务、电梯维保服务、消防维保服务以及大厦日常供水、供电、供暖、网络、设施设备等各项日常工作正常运行。全面完成了国家科技部每年国家级科技孵化器考核及统计、系统填报；完善新区创业服务体系，培育具有引领带动作用的初创企业</w:t>
      </w:r>
      <w:r>
        <w:rPr>
          <w:rFonts w:hint="eastAsia" w:ascii="仿宋_GB2312" w:eastAsia="仿宋_GB2312"/>
          <w:sz w:val="32"/>
          <w:szCs w:val="32"/>
          <w:lang w:val="en-US" w:eastAsia="zh-CN"/>
        </w:rPr>
        <w:t>55家</w:t>
      </w:r>
      <w:r>
        <w:rPr>
          <w:rFonts w:hint="eastAsia" w:ascii="仿宋_GB2312" w:eastAsia="仿宋_GB2312"/>
          <w:sz w:val="32"/>
          <w:szCs w:val="32"/>
        </w:rPr>
        <w:t>，自评结果为“优”。</w:t>
      </w:r>
    </w:p>
    <w:p>
      <w:pPr>
        <w:keepNext w:val="0"/>
        <w:keepLines w:val="0"/>
        <w:pageBreakBefore w:val="0"/>
        <w:kinsoku/>
        <w:overflowPunct/>
        <w:topLinePunct w:val="0"/>
        <w:autoSpaceDE/>
        <w:autoSpaceDN/>
        <w:bidi w:val="0"/>
        <w:adjustRightInd/>
        <w:snapToGrid/>
        <w:spacing w:line="600" w:lineRule="exact"/>
        <w:ind w:firstLine="640" w:firstLineChars="200"/>
        <w:textAlignment w:val="auto"/>
      </w:pPr>
      <w:r>
        <w:rPr>
          <w:rFonts w:hint="eastAsia" w:ascii="仿宋_GB2312" w:eastAsia="仿宋_GB2312"/>
          <w:sz w:val="32"/>
          <w:szCs w:val="32"/>
        </w:rPr>
        <w:t>3.项目各项指标完成情况分析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通过绩效自评，</w:t>
      </w:r>
      <w:r>
        <w:rPr>
          <w:rFonts w:hint="eastAsia" w:ascii="仿宋_GB2312" w:eastAsia="仿宋_GB2312"/>
          <w:sz w:val="32"/>
          <w:szCs w:val="32"/>
          <w:lang w:eastAsia="zh-CN"/>
        </w:rPr>
        <w:t>2022</w:t>
      </w:r>
      <w:r>
        <w:rPr>
          <w:rFonts w:hint="eastAsia" w:ascii="仿宋_GB2312" w:eastAsia="仿宋_GB2312"/>
          <w:sz w:val="32"/>
          <w:szCs w:val="32"/>
        </w:rPr>
        <w:t>年兰州新区产业孵化大厦运营管理费项目的年度绩效目标完成率为100%。产出指标方面，提供并满足孵化大厦</w:t>
      </w:r>
      <w:r>
        <w:rPr>
          <w:rFonts w:hint="eastAsia" w:ascii="仿宋_GB2312" w:eastAsia="仿宋_GB2312"/>
          <w:sz w:val="32"/>
          <w:szCs w:val="32"/>
          <w:lang w:eastAsia="zh-CN"/>
        </w:rPr>
        <w:t>2022</w:t>
      </w:r>
      <w:r>
        <w:rPr>
          <w:rFonts w:hint="eastAsia" w:ascii="仿宋_GB2312" w:eastAsia="仿宋_GB2312"/>
          <w:sz w:val="32"/>
          <w:szCs w:val="32"/>
        </w:rPr>
        <w:t>年物业管理、安保、大厦日常供水、供电、网络服务，在供暖季及时满足孵化大厦供暖使用，完成国家科技部每年国家级科技孵化器考核及统计、系统填报2次，通过国家科技部、省科技厅每年对国家级科技孵化器考核评价，培育具有引领带动作用的初创企</w:t>
      </w:r>
      <w:r>
        <w:rPr>
          <w:rFonts w:hint="eastAsia" w:ascii="仿宋_GB2312" w:eastAsia="仿宋_GB2312"/>
          <w:color w:val="000000"/>
          <w:sz w:val="32"/>
          <w:szCs w:val="32"/>
        </w:rPr>
        <w:t>业</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5家</w:t>
      </w:r>
      <w:r>
        <w:rPr>
          <w:rFonts w:hint="eastAsia" w:ascii="仿宋_GB2312" w:eastAsia="仿宋_GB2312"/>
          <w:sz w:val="32"/>
          <w:szCs w:val="32"/>
        </w:rPr>
        <w:t>。效益指标方面，改善了入驻企业办公环境，促进了新区就业，进一步为新区营造浓厚创新氛围，进一步增加了创新人才在新区的聚集，提高了对科技创新和产业发展的带头示范作用，推动了科技创新和成果转化的持续开展。满意度指标方面，入驻企业满意度较高，达到了项目支出预期。</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偏离绩效目标的原因及下一步改进措施</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2022</w:t>
      </w:r>
      <w:r>
        <w:rPr>
          <w:rFonts w:hint="eastAsia" w:ascii="仿宋_GB2312" w:eastAsia="仿宋_GB2312"/>
          <w:sz w:val="32"/>
          <w:szCs w:val="32"/>
        </w:rPr>
        <w:t>年兰州新区产业孵化大厦运营管理费项目资金在所有绩效指标中整体情况较好，一是物业管理还有待完善，将对物业进行优化管理。二是对科技创新和产业发展的带头示范作用</w:t>
      </w:r>
      <w:r>
        <w:rPr>
          <w:rFonts w:hint="eastAsia" w:ascii="仿宋_GB2312" w:eastAsia="仿宋_GB2312"/>
          <w:sz w:val="32"/>
          <w:szCs w:val="32"/>
          <w:lang w:eastAsia="zh-CN"/>
        </w:rPr>
        <w:t>还有待提高，</w:t>
      </w:r>
      <w:r>
        <w:rPr>
          <w:rFonts w:hint="eastAsia" w:ascii="仿宋_GB2312" w:eastAsia="仿宋_GB2312"/>
          <w:sz w:val="32"/>
          <w:szCs w:val="32"/>
        </w:rPr>
        <w:t>将加大力度培育</w:t>
      </w:r>
      <w:r>
        <w:rPr>
          <w:rFonts w:hint="eastAsia" w:ascii="仿宋_GB2312" w:eastAsia="仿宋_GB2312"/>
          <w:sz w:val="32"/>
          <w:szCs w:val="32"/>
          <w:lang w:eastAsia="zh-CN"/>
        </w:rPr>
        <w:t>引进</w:t>
      </w:r>
      <w:r>
        <w:rPr>
          <w:rFonts w:hint="eastAsia" w:ascii="仿宋_GB2312" w:eastAsia="仿宋_GB2312"/>
          <w:sz w:val="32"/>
          <w:szCs w:val="32"/>
        </w:rPr>
        <w:t>有实力的创新型企业，</w:t>
      </w:r>
      <w:r>
        <w:rPr>
          <w:rFonts w:hint="eastAsia" w:ascii="仿宋_GB2312" w:eastAsia="仿宋_GB2312"/>
          <w:sz w:val="32"/>
          <w:szCs w:val="32"/>
          <w:lang w:eastAsia="zh-CN"/>
        </w:rPr>
        <w:t>发挥</w:t>
      </w:r>
      <w:r>
        <w:rPr>
          <w:rFonts w:hint="eastAsia" w:ascii="仿宋_GB2312" w:eastAsia="仿宋_GB2312"/>
          <w:sz w:val="32"/>
          <w:szCs w:val="32"/>
        </w:rPr>
        <w:t>带头示范作用。三是推动科技创新和成果转化还有待提高，将进一步优化服务</w:t>
      </w:r>
      <w:r>
        <w:rPr>
          <w:rFonts w:hint="eastAsia" w:ascii="仿宋_GB2312" w:eastAsia="仿宋_GB2312"/>
          <w:sz w:val="32"/>
          <w:szCs w:val="32"/>
          <w:lang w:eastAsia="zh-CN"/>
        </w:rPr>
        <w:t>，完善机制</w:t>
      </w:r>
      <w:r>
        <w:rPr>
          <w:rFonts w:hint="eastAsia" w:ascii="仿宋_GB2312" w:eastAsia="仿宋_GB2312"/>
          <w:sz w:val="32"/>
          <w:szCs w:val="32"/>
        </w:rPr>
        <w:t>，加快科技成果转化。</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楷体" w:hAnsi="楷体" w:eastAsia="楷体" w:cs="Arial"/>
          <w:b/>
          <w:bCs/>
          <w:color w:val="auto"/>
          <w:kern w:val="2"/>
          <w:sz w:val="32"/>
          <w:szCs w:val="32"/>
          <w:lang w:val="en-US" w:eastAsia="zh-CN" w:bidi="ar-SA"/>
        </w:rPr>
      </w:pPr>
      <w:r>
        <w:rPr>
          <w:rFonts w:hint="eastAsia" w:ascii="楷体" w:hAnsi="楷体" w:eastAsia="楷体" w:cs="Arial"/>
          <w:b/>
          <w:bCs/>
          <w:color w:val="auto"/>
          <w:kern w:val="2"/>
          <w:sz w:val="32"/>
          <w:szCs w:val="32"/>
          <w:lang w:val="en-US" w:eastAsia="zh-CN" w:bidi="ar-SA"/>
        </w:rPr>
        <w:t>（三）新区孵化大厦租赁费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2022</w:t>
      </w:r>
      <w:r>
        <w:rPr>
          <w:rFonts w:hint="eastAsia" w:ascii="仿宋_GB2312" w:eastAsia="仿宋_GB2312"/>
          <w:sz w:val="32"/>
          <w:szCs w:val="32"/>
        </w:rPr>
        <w:t>年兰州新区产业孵化大厦租赁费项目支出预算执行情况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lang w:eastAsia="zh-CN"/>
        </w:rPr>
        <w:t>2022</w:t>
      </w:r>
      <w:r>
        <w:rPr>
          <w:rFonts w:hint="eastAsia" w:ascii="仿宋_GB2312" w:eastAsia="仿宋_GB2312"/>
          <w:sz w:val="32"/>
          <w:szCs w:val="32"/>
        </w:rPr>
        <w:t>年兰州新区产业孵化大厦租赁费项目费用4921万，用于项目支出本级预算安排共计4921万，实际支出4921万，预算执行率为100%，资金使用合法合规。</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2.项目绩效目标完成情况分析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通过</w:t>
      </w:r>
      <w:r>
        <w:rPr>
          <w:rFonts w:hint="eastAsia" w:ascii="仿宋_GB2312" w:eastAsia="仿宋_GB2312"/>
          <w:sz w:val="32"/>
          <w:szCs w:val="32"/>
          <w:lang w:eastAsia="zh-CN"/>
        </w:rPr>
        <w:t>2022</w:t>
      </w:r>
      <w:r>
        <w:rPr>
          <w:rFonts w:hint="eastAsia" w:ascii="仿宋_GB2312" w:eastAsia="仿宋_GB2312"/>
          <w:sz w:val="32"/>
          <w:szCs w:val="32"/>
        </w:rPr>
        <w:t>年兰州新区产业孵化大厦租赁费项目，保障了</w:t>
      </w:r>
      <w:r>
        <w:rPr>
          <w:rFonts w:hint="eastAsia" w:ascii="仿宋_GB2312" w:eastAsia="仿宋_GB2312"/>
          <w:sz w:val="32"/>
          <w:szCs w:val="32"/>
          <w:lang w:eastAsia="zh-CN"/>
        </w:rPr>
        <w:t>2022</w:t>
      </w:r>
      <w:r>
        <w:rPr>
          <w:rFonts w:hint="eastAsia" w:ascii="仿宋_GB2312" w:eastAsia="仿宋_GB2312"/>
          <w:sz w:val="32"/>
          <w:szCs w:val="32"/>
        </w:rPr>
        <w:t>年新区产业孵化大厦房屋整体的正常使用，自评结果为“优”。</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3.项目各项指标完成情况分析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通过绩效自评，</w:t>
      </w:r>
      <w:r>
        <w:rPr>
          <w:rFonts w:hint="eastAsia" w:ascii="仿宋_GB2312" w:eastAsia="仿宋_GB2312"/>
          <w:sz w:val="32"/>
          <w:szCs w:val="32"/>
          <w:lang w:eastAsia="zh-CN"/>
        </w:rPr>
        <w:t>2022</w:t>
      </w:r>
      <w:r>
        <w:rPr>
          <w:rFonts w:hint="eastAsia" w:ascii="仿宋_GB2312" w:eastAsia="仿宋_GB2312"/>
          <w:sz w:val="32"/>
          <w:szCs w:val="32"/>
        </w:rPr>
        <w:t>年兰州新区产业孵化大厦租赁费项目的年度绩效目标完成率为</w:t>
      </w:r>
      <w:r>
        <w:rPr>
          <w:rFonts w:ascii="仿宋_GB2312" w:eastAsia="仿宋_GB2312"/>
          <w:sz w:val="32"/>
          <w:szCs w:val="32"/>
        </w:rPr>
        <w:t>100</w:t>
      </w:r>
      <w:r>
        <w:rPr>
          <w:rFonts w:hint="eastAsia" w:ascii="仿宋_GB2312" w:eastAsia="仿宋_GB2312"/>
          <w:sz w:val="32"/>
          <w:szCs w:val="32"/>
        </w:rPr>
        <w:t>%。产出指标方面，租赁孵化大厦总面积136698.01平方米，面积符合合同约定条款，每月每平方米租金3</w:t>
      </w:r>
      <w:r>
        <w:rPr>
          <w:rFonts w:ascii="仿宋_GB2312" w:eastAsia="仿宋_GB2312"/>
          <w:sz w:val="32"/>
          <w:szCs w:val="32"/>
        </w:rPr>
        <w:t>0</w:t>
      </w:r>
      <w:r>
        <w:rPr>
          <w:rFonts w:hint="eastAsia" w:ascii="仿宋_GB2312" w:eastAsia="仿宋_GB2312"/>
          <w:sz w:val="32"/>
          <w:szCs w:val="32"/>
        </w:rPr>
        <w:t>元，花费总金额4</w:t>
      </w:r>
      <w:r>
        <w:rPr>
          <w:rFonts w:ascii="仿宋_GB2312" w:eastAsia="仿宋_GB2312"/>
          <w:sz w:val="32"/>
          <w:szCs w:val="32"/>
        </w:rPr>
        <w:t>921</w:t>
      </w:r>
      <w:r>
        <w:rPr>
          <w:rFonts w:hint="eastAsia" w:ascii="仿宋_GB2312" w:eastAsia="仿宋_GB2312"/>
          <w:sz w:val="32"/>
          <w:szCs w:val="32"/>
        </w:rPr>
        <w:t>万元。效益指标方面，为新区创新创业主体提供较好的平台，促进了新区就业，改善了工作人员办公环境，为新区产业可持续发展提供了支持，为新区人才不断引进提供便利。满意度指标方面，入驻企业满意度较高，达到了项目支出预期。</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4.偏离绩效目标的原因及下一步改进措施</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2022</w:t>
      </w:r>
      <w:r>
        <w:rPr>
          <w:rFonts w:hint="eastAsia" w:ascii="仿宋_GB2312" w:eastAsia="仿宋_GB2312"/>
          <w:sz w:val="32"/>
          <w:szCs w:val="32"/>
        </w:rPr>
        <w:t>年兰州新区产业孵化大厦租赁费项目资金在所有绩效指标中整体情况较好，一是推动产业可持续发展有待加强</w:t>
      </w:r>
      <w:r>
        <w:rPr>
          <w:rFonts w:hint="eastAsia" w:ascii="仿宋_GB2312" w:eastAsia="仿宋_GB2312"/>
          <w:sz w:val="32"/>
          <w:szCs w:val="32"/>
          <w:lang w:eastAsia="zh-CN"/>
        </w:rPr>
        <w:t>，</w:t>
      </w:r>
      <w:r>
        <w:rPr>
          <w:rFonts w:hint="eastAsia" w:ascii="仿宋_GB2312" w:eastAsia="仿宋_GB2312"/>
          <w:sz w:val="32"/>
          <w:szCs w:val="32"/>
        </w:rPr>
        <w:t>下一步将加大招商力度，</w:t>
      </w:r>
      <w:r>
        <w:rPr>
          <w:rFonts w:hint="eastAsia" w:ascii="仿宋_GB2312" w:eastAsia="仿宋_GB2312"/>
          <w:sz w:val="32"/>
          <w:szCs w:val="32"/>
          <w:lang w:eastAsia="zh-CN"/>
        </w:rPr>
        <w:t>围绕产业链</w:t>
      </w:r>
      <w:r>
        <w:rPr>
          <w:rFonts w:hint="eastAsia" w:ascii="仿宋_GB2312" w:eastAsia="仿宋_GB2312"/>
          <w:sz w:val="32"/>
          <w:szCs w:val="32"/>
        </w:rPr>
        <w:t>不断引进企业，</w:t>
      </w:r>
      <w:r>
        <w:rPr>
          <w:rFonts w:hint="eastAsia" w:ascii="仿宋_GB2312" w:eastAsia="仿宋_GB2312"/>
          <w:sz w:val="32"/>
          <w:szCs w:val="32"/>
          <w:lang w:eastAsia="zh-CN"/>
        </w:rPr>
        <w:t>促进产业高质量发展。</w:t>
      </w:r>
      <w:r>
        <w:rPr>
          <w:rFonts w:hint="eastAsia" w:ascii="仿宋_GB2312" w:eastAsia="仿宋_GB2312"/>
          <w:sz w:val="32"/>
          <w:szCs w:val="32"/>
        </w:rPr>
        <w:t>二是服务质量有提升空间</w:t>
      </w:r>
      <w:r>
        <w:rPr>
          <w:rFonts w:hint="eastAsia" w:ascii="仿宋_GB2312" w:eastAsia="仿宋_GB2312"/>
          <w:sz w:val="32"/>
          <w:szCs w:val="32"/>
          <w:lang w:eastAsia="zh-CN"/>
        </w:rPr>
        <w:t>，下一步将优化管理模式，提高服务水平，为企业创造更好的创新创业环境</w:t>
      </w:r>
      <w:r>
        <w:rPr>
          <w:rFonts w:hint="eastAsia" w:ascii="仿宋_GB2312" w:eastAsia="仿宋_GB2312"/>
          <w:sz w:val="32"/>
          <w:szCs w:val="32"/>
        </w:rPr>
        <w:t>。</w:t>
      </w:r>
    </w:p>
    <w:p>
      <w:pPr>
        <w:keepNext w:val="0"/>
        <w:keepLines w:val="0"/>
        <w:pageBreakBefore w:val="0"/>
        <w:numPr>
          <w:ilvl w:val="0"/>
          <w:numId w:val="1"/>
        </w:numPr>
        <w:kinsoku/>
        <w:overflowPunct/>
        <w:topLinePunct w:val="0"/>
        <w:autoSpaceDE/>
        <w:autoSpaceDN/>
        <w:bidi w:val="0"/>
        <w:adjustRightInd/>
        <w:snapToGrid/>
        <w:spacing w:line="600" w:lineRule="exact"/>
        <w:ind w:firstLine="643" w:firstLineChars="200"/>
        <w:textAlignment w:val="auto"/>
        <w:rPr>
          <w:rFonts w:hint="eastAsia" w:ascii="楷体" w:hAnsi="楷体" w:eastAsia="楷体" w:cs="Arial"/>
          <w:b/>
          <w:bCs/>
          <w:kern w:val="2"/>
          <w:sz w:val="32"/>
          <w:szCs w:val="32"/>
          <w:lang w:val="en-US" w:eastAsia="zh-CN" w:bidi="ar-SA"/>
        </w:rPr>
      </w:pPr>
      <w:r>
        <w:rPr>
          <w:rFonts w:hint="eastAsia" w:ascii="楷体" w:hAnsi="楷体" w:eastAsia="楷体" w:cs="Arial"/>
          <w:b/>
          <w:bCs/>
          <w:kern w:val="2"/>
          <w:sz w:val="32"/>
          <w:szCs w:val="32"/>
          <w:lang w:val="en-US" w:eastAsia="zh-CN" w:bidi="ar-SA"/>
        </w:rPr>
        <w:t>兰州新区“十四五”科技创新规划编制费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预算9.8万元，实际使用9.8万，资金到位率100%，实际预算执行率为100%。</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兰州新区“十四五”科技创新规划》还吸纳了国家和省市国民经济和社会发展第十四个五年规划和二〇三五年远景目标纲要、《黄河流域生态保护和高质量发展规划纲要》《兰州—西宁城市群发展规划》关于科技创新工作的部署要求，以及省委、省政府关于深化科技体制机制改革推动高质量发展的若干措施、支持兰州白银国家自主创新示范区建设的若干意见等。已经通过会议审核并印发执行。自评结果为“优”。</w:t>
      </w:r>
    </w:p>
    <w:p>
      <w:pPr>
        <w:keepNext w:val="0"/>
        <w:keepLines w:val="0"/>
        <w:pageBreakBefore w:val="0"/>
        <w:numPr>
          <w:ilvl w:val="0"/>
          <w:numId w:val="1"/>
        </w:numPr>
        <w:kinsoku/>
        <w:overflowPunct/>
        <w:topLinePunct w:val="0"/>
        <w:autoSpaceDE/>
        <w:autoSpaceDN/>
        <w:bidi w:val="0"/>
        <w:adjustRightInd/>
        <w:snapToGrid/>
        <w:spacing w:line="600" w:lineRule="exact"/>
        <w:ind w:left="0" w:leftChars="0" w:firstLine="643" w:firstLineChars="200"/>
        <w:textAlignment w:val="auto"/>
        <w:rPr>
          <w:rFonts w:hint="eastAsia" w:ascii="楷体" w:hAnsi="楷体" w:eastAsia="楷体" w:cs="Arial"/>
          <w:b/>
          <w:bCs/>
          <w:kern w:val="2"/>
          <w:sz w:val="32"/>
          <w:szCs w:val="32"/>
          <w:lang w:val="en-US" w:eastAsia="zh-CN" w:bidi="ar-SA"/>
        </w:rPr>
      </w:pPr>
      <w:r>
        <w:rPr>
          <w:rFonts w:hint="eastAsia" w:ascii="楷体" w:hAnsi="楷体" w:eastAsia="楷体" w:cs="Arial"/>
          <w:b/>
          <w:bCs/>
          <w:kern w:val="2"/>
          <w:sz w:val="32"/>
          <w:szCs w:val="32"/>
          <w:lang w:val="en-US" w:eastAsia="zh-CN" w:bidi="ar-SA"/>
        </w:rPr>
        <w:t>甘肃省兰州新区国家装备制造高新技术产业化基地申报书编制费</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预算9.5万元，实际使用9.5万，资金到位率100%，实际预算执行率为100%。</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lang w:val="en-US" w:eastAsia="zh-CN"/>
        </w:rPr>
      </w:pPr>
      <w:r>
        <w:rPr>
          <w:rFonts w:hint="eastAsia" w:ascii="仿宋_GB2312" w:eastAsia="仿宋_GB2312"/>
          <w:sz w:val="32"/>
          <w:szCs w:val="32"/>
        </w:rPr>
        <w:t>《国家装备制造高新技术产业化基地申报书》通过甘肃省科技厅组织的专家评审、并对接国家科技部，按照国家科技部提出的意见完成相关内容修改，兰州新区国家装备制造高新技术产业化基地通过国家科技部认定。自评结果为“优”。</w:t>
      </w:r>
    </w:p>
    <w:p>
      <w:pPr>
        <w:pStyle w:val="2"/>
        <w:keepNext w:val="0"/>
        <w:keepLines w:val="0"/>
        <w:pageBreakBefore w:val="0"/>
        <w:numPr>
          <w:ilvl w:val="0"/>
          <w:numId w:val="1"/>
        </w:numPr>
        <w:kinsoku/>
        <w:overflowPunct/>
        <w:topLinePunct w:val="0"/>
        <w:autoSpaceDE/>
        <w:autoSpaceDN/>
        <w:bidi w:val="0"/>
        <w:adjustRightInd/>
        <w:snapToGrid/>
        <w:spacing w:line="600" w:lineRule="exact"/>
        <w:ind w:left="0" w:leftChars="0" w:firstLine="643" w:firstLineChars="200"/>
        <w:jc w:val="both"/>
        <w:textAlignment w:val="auto"/>
        <w:rPr>
          <w:rFonts w:hint="eastAsia" w:ascii="仿宋_GB2312" w:eastAsia="仿宋_GB2312"/>
          <w:sz w:val="32"/>
          <w:szCs w:val="32"/>
        </w:rPr>
      </w:pPr>
      <w:r>
        <w:rPr>
          <w:rFonts w:hint="eastAsia" w:ascii="楷体" w:hAnsi="楷体" w:eastAsia="楷体" w:cs="Arial"/>
          <w:b/>
          <w:bCs/>
          <w:kern w:val="2"/>
          <w:sz w:val="32"/>
          <w:szCs w:val="32"/>
          <w:lang w:val="en-US" w:eastAsia="zh-CN" w:bidi="ar-SA"/>
        </w:rPr>
        <w:t>兰州新区化工园区污水、固废、废气处理关键环节问题研究项目</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预算150万元，实际使用150万，资金到位率100%，实际预算执行率为100%。</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lang w:val="en-US" w:eastAsia="zh-CN"/>
        </w:rPr>
      </w:pPr>
      <w:r>
        <w:rPr>
          <w:rFonts w:hint="eastAsia" w:ascii="仿宋_GB2312" w:eastAsia="仿宋_GB2312"/>
          <w:sz w:val="32"/>
          <w:szCs w:val="32"/>
        </w:rPr>
        <w:t>项目依托兰州大学技术服务团队，紧跟产业发展、企业落地新形势，持续升级园区污水、固废、废气处理等安全环保管理技术,保障园区高质量快速发展。自评结果为“优”。</w:t>
      </w:r>
    </w:p>
    <w:p>
      <w:pPr>
        <w:keepNext w:val="0"/>
        <w:keepLines w:val="0"/>
        <w:pageBreakBefore w:val="0"/>
        <w:kinsoku/>
        <w:overflowPunct/>
        <w:topLinePunct w:val="0"/>
        <w:autoSpaceDE/>
        <w:autoSpaceDN/>
        <w:bidi w:val="0"/>
        <w:adjustRightInd/>
        <w:snapToGrid/>
        <w:spacing w:line="600" w:lineRule="exact"/>
        <w:ind w:firstLine="643" w:firstLineChars="200"/>
        <w:textAlignment w:val="auto"/>
        <w:rPr>
          <w:rFonts w:hint="eastAsia" w:ascii="楷体" w:hAnsi="楷体" w:eastAsia="楷体" w:cs="Arial"/>
          <w:b/>
          <w:bCs/>
          <w:kern w:val="2"/>
          <w:sz w:val="32"/>
          <w:szCs w:val="32"/>
          <w:lang w:val="en-US" w:eastAsia="zh-CN" w:bidi="ar-SA"/>
        </w:rPr>
      </w:pPr>
      <w:r>
        <w:rPr>
          <w:rFonts w:hint="eastAsia" w:ascii="楷体" w:hAnsi="楷体" w:eastAsia="楷体" w:cs="Arial"/>
          <w:b/>
          <w:bCs/>
          <w:kern w:val="2"/>
          <w:sz w:val="32"/>
          <w:szCs w:val="32"/>
          <w:lang w:val="en-US" w:eastAsia="zh-CN" w:bidi="ar-SA"/>
        </w:rPr>
        <w:t>（七）中国科学院兰州化学物理研究所中试研究和成果转化基地项目</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1.预算执行情况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预算2000万元，实际使用2000万，资金到位率100%，实际预算执行率为100%。</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2.绩效目标完成情况分析</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中国科学院兰州化学物理研究所中试研究和成果转化基地项目为进一步扩大兰州新区化工园区在全国范围内的知名度与影响力，提高兰州新区招商引资竞争优势，推动兰州新区高质量发展，构建发展新格局打下创新基础。自评结果为“优”。</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六、绩效自评结果拟应用和公开情况</w:t>
      </w:r>
    </w:p>
    <w:p>
      <w:pPr>
        <w:pStyle w:val="16"/>
        <w:bidi w:val="0"/>
        <w:rPr>
          <w:rFonts w:hint="eastAsia" w:ascii="仿宋_GB2312" w:eastAsia="仿宋_GB2312" w:hAnsiTheme="minorHAnsi" w:cstheme="minorBidi"/>
          <w:kern w:val="2"/>
          <w:sz w:val="32"/>
          <w:szCs w:val="32"/>
          <w:lang w:val="en-US" w:eastAsia="zh-CN" w:bidi="ar-SA"/>
        </w:rPr>
      </w:pPr>
      <w:bookmarkStart w:id="0" w:name="_GoBack"/>
      <w:r>
        <w:rPr>
          <w:rFonts w:hint="eastAsia" w:ascii="仿宋_GB2312" w:eastAsia="仿宋_GB2312" w:hAnsiTheme="minorHAnsi" w:cstheme="minorBidi"/>
          <w:kern w:val="2"/>
          <w:sz w:val="32"/>
          <w:szCs w:val="32"/>
          <w:lang w:val="en-US" w:eastAsia="zh-CN" w:bidi="ar-SA"/>
        </w:rPr>
        <w:t>1.我单位根据绩效评定指标评价，整体自评指标得分93分，评价结果为：本部门绩效整体完成已达预期目标。</w:t>
      </w:r>
    </w:p>
    <w:p>
      <w:pPr>
        <w:pStyle w:val="16"/>
        <w:bidi w:val="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对项目绩效评定指标评价，将项目支出后的实际状况与项目申报的绩效目标进行对比分析。按项目实际支出和项目申报绩效目标进行对比分析，进一步深入企业调研，强化沟通，进一步鼓励企业高效有序的开展企业技术创新工作，在技术研发、技术攻关、技术创新方面取得更好成绩。</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3.我单位根据财政相关文件要求，通过审核后将按相关要求进行公开公示。</w:t>
      </w:r>
    </w:p>
    <w:bookmarkEnd w:id="0"/>
    <w:p>
      <w:pPr>
        <w:keepNext w:val="0"/>
        <w:keepLines w:val="0"/>
        <w:pageBreakBefore w:val="0"/>
        <w:widowControl w:val="0"/>
        <w:numPr>
          <w:ilvl w:val="0"/>
          <w:numId w:val="0"/>
        </w:numPr>
        <w:kinsoku w:val="0"/>
        <w:wordWrap w:val="0"/>
        <w:overflowPunct/>
        <w:topLinePunct w:val="0"/>
        <w:autoSpaceDE/>
        <w:autoSpaceDN/>
        <w:bidi w:val="0"/>
        <w:adjustRightInd/>
        <w:snapToGrid/>
        <w:spacing w:line="600" w:lineRule="exact"/>
        <w:ind w:firstLine="640" w:firstLineChars="200"/>
        <w:jc w:val="both"/>
        <w:textAlignment w:val="baseline"/>
        <w:rPr>
          <w:rFonts w:hint="eastAsia" w:ascii="黑体" w:hAnsi="黑体" w:eastAsia="黑体" w:cs="黑体"/>
          <w:sz w:val="32"/>
          <w:szCs w:val="32"/>
          <w:lang w:eastAsia="zh-CN"/>
        </w:rPr>
      </w:pPr>
      <w:r>
        <w:rPr>
          <w:rFonts w:hint="eastAsia" w:ascii="黑体" w:hAnsi="黑体" w:eastAsia="黑体" w:cs="黑体"/>
          <w:sz w:val="32"/>
          <w:szCs w:val="32"/>
          <w:lang w:val="en-US" w:eastAsia="zh-CN"/>
        </w:rPr>
        <w:t>七、</w:t>
      </w:r>
      <w:r>
        <w:rPr>
          <w:rFonts w:hint="eastAsia" w:ascii="黑体" w:hAnsi="黑体" w:eastAsia="黑体" w:cs="黑体"/>
          <w:sz w:val="32"/>
          <w:szCs w:val="32"/>
        </w:rPr>
        <w:t>下一步工作</w:t>
      </w:r>
      <w:r>
        <w:rPr>
          <w:rFonts w:hint="eastAsia" w:ascii="黑体" w:hAnsi="黑体" w:eastAsia="黑体" w:cs="黑体"/>
          <w:sz w:val="32"/>
          <w:szCs w:val="32"/>
          <w:lang w:val="en-US" w:eastAsia="zh-CN"/>
        </w:rPr>
        <w:t>措施</w:t>
      </w:r>
    </w:p>
    <w:p>
      <w:pPr>
        <w:keepNext w:val="0"/>
        <w:keepLines w:val="0"/>
        <w:pageBreakBefore w:val="0"/>
        <w:kinsoku w:val="0"/>
        <w:overflowPunct/>
        <w:topLinePunct w:val="0"/>
        <w:autoSpaceDE/>
        <w:autoSpaceDN/>
        <w:bidi w:val="0"/>
        <w:adjustRightInd/>
        <w:snapToGrid/>
        <w:spacing w:line="600" w:lineRule="exact"/>
        <w:ind w:firstLine="640" w:firstLineChars="200"/>
        <w:jc w:val="both"/>
        <w:textAlignment w:val="baseline"/>
      </w:pPr>
      <w:r>
        <w:rPr>
          <w:rFonts w:hint="eastAsia" w:ascii="仿宋_GB2312" w:eastAsia="仿宋_GB2312"/>
          <w:sz w:val="32"/>
          <w:szCs w:val="32"/>
        </w:rPr>
        <w:t>通过认真</w:t>
      </w:r>
      <w:r>
        <w:rPr>
          <w:rFonts w:hint="eastAsia" w:ascii="仿宋_GB2312" w:eastAsia="仿宋_GB2312"/>
          <w:sz w:val="32"/>
          <w:szCs w:val="32"/>
          <w:lang w:val="en-US" w:eastAsia="zh-CN"/>
        </w:rPr>
        <w:t>开展</w:t>
      </w:r>
      <w:r>
        <w:rPr>
          <w:rFonts w:hint="eastAsia" w:ascii="仿宋_GB2312" w:eastAsia="仿宋_GB2312"/>
          <w:sz w:val="32"/>
          <w:szCs w:val="32"/>
        </w:rPr>
        <w:t>本部门本年度绩效自评工作，进一步提高了资金的使用效益</w:t>
      </w:r>
      <w:r>
        <w:rPr>
          <w:rFonts w:hint="eastAsia" w:ascii="仿宋_GB2312" w:eastAsia="仿宋_GB2312"/>
          <w:sz w:val="32"/>
          <w:szCs w:val="32"/>
          <w:lang w:eastAsia="zh-CN"/>
        </w:rPr>
        <w:t>。</w:t>
      </w:r>
      <w:r>
        <w:rPr>
          <w:rFonts w:hint="eastAsia" w:ascii="仿宋_GB2312" w:eastAsia="仿宋_GB2312"/>
          <w:sz w:val="32"/>
          <w:szCs w:val="32"/>
          <w:lang w:val="en-US" w:eastAsia="zh-CN"/>
        </w:rPr>
        <w:t>绩效质量指标、</w:t>
      </w:r>
      <w:r>
        <w:rPr>
          <w:rFonts w:hint="eastAsia" w:ascii="仿宋_GB2312" w:eastAsia="仿宋_GB2312"/>
          <w:sz w:val="32"/>
          <w:szCs w:val="32"/>
        </w:rPr>
        <w:t>产出指标</w:t>
      </w:r>
      <w:r>
        <w:rPr>
          <w:rFonts w:hint="eastAsia" w:ascii="仿宋_GB2312" w:eastAsia="仿宋_GB2312"/>
          <w:sz w:val="32"/>
          <w:szCs w:val="32"/>
          <w:lang w:eastAsia="zh-CN"/>
        </w:rPr>
        <w:t>、</w:t>
      </w:r>
      <w:r>
        <w:rPr>
          <w:rFonts w:hint="eastAsia" w:ascii="仿宋_GB2312" w:eastAsia="仿宋_GB2312"/>
          <w:sz w:val="32"/>
          <w:szCs w:val="32"/>
        </w:rPr>
        <w:t>效益指标</w:t>
      </w:r>
      <w:r>
        <w:rPr>
          <w:rFonts w:hint="eastAsia" w:ascii="仿宋_GB2312" w:eastAsia="仿宋_GB2312"/>
          <w:sz w:val="32"/>
          <w:szCs w:val="32"/>
          <w:lang w:eastAsia="zh-CN"/>
        </w:rPr>
        <w:t>、</w:t>
      </w:r>
      <w:r>
        <w:rPr>
          <w:rFonts w:hint="eastAsia" w:ascii="仿宋_GB2312" w:eastAsia="仿宋_GB2312"/>
          <w:sz w:val="32"/>
          <w:szCs w:val="32"/>
        </w:rPr>
        <w:t>满意度指标</w:t>
      </w:r>
      <w:r>
        <w:rPr>
          <w:rFonts w:hint="eastAsia" w:ascii="仿宋_GB2312" w:eastAsia="仿宋_GB2312"/>
          <w:sz w:val="32"/>
          <w:szCs w:val="32"/>
          <w:lang w:eastAsia="zh-CN"/>
        </w:rPr>
        <w:t>、</w:t>
      </w:r>
      <w:r>
        <w:rPr>
          <w:rFonts w:hint="eastAsia" w:ascii="仿宋_GB2312" w:eastAsia="仿宋_GB2312"/>
          <w:sz w:val="32"/>
          <w:szCs w:val="32"/>
          <w:lang w:val="en-US" w:eastAsia="zh-CN"/>
        </w:rPr>
        <w:t>成本控制指标</w:t>
      </w:r>
      <w:r>
        <w:rPr>
          <w:rFonts w:hint="eastAsia" w:ascii="仿宋_GB2312" w:eastAsia="仿宋_GB2312"/>
          <w:sz w:val="32"/>
          <w:szCs w:val="32"/>
        </w:rPr>
        <w:t>均达到了预期目标。提高了政府公信力和政府形象，同时也提高了企业对政府的满意度。</w:t>
      </w:r>
      <w:r>
        <w:rPr>
          <w:rFonts w:hint="eastAsia" w:ascii="仿宋_GB2312" w:eastAsia="仿宋_GB2312"/>
          <w:sz w:val="32"/>
          <w:szCs w:val="32"/>
          <w:lang w:val="en-US" w:eastAsia="zh-CN"/>
        </w:rPr>
        <w:t>在</w:t>
      </w:r>
      <w:r>
        <w:rPr>
          <w:rFonts w:hint="eastAsia" w:ascii="仿宋_GB2312" w:eastAsia="仿宋_GB2312"/>
          <w:sz w:val="32"/>
          <w:szCs w:val="32"/>
        </w:rPr>
        <w:t>“服务对象最多跑一次”的原则下，简化支付流程</w:t>
      </w:r>
      <w:r>
        <w:rPr>
          <w:rFonts w:hint="eastAsia" w:ascii="仿宋_GB2312" w:eastAsia="仿宋_GB2312"/>
          <w:sz w:val="32"/>
          <w:szCs w:val="32"/>
          <w:lang w:eastAsia="zh-CN"/>
        </w:rPr>
        <w:t>。</w:t>
      </w:r>
      <w:r>
        <w:rPr>
          <w:rFonts w:hint="eastAsia" w:ascii="仿宋_GB2312" w:eastAsia="仿宋_GB2312"/>
          <w:sz w:val="32"/>
          <w:szCs w:val="32"/>
          <w:lang w:val="en-US" w:eastAsia="zh-CN"/>
        </w:rPr>
        <w:t>下一步我单位将</w:t>
      </w:r>
      <w:r>
        <w:rPr>
          <w:rFonts w:hint="eastAsia" w:ascii="仿宋" w:hAnsi="仿宋" w:eastAsia="仿宋" w:cs="仿宋"/>
          <w:sz w:val="32"/>
          <w:szCs w:val="32"/>
        </w:rPr>
        <w:t>强化</w:t>
      </w:r>
      <w:r>
        <w:rPr>
          <w:rFonts w:hint="eastAsia" w:ascii="仿宋" w:hAnsi="仿宋" w:eastAsia="仿宋" w:cs="仿宋"/>
          <w:sz w:val="32"/>
          <w:szCs w:val="32"/>
          <w:lang w:val="en-US" w:eastAsia="zh-CN"/>
        </w:rPr>
        <w:t>预算</w:t>
      </w:r>
      <w:r>
        <w:rPr>
          <w:rFonts w:hint="eastAsia" w:ascii="仿宋" w:hAnsi="仿宋" w:eastAsia="仿宋" w:cs="仿宋"/>
          <w:sz w:val="32"/>
          <w:szCs w:val="32"/>
        </w:rPr>
        <w:t>单位对资金绩效实现情况的责任约束,对专项资金偏离预算绩效目标的支出,及时采取有效措施予以纠正,进一步规范专项资金使用绩效</w:t>
      </w:r>
      <w:r>
        <w:rPr>
          <w:rFonts w:hint="eastAsia" w:ascii="仿宋" w:hAnsi="仿宋" w:eastAsia="仿宋" w:cs="仿宋"/>
          <w:sz w:val="32"/>
          <w:szCs w:val="32"/>
          <w:lang w:eastAsia="zh-CN"/>
        </w:rPr>
        <w:t>。</w:t>
      </w:r>
      <w:r>
        <w:rPr>
          <w:rFonts w:hint="eastAsia" w:ascii="仿宋" w:hAnsi="仿宋" w:eastAsia="仿宋" w:cs="仿宋"/>
          <w:sz w:val="32"/>
          <w:szCs w:val="32"/>
        </w:rPr>
        <w:t>不断完善预算绩效管理工作机制。强化项目事前绩效评估意识,提高预算编制的科学性和精准性.规范预算绩效目标管理.科学合理设置绩效目标,确保资金投入与绩效产出结果相匹配、相适应</w:t>
      </w:r>
      <w:r>
        <w:rPr>
          <w:rFonts w:hint="eastAsia" w:ascii="仿宋" w:hAnsi="仿宋" w:eastAsia="仿宋" w:cs="仿宋"/>
          <w:sz w:val="32"/>
          <w:szCs w:val="32"/>
          <w:lang w:eastAsia="zh-CN"/>
        </w:rPr>
        <w:t>。</w:t>
      </w:r>
      <w:r>
        <w:rPr>
          <w:rFonts w:hint="eastAsia" w:ascii="仿宋" w:hAnsi="仿宋" w:eastAsia="仿宋" w:cs="仿宋"/>
          <w:sz w:val="32"/>
          <w:szCs w:val="32"/>
        </w:rPr>
        <w:t>实施预算绩效运行跟踪机制</w:t>
      </w:r>
      <w:r>
        <w:rPr>
          <w:rFonts w:hint="eastAsia" w:ascii="仿宋" w:hAnsi="仿宋" w:eastAsia="仿宋" w:cs="仿宋"/>
          <w:sz w:val="32"/>
          <w:szCs w:val="32"/>
          <w:lang w:eastAsia="zh-CN"/>
        </w:rPr>
        <w:t>。</w:t>
      </w:r>
      <w:r>
        <w:rPr>
          <w:rFonts w:hint="eastAsia" w:ascii="仿宋" w:hAnsi="仿宋" w:eastAsia="仿宋" w:cs="仿宋"/>
          <w:sz w:val="32"/>
          <w:szCs w:val="32"/>
        </w:rPr>
        <w:t>在预算执行过程中,要强化执行主体责任,确保实现预算支出绩效目标.强化评价结果应用,将预算绩效评价结果作为以后年度安排预算的重要依据,切实提高预算</w:t>
      </w:r>
      <w:r>
        <w:rPr>
          <w:rFonts w:hint="eastAsia" w:ascii="仿宋" w:hAnsi="仿宋" w:eastAsia="仿宋" w:cs="仿宋"/>
          <w:sz w:val="32"/>
          <w:szCs w:val="32"/>
          <w:lang w:val="en-US" w:eastAsia="zh-CN"/>
        </w:rPr>
        <w:t>绩效</w:t>
      </w:r>
      <w:r>
        <w:rPr>
          <w:rFonts w:hint="eastAsia" w:ascii="仿宋" w:hAnsi="仿宋" w:eastAsia="仿宋" w:cs="仿宋"/>
          <w:sz w:val="32"/>
          <w:szCs w:val="32"/>
        </w:rPr>
        <w:t>管理水平</w:t>
      </w:r>
      <w:r>
        <w:rPr>
          <w:rFonts w:hint="eastAsia" w:ascii="仿宋" w:hAnsi="仿宋" w:eastAsia="仿宋" w:cs="仿宋"/>
          <w:sz w:val="32"/>
          <w:szCs w:val="32"/>
          <w:lang w:eastAsia="zh-CN"/>
        </w:rPr>
        <w:t>。</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、其他需要说明的问题</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eastAsia="zh-CN"/>
        </w:rPr>
        <w:t>2022</w:t>
      </w:r>
      <w:r>
        <w:rPr>
          <w:rFonts w:hint="eastAsia" w:ascii="仿宋" w:hAnsi="仿宋" w:eastAsia="仿宋" w:cs="仿宋"/>
          <w:b w:val="0"/>
          <w:bCs w:val="0"/>
          <w:sz w:val="32"/>
          <w:szCs w:val="32"/>
        </w:rPr>
        <w:t>年度预算项目不涉及中央和省委巡视、各级审计和财政监督中发现的问题及金额。</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p>
    <w:p>
      <w:pPr>
        <w:pStyle w:val="2"/>
        <w:rPr>
          <w:rFonts w:hint="eastAsia"/>
        </w:rPr>
      </w:pPr>
    </w:p>
    <w:p>
      <w:pPr>
        <w:keepNext w:val="0"/>
        <w:keepLines w:val="0"/>
        <w:pageBreakBefore w:val="0"/>
        <w:kinsoku/>
        <w:overflowPunct/>
        <w:topLinePunct w:val="0"/>
        <w:autoSpaceDE/>
        <w:autoSpaceDN/>
        <w:bidi w:val="0"/>
        <w:adjustRightInd/>
        <w:snapToGrid/>
        <w:spacing w:line="600" w:lineRule="exact"/>
        <w:ind w:firstLine="4800" w:firstLineChars="15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兰州新区科技发展局    </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2023年3月15日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612442"/>
    </w:sdtPr>
    <w:sdtContent>
      <w:p>
        <w:pPr>
          <w:pStyle w:val="7"/>
          <w:jc w:val="center"/>
        </w:pPr>
        <w:r>
          <w:fldChar w:fldCharType="begin"/>
        </w:r>
        <w:r>
          <w:instrText xml:space="preserve"> PAGE   \* MERGEFORMAT </w:instrText>
        </w:r>
        <w:r>
          <w:fldChar w:fldCharType="separate"/>
        </w:r>
        <w:r>
          <w:rPr>
            <w:lang w:val="zh-CN"/>
          </w:rPr>
          <w:t>15</w:t>
        </w:r>
        <w:r>
          <w:rPr>
            <w:lang w:val="zh-C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44CF45"/>
    <w:multiLevelType w:val="singleLevel"/>
    <w:tmpl w:val="9344CF4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yYzUwYTYwODI5NDM3NGEzYTE1NGVkNjRiMjA2MWUifQ=="/>
  </w:docVars>
  <w:rsids>
    <w:rsidRoot w:val="00EA452A"/>
    <w:rsid w:val="00000A4D"/>
    <w:rsid w:val="0000739D"/>
    <w:rsid w:val="00013370"/>
    <w:rsid w:val="00017290"/>
    <w:rsid w:val="00035AE4"/>
    <w:rsid w:val="00035C18"/>
    <w:rsid w:val="000362AF"/>
    <w:rsid w:val="0004217B"/>
    <w:rsid w:val="00060868"/>
    <w:rsid w:val="00063443"/>
    <w:rsid w:val="000647DE"/>
    <w:rsid w:val="00071584"/>
    <w:rsid w:val="000969D4"/>
    <w:rsid w:val="000B3040"/>
    <w:rsid w:val="000D0DA8"/>
    <w:rsid w:val="000E58E5"/>
    <w:rsid w:val="000E5EFA"/>
    <w:rsid w:val="000E716D"/>
    <w:rsid w:val="000F02CF"/>
    <w:rsid w:val="001242AE"/>
    <w:rsid w:val="0012793B"/>
    <w:rsid w:val="001638D6"/>
    <w:rsid w:val="00170190"/>
    <w:rsid w:val="00171AEC"/>
    <w:rsid w:val="00181594"/>
    <w:rsid w:val="00182405"/>
    <w:rsid w:val="00193BC5"/>
    <w:rsid w:val="001B2689"/>
    <w:rsid w:val="001C1463"/>
    <w:rsid w:val="001C24DE"/>
    <w:rsid w:val="001C3543"/>
    <w:rsid w:val="001D0A68"/>
    <w:rsid w:val="001D433D"/>
    <w:rsid w:val="001F2F2F"/>
    <w:rsid w:val="001F3BEB"/>
    <w:rsid w:val="00211EAC"/>
    <w:rsid w:val="00213A5C"/>
    <w:rsid w:val="00233DFD"/>
    <w:rsid w:val="00246B6A"/>
    <w:rsid w:val="00263BA1"/>
    <w:rsid w:val="00275E48"/>
    <w:rsid w:val="00276E3C"/>
    <w:rsid w:val="002873A9"/>
    <w:rsid w:val="002901F8"/>
    <w:rsid w:val="002926E2"/>
    <w:rsid w:val="00296B30"/>
    <w:rsid w:val="002B53FD"/>
    <w:rsid w:val="002D6D10"/>
    <w:rsid w:val="002D7D99"/>
    <w:rsid w:val="002F284C"/>
    <w:rsid w:val="002F4125"/>
    <w:rsid w:val="003022A5"/>
    <w:rsid w:val="00306D4F"/>
    <w:rsid w:val="00314D9F"/>
    <w:rsid w:val="003344E5"/>
    <w:rsid w:val="003846E9"/>
    <w:rsid w:val="003A59A2"/>
    <w:rsid w:val="003D1B79"/>
    <w:rsid w:val="003E1FF6"/>
    <w:rsid w:val="004007F6"/>
    <w:rsid w:val="00402BF5"/>
    <w:rsid w:val="00413D59"/>
    <w:rsid w:val="00414FD8"/>
    <w:rsid w:val="00426B2D"/>
    <w:rsid w:val="00442088"/>
    <w:rsid w:val="00450352"/>
    <w:rsid w:val="0049494D"/>
    <w:rsid w:val="004A2664"/>
    <w:rsid w:val="004D6098"/>
    <w:rsid w:val="004F1680"/>
    <w:rsid w:val="004F1D31"/>
    <w:rsid w:val="00507774"/>
    <w:rsid w:val="00532DB1"/>
    <w:rsid w:val="00540DF9"/>
    <w:rsid w:val="005442E2"/>
    <w:rsid w:val="00546B8D"/>
    <w:rsid w:val="00550975"/>
    <w:rsid w:val="00554846"/>
    <w:rsid w:val="00572E69"/>
    <w:rsid w:val="0058502E"/>
    <w:rsid w:val="00591ADA"/>
    <w:rsid w:val="005A1544"/>
    <w:rsid w:val="005B67D7"/>
    <w:rsid w:val="005C06C7"/>
    <w:rsid w:val="005C5C2A"/>
    <w:rsid w:val="005D4672"/>
    <w:rsid w:val="005E251E"/>
    <w:rsid w:val="005F10D4"/>
    <w:rsid w:val="00640F4D"/>
    <w:rsid w:val="00644778"/>
    <w:rsid w:val="00645CFD"/>
    <w:rsid w:val="0064788F"/>
    <w:rsid w:val="006479FF"/>
    <w:rsid w:val="00666FF8"/>
    <w:rsid w:val="006838CB"/>
    <w:rsid w:val="006A21A8"/>
    <w:rsid w:val="006B2D67"/>
    <w:rsid w:val="006B5672"/>
    <w:rsid w:val="006C7439"/>
    <w:rsid w:val="006C7EA8"/>
    <w:rsid w:val="006D130C"/>
    <w:rsid w:val="006D2244"/>
    <w:rsid w:val="007160A7"/>
    <w:rsid w:val="007224C8"/>
    <w:rsid w:val="00722984"/>
    <w:rsid w:val="007345A6"/>
    <w:rsid w:val="007349CD"/>
    <w:rsid w:val="00744C5A"/>
    <w:rsid w:val="007516EA"/>
    <w:rsid w:val="00791FCE"/>
    <w:rsid w:val="00795489"/>
    <w:rsid w:val="007A3CE4"/>
    <w:rsid w:val="007A706F"/>
    <w:rsid w:val="007D68E8"/>
    <w:rsid w:val="00810BE5"/>
    <w:rsid w:val="0081191E"/>
    <w:rsid w:val="0082037F"/>
    <w:rsid w:val="00822B7D"/>
    <w:rsid w:val="00834407"/>
    <w:rsid w:val="0084666C"/>
    <w:rsid w:val="00853F1B"/>
    <w:rsid w:val="00870E71"/>
    <w:rsid w:val="0087213B"/>
    <w:rsid w:val="00875655"/>
    <w:rsid w:val="008A5C60"/>
    <w:rsid w:val="008B5F31"/>
    <w:rsid w:val="008C71D6"/>
    <w:rsid w:val="008E01E0"/>
    <w:rsid w:val="008E1C16"/>
    <w:rsid w:val="008F33F1"/>
    <w:rsid w:val="008F370B"/>
    <w:rsid w:val="0091686A"/>
    <w:rsid w:val="0093207B"/>
    <w:rsid w:val="0094109D"/>
    <w:rsid w:val="00953C51"/>
    <w:rsid w:val="009579A4"/>
    <w:rsid w:val="00964A50"/>
    <w:rsid w:val="009B1CD9"/>
    <w:rsid w:val="009B66B1"/>
    <w:rsid w:val="009C5414"/>
    <w:rsid w:val="009F77A2"/>
    <w:rsid w:val="00A001F3"/>
    <w:rsid w:val="00A246C0"/>
    <w:rsid w:val="00A35A73"/>
    <w:rsid w:val="00A437C2"/>
    <w:rsid w:val="00A74857"/>
    <w:rsid w:val="00A77808"/>
    <w:rsid w:val="00A77C2C"/>
    <w:rsid w:val="00A83F95"/>
    <w:rsid w:val="00A86512"/>
    <w:rsid w:val="00A928D3"/>
    <w:rsid w:val="00AA4B89"/>
    <w:rsid w:val="00AD533B"/>
    <w:rsid w:val="00AE1D9B"/>
    <w:rsid w:val="00AF78CC"/>
    <w:rsid w:val="00B05465"/>
    <w:rsid w:val="00B54FB2"/>
    <w:rsid w:val="00B7243E"/>
    <w:rsid w:val="00B82D4F"/>
    <w:rsid w:val="00BB0D0B"/>
    <w:rsid w:val="00BB7472"/>
    <w:rsid w:val="00BC036B"/>
    <w:rsid w:val="00BC3670"/>
    <w:rsid w:val="00BD7AE3"/>
    <w:rsid w:val="00BE101A"/>
    <w:rsid w:val="00BF216C"/>
    <w:rsid w:val="00BF4209"/>
    <w:rsid w:val="00BF47ED"/>
    <w:rsid w:val="00BF6846"/>
    <w:rsid w:val="00C00CAC"/>
    <w:rsid w:val="00C154E2"/>
    <w:rsid w:val="00C23FE2"/>
    <w:rsid w:val="00C25F6D"/>
    <w:rsid w:val="00C33C12"/>
    <w:rsid w:val="00C353FF"/>
    <w:rsid w:val="00C43E7D"/>
    <w:rsid w:val="00C540D3"/>
    <w:rsid w:val="00C57CAD"/>
    <w:rsid w:val="00C61424"/>
    <w:rsid w:val="00C94497"/>
    <w:rsid w:val="00CB4A8B"/>
    <w:rsid w:val="00CC6823"/>
    <w:rsid w:val="00CD1ED7"/>
    <w:rsid w:val="00CE76E5"/>
    <w:rsid w:val="00D13F7B"/>
    <w:rsid w:val="00D21866"/>
    <w:rsid w:val="00D42CD3"/>
    <w:rsid w:val="00D616BC"/>
    <w:rsid w:val="00D63A82"/>
    <w:rsid w:val="00D742D4"/>
    <w:rsid w:val="00D85444"/>
    <w:rsid w:val="00DA38FE"/>
    <w:rsid w:val="00DC19CF"/>
    <w:rsid w:val="00DF46EF"/>
    <w:rsid w:val="00E322AC"/>
    <w:rsid w:val="00E43A78"/>
    <w:rsid w:val="00E52BF3"/>
    <w:rsid w:val="00E5476E"/>
    <w:rsid w:val="00E64F6F"/>
    <w:rsid w:val="00E814C4"/>
    <w:rsid w:val="00E83D69"/>
    <w:rsid w:val="00EA452A"/>
    <w:rsid w:val="00ED46EB"/>
    <w:rsid w:val="00ED6E60"/>
    <w:rsid w:val="00EE3D23"/>
    <w:rsid w:val="00EF2D5C"/>
    <w:rsid w:val="00F0380E"/>
    <w:rsid w:val="00F061EE"/>
    <w:rsid w:val="00F12101"/>
    <w:rsid w:val="00F310F8"/>
    <w:rsid w:val="00F34FA8"/>
    <w:rsid w:val="00F52EC1"/>
    <w:rsid w:val="00F7527A"/>
    <w:rsid w:val="00F962D9"/>
    <w:rsid w:val="00FA263F"/>
    <w:rsid w:val="00FC1B4B"/>
    <w:rsid w:val="00FD5D83"/>
    <w:rsid w:val="00FE1977"/>
    <w:rsid w:val="00FE7FE1"/>
    <w:rsid w:val="00FF62E7"/>
    <w:rsid w:val="01AB7C51"/>
    <w:rsid w:val="047C216A"/>
    <w:rsid w:val="04EA5848"/>
    <w:rsid w:val="068432B9"/>
    <w:rsid w:val="075A6070"/>
    <w:rsid w:val="0797664C"/>
    <w:rsid w:val="08405EA0"/>
    <w:rsid w:val="08702C59"/>
    <w:rsid w:val="089C074E"/>
    <w:rsid w:val="09312E82"/>
    <w:rsid w:val="098A46BA"/>
    <w:rsid w:val="0A30187A"/>
    <w:rsid w:val="0AEE2870"/>
    <w:rsid w:val="0B1A7CC0"/>
    <w:rsid w:val="0B3666DF"/>
    <w:rsid w:val="0B827C2B"/>
    <w:rsid w:val="0C5F798A"/>
    <w:rsid w:val="0C96376F"/>
    <w:rsid w:val="0D0932D1"/>
    <w:rsid w:val="0DC42165"/>
    <w:rsid w:val="0DCF2900"/>
    <w:rsid w:val="12A32ED8"/>
    <w:rsid w:val="12C71812"/>
    <w:rsid w:val="13166FBF"/>
    <w:rsid w:val="14085E43"/>
    <w:rsid w:val="14481F64"/>
    <w:rsid w:val="15160CE7"/>
    <w:rsid w:val="151810F2"/>
    <w:rsid w:val="152E4DBF"/>
    <w:rsid w:val="15D341A3"/>
    <w:rsid w:val="160263FE"/>
    <w:rsid w:val="17020BB9"/>
    <w:rsid w:val="17252BC9"/>
    <w:rsid w:val="176B7B16"/>
    <w:rsid w:val="176F0B20"/>
    <w:rsid w:val="187569E2"/>
    <w:rsid w:val="1885230F"/>
    <w:rsid w:val="19ED43C7"/>
    <w:rsid w:val="1BEF1BE4"/>
    <w:rsid w:val="1C30272C"/>
    <w:rsid w:val="1C627E7C"/>
    <w:rsid w:val="1CFC5A46"/>
    <w:rsid w:val="1E323BD3"/>
    <w:rsid w:val="1E406FB1"/>
    <w:rsid w:val="1F136AA8"/>
    <w:rsid w:val="1FE26B1A"/>
    <w:rsid w:val="21A76BBA"/>
    <w:rsid w:val="22B361E6"/>
    <w:rsid w:val="22E3638E"/>
    <w:rsid w:val="23151041"/>
    <w:rsid w:val="24BF4FF4"/>
    <w:rsid w:val="25262079"/>
    <w:rsid w:val="25DD05E7"/>
    <w:rsid w:val="260E261B"/>
    <w:rsid w:val="27070DFD"/>
    <w:rsid w:val="293731F3"/>
    <w:rsid w:val="29AE03CE"/>
    <w:rsid w:val="2AF862F6"/>
    <w:rsid w:val="2B3F5959"/>
    <w:rsid w:val="2C167BD8"/>
    <w:rsid w:val="2CAE035F"/>
    <w:rsid w:val="2DB53F85"/>
    <w:rsid w:val="2E194313"/>
    <w:rsid w:val="2E7408DD"/>
    <w:rsid w:val="2FAF0AAC"/>
    <w:rsid w:val="2FAF6066"/>
    <w:rsid w:val="30041D47"/>
    <w:rsid w:val="30421AC9"/>
    <w:rsid w:val="314C2B19"/>
    <w:rsid w:val="31B731F0"/>
    <w:rsid w:val="326328DC"/>
    <w:rsid w:val="32790C07"/>
    <w:rsid w:val="330F6339"/>
    <w:rsid w:val="35733EDA"/>
    <w:rsid w:val="36FA25D0"/>
    <w:rsid w:val="376B5BE2"/>
    <w:rsid w:val="37C40AC6"/>
    <w:rsid w:val="37D42236"/>
    <w:rsid w:val="39440852"/>
    <w:rsid w:val="39AD1EA3"/>
    <w:rsid w:val="3BE664F1"/>
    <w:rsid w:val="3C003E17"/>
    <w:rsid w:val="3C58425B"/>
    <w:rsid w:val="3E714928"/>
    <w:rsid w:val="3F080FA9"/>
    <w:rsid w:val="3FBC00B5"/>
    <w:rsid w:val="408B2078"/>
    <w:rsid w:val="40AA0BC3"/>
    <w:rsid w:val="423775F6"/>
    <w:rsid w:val="42D4244E"/>
    <w:rsid w:val="453D19F1"/>
    <w:rsid w:val="477F3601"/>
    <w:rsid w:val="485F1A36"/>
    <w:rsid w:val="487A65A3"/>
    <w:rsid w:val="48DC6E69"/>
    <w:rsid w:val="493E1B17"/>
    <w:rsid w:val="4A9F350D"/>
    <w:rsid w:val="4BFD2854"/>
    <w:rsid w:val="4DCD255D"/>
    <w:rsid w:val="4E101D4E"/>
    <w:rsid w:val="4E37780E"/>
    <w:rsid w:val="4EFE032C"/>
    <w:rsid w:val="4FA72D76"/>
    <w:rsid w:val="4FD95B8A"/>
    <w:rsid w:val="500F0C52"/>
    <w:rsid w:val="505F29A8"/>
    <w:rsid w:val="50617835"/>
    <w:rsid w:val="516D35E9"/>
    <w:rsid w:val="52FE4D9E"/>
    <w:rsid w:val="564725B8"/>
    <w:rsid w:val="59936C71"/>
    <w:rsid w:val="599C1310"/>
    <w:rsid w:val="59A04792"/>
    <w:rsid w:val="5AA019FD"/>
    <w:rsid w:val="5AD80B13"/>
    <w:rsid w:val="5B7E4CCE"/>
    <w:rsid w:val="5C7A0434"/>
    <w:rsid w:val="5CAF6152"/>
    <w:rsid w:val="5CF8285E"/>
    <w:rsid w:val="5D3F048D"/>
    <w:rsid w:val="5D557CB0"/>
    <w:rsid w:val="5DFD2DDB"/>
    <w:rsid w:val="5E3A6F2E"/>
    <w:rsid w:val="5F0C4638"/>
    <w:rsid w:val="5F563492"/>
    <w:rsid w:val="5F7F1C98"/>
    <w:rsid w:val="604F6C17"/>
    <w:rsid w:val="60FD239F"/>
    <w:rsid w:val="61BF7DEE"/>
    <w:rsid w:val="623D288E"/>
    <w:rsid w:val="624014F4"/>
    <w:rsid w:val="63CC0FF4"/>
    <w:rsid w:val="644F0FB6"/>
    <w:rsid w:val="65EB1B8E"/>
    <w:rsid w:val="67215FA2"/>
    <w:rsid w:val="67317152"/>
    <w:rsid w:val="68B87ACE"/>
    <w:rsid w:val="695D5F23"/>
    <w:rsid w:val="6B282560"/>
    <w:rsid w:val="6B3E1D84"/>
    <w:rsid w:val="6CA56900"/>
    <w:rsid w:val="6DD65CCB"/>
    <w:rsid w:val="6DFD4681"/>
    <w:rsid w:val="6EC42F5F"/>
    <w:rsid w:val="6EE32E58"/>
    <w:rsid w:val="6FDA5A05"/>
    <w:rsid w:val="6FF45C21"/>
    <w:rsid w:val="71B22763"/>
    <w:rsid w:val="71BD362D"/>
    <w:rsid w:val="73404A3B"/>
    <w:rsid w:val="74C348DC"/>
    <w:rsid w:val="74F308E0"/>
    <w:rsid w:val="75A8636C"/>
    <w:rsid w:val="77A710E4"/>
    <w:rsid w:val="782347DB"/>
    <w:rsid w:val="78F63BE7"/>
    <w:rsid w:val="79920381"/>
    <w:rsid w:val="79CA575B"/>
    <w:rsid w:val="7A015147"/>
    <w:rsid w:val="7A3A61E6"/>
    <w:rsid w:val="7B202049"/>
    <w:rsid w:val="7B9179F8"/>
    <w:rsid w:val="7BAE6AB2"/>
    <w:rsid w:val="7C091ECB"/>
    <w:rsid w:val="7C097E38"/>
    <w:rsid w:val="7D3674FC"/>
    <w:rsid w:val="7D380868"/>
    <w:rsid w:val="7DBB1E60"/>
    <w:rsid w:val="7E997079"/>
    <w:rsid w:val="7ED52CA1"/>
    <w:rsid w:val="7FAA664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3"/>
    <w:next w:val="4"/>
    <w:qFormat/>
    <w:uiPriority w:val="0"/>
    <w:rPr>
      <w:rFonts w:eastAsia="仿宋_GB2312"/>
      <w:sz w:val="32"/>
    </w:rPr>
  </w:style>
  <w:style w:type="paragraph" w:styleId="3">
    <w:name w:val="Title"/>
    <w:basedOn w:val="1"/>
    <w:next w:val="1"/>
    <w:qFormat/>
    <w:uiPriority w:val="0"/>
    <w:pPr>
      <w:spacing w:before="240" w:after="60"/>
      <w:jc w:val="center"/>
      <w:outlineLvl w:val="0"/>
    </w:pPr>
    <w:rPr>
      <w:rFonts w:ascii="Arial" w:hAnsi="Arial" w:cs="Arial"/>
      <w:b/>
      <w:bCs/>
      <w:szCs w:val="32"/>
    </w:rPr>
  </w:style>
  <w:style w:type="paragraph" w:styleId="4">
    <w:name w:val="index 9"/>
    <w:basedOn w:val="1"/>
    <w:next w:val="1"/>
    <w:qFormat/>
    <w:uiPriority w:val="0"/>
    <w:pPr>
      <w:ind w:left="3360"/>
    </w:pPr>
    <w:rPr>
      <w:rFonts w:ascii="Times New Roman" w:hAnsi="Times New Roman"/>
    </w:rPr>
  </w:style>
  <w:style w:type="paragraph" w:styleId="5">
    <w:name w:val="annotation text"/>
    <w:basedOn w:val="1"/>
    <w:link w:val="18"/>
    <w:semiHidden/>
    <w:unhideWhenUsed/>
    <w:qFormat/>
    <w:uiPriority w:val="99"/>
    <w:pPr>
      <w:jc w:val="left"/>
    </w:pPr>
  </w:style>
  <w:style w:type="paragraph" w:styleId="6">
    <w:name w:val="Balloon Text"/>
    <w:basedOn w:val="1"/>
    <w:link w:val="17"/>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ascii="Calibri" w:hAnsi="Calibri" w:eastAsia="宋体" w:cs="Times New Roman"/>
      <w:kern w:val="0"/>
      <w:sz w:val="24"/>
    </w:rPr>
  </w:style>
  <w:style w:type="paragraph" w:styleId="10">
    <w:name w:val="annotation subject"/>
    <w:basedOn w:val="5"/>
    <w:next w:val="5"/>
    <w:link w:val="19"/>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8"/>
    <w:qFormat/>
    <w:uiPriority w:val="99"/>
    <w:rPr>
      <w:sz w:val="18"/>
      <w:szCs w:val="18"/>
    </w:rPr>
  </w:style>
  <w:style w:type="character" w:customStyle="1" w:styleId="15">
    <w:name w:val="页脚 字符"/>
    <w:basedOn w:val="12"/>
    <w:link w:val="7"/>
    <w:qFormat/>
    <w:uiPriority w:val="99"/>
    <w:rPr>
      <w:sz w:val="18"/>
      <w:szCs w:val="18"/>
    </w:rPr>
  </w:style>
  <w:style w:type="paragraph" w:styleId="16">
    <w:name w:val="List Paragraph"/>
    <w:basedOn w:val="1"/>
    <w:qFormat/>
    <w:uiPriority w:val="99"/>
    <w:pPr>
      <w:ind w:firstLine="420" w:firstLineChars="200"/>
    </w:pPr>
  </w:style>
  <w:style w:type="character" w:customStyle="1" w:styleId="17">
    <w:name w:val="批注框文本 字符"/>
    <w:basedOn w:val="12"/>
    <w:link w:val="6"/>
    <w:semiHidden/>
    <w:qFormat/>
    <w:uiPriority w:val="99"/>
    <w:rPr>
      <w:rFonts w:asciiTheme="minorHAnsi" w:hAnsiTheme="minorHAnsi" w:eastAsiaTheme="minorEastAsia" w:cstheme="minorBidi"/>
      <w:kern w:val="2"/>
      <w:sz w:val="18"/>
      <w:szCs w:val="18"/>
    </w:rPr>
  </w:style>
  <w:style w:type="character" w:customStyle="1" w:styleId="18">
    <w:name w:val="批注文字 字符"/>
    <w:basedOn w:val="12"/>
    <w:link w:val="5"/>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10"/>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5780</Words>
  <Characters>6126</Characters>
  <Lines>49</Lines>
  <Paragraphs>14</Paragraphs>
  <TotalTime>2</TotalTime>
  <ScaleCrop>false</ScaleCrop>
  <LinksUpToDate>false</LinksUpToDate>
  <CharactersWithSpaces>6176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2021-03-09T17:52:00Z</dcterms:created>
  <dc:creator>fdsh</dc:creator>
  <cp:lastModifiedBy>00</cp:lastModifiedBy>
  <cp:lastPrinted>2023-06-26T07:59:00Z</cp:lastPrinted>
  <dcterms:modified xsi:type="dcterms:W3CDTF">2023-09-14T06:47:06Z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CF355F90E95745BC9A2DEC9BA568EB9E</vt:lpwstr>
  </property>
</Properties>
</file>