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default" w:ascii="方正小标宋简体" w:hAnsi="方正小标宋简体" w:eastAsia="方正小标宋简体" w:cs="方正小标宋简体"/>
          <w:spacing w:val="0"/>
          <w:sz w:val="44"/>
          <w:szCs w:val="44"/>
          <w:lang w:val="en-US" w:eastAsia="zh-CN"/>
        </w:rPr>
      </w:pPr>
      <w:r>
        <w:rPr>
          <w:rFonts w:hint="eastAsia" w:ascii="仿宋_GB2312" w:hAnsi="仿宋_GB2312" w:eastAsia="仿宋_GB2312" w:cs="仿宋_GB2312"/>
          <w:spacing w:val="0"/>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default" w:ascii="方正小标宋简体" w:hAnsi="方正小标宋简体" w:eastAsia="方正小标宋简体" w:cs="方正小标宋简体"/>
          <w:spacing w:val="0"/>
          <w:sz w:val="44"/>
          <w:szCs w:val="44"/>
          <w:lang w:val="en-US" w:eastAsia="zh-CN"/>
        </w:rPr>
      </w:pPr>
      <w:r>
        <w:rPr>
          <w:rFonts w:hint="eastAsia" w:ascii="方正小标宋简体" w:hAnsi="方正小标宋简体" w:eastAsia="方正小标宋简体" w:cs="方正小标宋简体"/>
          <w:spacing w:val="0"/>
          <w:sz w:val="44"/>
          <w:szCs w:val="44"/>
          <w:lang w:val="en-US" w:eastAsia="zh-CN"/>
        </w:rPr>
        <w:t>兰州新区应急管理局</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spacing w:val="0"/>
          <w:sz w:val="44"/>
          <w:szCs w:val="44"/>
          <w:lang w:val="en-US" w:eastAsia="zh-CN"/>
        </w:rPr>
      </w:pPr>
      <w:r>
        <w:rPr>
          <w:rFonts w:hint="eastAsia" w:ascii="方正小标宋简体" w:hAnsi="方正小标宋简体" w:eastAsia="方正小标宋简体" w:cs="方正小标宋简体"/>
          <w:spacing w:val="0"/>
          <w:sz w:val="44"/>
          <w:szCs w:val="44"/>
          <w:lang w:val="en-US" w:eastAsia="zh-CN"/>
        </w:rPr>
        <w:t>2022年度省级转移支付绩效自评报告</w:t>
      </w: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hAnsi="方正小标宋简体" w:eastAsia="方正小标宋简体" w:cs="方正小标宋简体"/>
          <w:spacing w:val="0"/>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一、绩效目标分解下达情况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楷体_GB2312" w:hAnsi="楷体_GB2312" w:eastAsia="楷体_GB2312" w:cs="楷体_GB2312"/>
          <w:snapToGrid w:val="0"/>
          <w:color w:val="000000"/>
          <w:spacing w:val="0"/>
          <w:kern w:val="0"/>
          <w:sz w:val="32"/>
          <w:szCs w:val="32"/>
        </w:rPr>
      </w:pPr>
      <w:r>
        <w:rPr>
          <w:rFonts w:hint="eastAsia" w:ascii="楷体_GB2312" w:hAnsi="楷体_GB2312" w:eastAsia="楷体_GB2312" w:cs="楷体_GB2312"/>
          <w:snapToGrid w:val="0"/>
          <w:color w:val="000000"/>
          <w:spacing w:val="0"/>
          <w:kern w:val="0"/>
          <w:sz w:val="32"/>
          <w:szCs w:val="32"/>
        </w:rPr>
        <w:t>（一）下达</w:t>
      </w:r>
      <w:r>
        <w:rPr>
          <w:rFonts w:hint="eastAsia" w:ascii="楷体_GB2312" w:hAnsi="楷体_GB2312" w:eastAsia="楷体_GB2312" w:cs="楷体_GB2312"/>
          <w:snapToGrid w:val="0"/>
          <w:color w:val="000000"/>
          <w:spacing w:val="0"/>
          <w:kern w:val="0"/>
          <w:sz w:val="32"/>
          <w:szCs w:val="32"/>
          <w:lang w:eastAsia="zh-CN"/>
        </w:rPr>
        <w:t>省级</w:t>
      </w:r>
      <w:r>
        <w:rPr>
          <w:rFonts w:hint="eastAsia" w:ascii="楷体_GB2312" w:hAnsi="楷体_GB2312" w:eastAsia="楷体_GB2312" w:cs="楷体_GB2312"/>
          <w:snapToGrid w:val="0"/>
          <w:color w:val="000000"/>
          <w:spacing w:val="0"/>
          <w:kern w:val="0"/>
          <w:sz w:val="32"/>
          <w:szCs w:val="32"/>
        </w:rPr>
        <w:t>转移支付预算和绩效目标情况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仿宋_GB2312" w:hAnsi="仿宋_GB2312" w:eastAsia="仿宋_GB2312" w:cs="仿宋_GB2312"/>
          <w:b w:val="0"/>
          <w:bCs/>
          <w:snapToGrid w:val="0"/>
          <w:color w:val="000000"/>
          <w:spacing w:val="0"/>
          <w:kern w:val="0"/>
          <w:sz w:val="32"/>
          <w:szCs w:val="32"/>
          <w:lang w:val="en-US" w:eastAsia="zh-CN"/>
        </w:rPr>
      </w:pPr>
      <w:r>
        <w:rPr>
          <w:rFonts w:hint="eastAsia" w:ascii="仿宋_GB2312" w:hAnsi="仿宋_GB2312" w:eastAsia="仿宋_GB2312" w:cs="仿宋_GB2312"/>
          <w:b w:val="0"/>
          <w:bCs/>
          <w:snapToGrid w:val="0"/>
          <w:color w:val="000000"/>
          <w:spacing w:val="0"/>
          <w:kern w:val="0"/>
          <w:sz w:val="32"/>
          <w:szCs w:val="32"/>
          <w:lang w:val="en-US" w:eastAsia="zh-CN"/>
        </w:rPr>
        <w:t>2022年安全生产及应急专项对下转移资金由省应急管理厅向新区下达了国家、省级综合减灾示范社区奖补、全国减灾示范补助13万元、化工园区安全咨询专家组补助资金</w:t>
      </w:r>
      <w:bookmarkStart w:id="0" w:name="_GoBack"/>
      <w:bookmarkEnd w:id="0"/>
      <w:r>
        <w:rPr>
          <w:rFonts w:hint="eastAsia" w:ascii="仿宋_GB2312" w:hAnsi="仿宋_GB2312" w:eastAsia="仿宋_GB2312" w:cs="仿宋_GB2312"/>
          <w:b w:val="0"/>
          <w:bCs/>
          <w:snapToGrid w:val="0"/>
          <w:color w:val="000000"/>
          <w:spacing w:val="0"/>
          <w:kern w:val="0"/>
          <w:sz w:val="32"/>
          <w:szCs w:val="32"/>
          <w:lang w:val="en-US" w:eastAsia="zh-CN"/>
        </w:rPr>
        <w:t>38.7万元、应急救援装备配备补助资金138.7万元，合计151.7万元。我局结合新区实际，制定了绩效目标表，设定了年度总体目标和一、二、三级指标，明确了三级具体指标值。通过安全咨询专家组的指导服务和配备必要的危险化学品应急救援装备，不断提高新区化工园区企业本质安全水平和应急救援能力，减少人员伤亡及财产损失，保障新区化工园区安全生产工作持续稳定向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pPr>
      <w:r>
        <w:rPr>
          <w:rFonts w:hint="eastAsia" w:ascii="仿宋_GB2312" w:hAnsi="仿宋_GB2312" w:eastAsia="仿宋_GB2312" w:cs="仿宋_GB2312"/>
          <w:sz w:val="32"/>
          <w:szCs w:val="32"/>
          <w:lang w:val="en-US" w:eastAsia="zh-CN"/>
        </w:rPr>
        <w:t>为全面深化新型应急管理体系建设，兰州新区通过“强基础、补短板、促提升”，全面深化新型应急管理体系建设，不断提高基层防灾减灾救灾能力。兰州新区减灾委员会办公室牵头，组织新区相关部门，各园区积极开展示范社区创建活动。因兰州新区起步晚，基础弱，配套少等原因，省减灾委员会办公室向新区转移支付了创建综合减灾示范社区补助资金。</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楷体_GB2312" w:hAnsi="楷体_GB2312" w:eastAsia="楷体_GB2312" w:cs="楷体_GB2312"/>
          <w:snapToGrid w:val="0"/>
          <w:color w:val="000000"/>
          <w:spacing w:val="0"/>
          <w:kern w:val="0"/>
          <w:sz w:val="32"/>
          <w:szCs w:val="32"/>
        </w:rPr>
      </w:pPr>
      <w:r>
        <w:rPr>
          <w:rFonts w:hint="eastAsia" w:ascii="楷体_GB2312" w:hAnsi="楷体_GB2312" w:eastAsia="楷体_GB2312" w:cs="楷体_GB2312"/>
          <w:snapToGrid w:val="0"/>
          <w:color w:val="000000"/>
          <w:spacing w:val="0"/>
          <w:kern w:val="0"/>
          <w:sz w:val="32"/>
          <w:szCs w:val="32"/>
        </w:rPr>
        <w:t>资金安排、分解下达预算和绩效目标情况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napToGrid w:val="0"/>
          <w:color w:val="000000"/>
          <w:spacing w:val="0"/>
          <w:kern w:val="0"/>
          <w:sz w:val="32"/>
          <w:szCs w:val="32"/>
          <w:lang w:val="en-US" w:eastAsia="zh-CN"/>
        </w:rPr>
      </w:pPr>
      <w:r>
        <w:rPr>
          <w:rFonts w:hint="eastAsia" w:ascii="仿宋_GB2312" w:hAnsi="仿宋_GB2312" w:eastAsia="仿宋_GB2312" w:cs="仿宋_GB2312"/>
          <w:b w:val="0"/>
          <w:bCs/>
          <w:snapToGrid w:val="0"/>
          <w:color w:val="000000"/>
          <w:spacing w:val="0"/>
          <w:kern w:val="0"/>
          <w:sz w:val="32"/>
          <w:szCs w:val="32"/>
          <w:lang w:val="en-US" w:eastAsia="zh-CN"/>
        </w:rPr>
        <w:t>安全咨询专家组补助资金38.7万元，由我局业务科室危险化学品安全监督管理科具体支付使用，邀请专家组适时开展指导服务工作；应急救援装备配备补助资金100万元由秦川园区管委会具体使用，用于配备化工园区“政企共建”应急救援队伍急需的应急救援装备。</w:t>
      </w:r>
      <w:r>
        <w:rPr>
          <w:rFonts w:hint="eastAsia" w:ascii="Times New Roman" w:hAnsi="Times New Roman" w:eastAsia="仿宋_GB2312" w:cs="Times New Roman"/>
          <w:sz w:val="32"/>
          <w:szCs w:val="32"/>
          <w:lang w:val="en-US" w:eastAsia="zh-CN"/>
        </w:rPr>
        <w:t>2022年度创建综合减灾示范社区奖励补助资金13万元，下拨中川园区用于综合减灾示范社区创建工作。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spacing w:val="0"/>
          <w:lang w:val="en-US" w:eastAsia="zh-CN"/>
        </w:rPr>
      </w:pPr>
      <w:r>
        <w:rPr>
          <w:rFonts w:ascii="黑体" w:hAnsi="黑体" w:eastAsia="黑体" w:cs="黑体"/>
          <w:spacing w:val="0"/>
          <w:sz w:val="32"/>
          <w:szCs w:val="32"/>
        </w:rPr>
        <w:t>二、绩效目标完成情况分析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楷体_GB2312" w:hAnsi="楷体_GB2312" w:eastAsia="楷体_GB2312" w:cs="楷体_GB2312"/>
          <w:snapToGrid w:val="0"/>
          <w:color w:val="000000"/>
          <w:spacing w:val="0"/>
          <w:kern w:val="0"/>
          <w:sz w:val="32"/>
          <w:szCs w:val="32"/>
        </w:rPr>
      </w:pPr>
      <w:r>
        <w:rPr>
          <w:rFonts w:hint="eastAsia" w:ascii="楷体_GB2312" w:hAnsi="楷体_GB2312" w:eastAsia="楷体_GB2312" w:cs="楷体_GB2312"/>
          <w:snapToGrid w:val="0"/>
          <w:color w:val="000000"/>
          <w:spacing w:val="0"/>
          <w:kern w:val="0"/>
          <w:sz w:val="32"/>
          <w:szCs w:val="32"/>
        </w:rPr>
        <w:t>（一）资金投入情况分析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firstLineChars="200"/>
        <w:jc w:val="both"/>
        <w:textAlignment w:val="baseline"/>
        <w:rPr>
          <w:rFonts w:hint="eastAsia" w:ascii="仿宋_GB2312" w:hAnsi="仿宋_GB2312" w:eastAsia="仿宋_GB2312" w:cs="仿宋_GB2312"/>
          <w:snapToGrid w:val="0"/>
          <w:color w:val="000000"/>
          <w:spacing w:val="0"/>
          <w:kern w:val="0"/>
          <w:sz w:val="32"/>
          <w:szCs w:val="32"/>
        </w:rPr>
      </w:pPr>
      <w:r>
        <w:rPr>
          <w:rFonts w:hint="eastAsia" w:ascii="仿宋_GB2312" w:hAnsi="仿宋_GB2312" w:eastAsia="仿宋_GB2312" w:cs="仿宋_GB2312"/>
          <w:b/>
          <w:bCs/>
          <w:snapToGrid w:val="0"/>
          <w:color w:val="000000"/>
          <w:spacing w:val="0"/>
          <w:kern w:val="0"/>
          <w:sz w:val="32"/>
          <w:szCs w:val="32"/>
        </w:rPr>
        <w:t>1.项目资金到位情况分析。</w:t>
      </w:r>
      <w:r>
        <w:rPr>
          <w:rFonts w:hint="eastAsia" w:ascii="仿宋_GB2312" w:hAnsi="仿宋_GB2312" w:eastAsia="仿宋_GB2312" w:cs="仿宋_GB2312"/>
          <w:b w:val="0"/>
          <w:bCs/>
          <w:snapToGrid w:val="0"/>
          <w:color w:val="000000"/>
          <w:spacing w:val="0"/>
          <w:kern w:val="0"/>
          <w:sz w:val="32"/>
          <w:szCs w:val="32"/>
          <w:lang w:val="en-US" w:eastAsia="zh-CN"/>
        </w:rPr>
        <w:t>2022年安全生产及应急专项对下转移</w:t>
      </w:r>
      <w:r>
        <w:rPr>
          <w:rFonts w:hint="eastAsia" w:ascii="仿宋_GB2312" w:hAnsi="仿宋_GB2312" w:eastAsia="仿宋_GB2312" w:cs="仿宋_GB2312"/>
          <w:spacing w:val="0"/>
          <w:sz w:val="32"/>
          <w:szCs w:val="32"/>
          <w:lang w:val="en-US" w:eastAsia="zh-CN"/>
        </w:rPr>
        <w:t>资金已于2022年4月下达新区财政，金额为151.7万元，其中，</w:t>
      </w:r>
      <w:r>
        <w:rPr>
          <w:rFonts w:hint="eastAsia" w:ascii="仿宋_GB2312" w:hAnsi="仿宋_GB2312" w:eastAsia="仿宋_GB2312" w:cs="仿宋_GB2312"/>
          <w:b w:val="0"/>
          <w:bCs/>
          <w:snapToGrid w:val="0"/>
          <w:color w:val="000000"/>
          <w:spacing w:val="0"/>
          <w:kern w:val="0"/>
          <w:sz w:val="32"/>
          <w:szCs w:val="32"/>
          <w:lang w:val="en-US" w:eastAsia="zh-CN"/>
        </w:rPr>
        <w:t>安全咨询专家组补助资金38.7万元、应急救援装备配备补助资金100万元、国家、省级综合减灾示范社区奖补、全国减灾示范补助13万元。</w:t>
      </w:r>
    </w:p>
    <w:p>
      <w:pPr>
        <w:keepNext w:val="0"/>
        <w:keepLines w:val="0"/>
        <w:pageBreakBefore w:val="0"/>
        <w:widowControl w:val="0"/>
        <w:kinsoku w:val="0"/>
        <w:wordWrap/>
        <w:overflowPunct/>
        <w:topLinePunct w:val="0"/>
        <w:autoSpaceDE w:val="0"/>
        <w:autoSpaceDN w:val="0"/>
        <w:bidi w:val="0"/>
        <w:adjustRightInd w:val="0"/>
        <w:snapToGrid w:val="0"/>
        <w:spacing w:line="560" w:lineRule="exact"/>
        <w:ind w:left="0" w:leftChars="0" w:firstLine="643" w:firstLineChars="200"/>
        <w:jc w:val="both"/>
        <w:textAlignment w:val="baseline"/>
        <w:rPr>
          <w:rFonts w:hint="default" w:ascii="仿宋_GB2312" w:hAnsi="仿宋_GB2312" w:eastAsia="仿宋_GB2312" w:cs="仿宋_GB2312"/>
          <w:snapToGrid w:val="0"/>
          <w:color w:val="000000"/>
          <w:spacing w:val="0"/>
          <w:kern w:val="0"/>
          <w:sz w:val="32"/>
          <w:szCs w:val="32"/>
          <w:lang w:val="en-US"/>
        </w:rPr>
      </w:pPr>
      <w:r>
        <w:rPr>
          <w:rFonts w:hint="eastAsia" w:ascii="仿宋_GB2312" w:hAnsi="仿宋_GB2312" w:eastAsia="仿宋_GB2312" w:cs="仿宋_GB2312"/>
          <w:b/>
          <w:bCs/>
          <w:snapToGrid w:val="0"/>
          <w:color w:val="000000"/>
          <w:spacing w:val="0"/>
          <w:kern w:val="0"/>
          <w:sz w:val="32"/>
          <w:szCs w:val="32"/>
        </w:rPr>
        <w:t>2.项目资金执行情况分析。</w:t>
      </w:r>
      <w:r>
        <w:rPr>
          <w:rFonts w:hint="eastAsia" w:ascii="仿宋_GB2312" w:hAnsi="仿宋_GB2312" w:eastAsia="仿宋_GB2312" w:cs="仿宋_GB2312"/>
          <w:snapToGrid w:val="0"/>
          <w:color w:val="000000"/>
          <w:spacing w:val="0"/>
          <w:kern w:val="0"/>
          <w:sz w:val="32"/>
          <w:szCs w:val="32"/>
        </w:rPr>
        <w:t>2022年度，</w:t>
      </w:r>
      <w:r>
        <w:rPr>
          <w:rFonts w:hint="eastAsia" w:ascii="仿宋_GB2312" w:hAnsi="仿宋_GB2312" w:eastAsia="仿宋_GB2312" w:cs="仿宋_GB2312"/>
          <w:b w:val="0"/>
          <w:bCs/>
          <w:snapToGrid w:val="0"/>
          <w:color w:val="000000"/>
          <w:spacing w:val="0"/>
          <w:kern w:val="0"/>
          <w:sz w:val="32"/>
          <w:szCs w:val="32"/>
          <w:lang w:val="en-US" w:eastAsia="zh-CN"/>
        </w:rPr>
        <w:t>2022年安全生产及应急专项对下转移资金151.7</w:t>
      </w:r>
      <w:r>
        <w:rPr>
          <w:rFonts w:hint="eastAsia" w:ascii="仿宋_GB2312" w:hAnsi="仿宋_GB2312" w:eastAsia="仿宋_GB2312" w:cs="仿宋_GB2312"/>
          <w:snapToGrid w:val="0"/>
          <w:color w:val="000000"/>
          <w:spacing w:val="0"/>
          <w:kern w:val="0"/>
          <w:sz w:val="32"/>
          <w:szCs w:val="32"/>
        </w:rPr>
        <w:t>万元，全年执行支出</w:t>
      </w:r>
      <w:r>
        <w:rPr>
          <w:rFonts w:hint="eastAsia" w:ascii="仿宋_GB2312" w:hAnsi="仿宋_GB2312" w:eastAsia="仿宋_GB2312" w:cs="仿宋_GB2312"/>
          <w:snapToGrid w:val="0"/>
          <w:color w:val="000000"/>
          <w:spacing w:val="0"/>
          <w:kern w:val="0"/>
          <w:sz w:val="32"/>
          <w:szCs w:val="32"/>
          <w:lang w:val="en-US" w:eastAsia="zh-CN"/>
        </w:rPr>
        <w:t>128.71</w:t>
      </w:r>
      <w:r>
        <w:rPr>
          <w:rFonts w:hint="eastAsia" w:ascii="仿宋_GB2312" w:hAnsi="仿宋_GB2312" w:eastAsia="仿宋_GB2312" w:cs="仿宋_GB2312"/>
          <w:snapToGrid w:val="0"/>
          <w:color w:val="000000"/>
          <w:spacing w:val="0"/>
          <w:kern w:val="0"/>
          <w:sz w:val="32"/>
          <w:szCs w:val="32"/>
        </w:rPr>
        <w:t>万元</w:t>
      </w:r>
      <w:r>
        <w:rPr>
          <w:rFonts w:hint="eastAsia" w:ascii="仿宋_GB2312" w:hAnsi="仿宋_GB2312" w:eastAsia="仿宋_GB2312" w:cs="仿宋_GB2312"/>
          <w:snapToGrid w:val="0"/>
          <w:color w:val="000000"/>
          <w:spacing w:val="0"/>
          <w:kern w:val="0"/>
          <w:sz w:val="32"/>
          <w:szCs w:val="32"/>
          <w:lang w:eastAsia="zh-CN"/>
        </w:rPr>
        <w:t>。</w:t>
      </w:r>
      <w:r>
        <w:rPr>
          <w:rFonts w:hint="eastAsia" w:ascii="仿宋_GB2312" w:hAnsi="仿宋_GB2312" w:eastAsia="仿宋_GB2312" w:cs="仿宋_GB2312"/>
          <w:b w:val="0"/>
          <w:bCs/>
          <w:snapToGrid w:val="0"/>
          <w:color w:val="000000"/>
          <w:spacing w:val="0"/>
          <w:kern w:val="0"/>
          <w:sz w:val="32"/>
          <w:szCs w:val="32"/>
          <w:lang w:val="en-US" w:eastAsia="zh-CN"/>
        </w:rPr>
        <w:t>项目执行率为执行率84.85%。</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3" w:firstLineChars="200"/>
        <w:jc w:val="both"/>
        <w:textAlignment w:val="baseline"/>
        <w:rPr>
          <w:rFonts w:hint="default" w:ascii="仿宋_GB2312" w:hAnsi="仿宋_GB2312" w:eastAsia="仿宋_GB2312" w:cs="仿宋_GB2312"/>
          <w:snapToGrid w:val="0"/>
          <w:color w:val="000000"/>
          <w:spacing w:val="0"/>
          <w:kern w:val="0"/>
          <w:sz w:val="32"/>
          <w:szCs w:val="32"/>
          <w:lang w:val="en-US" w:eastAsia="zh-CN"/>
        </w:rPr>
      </w:pPr>
      <w:r>
        <w:rPr>
          <w:rFonts w:hint="eastAsia" w:ascii="仿宋_GB2312" w:hAnsi="仿宋_GB2312" w:eastAsia="仿宋_GB2312" w:cs="仿宋_GB2312"/>
          <w:b/>
          <w:bCs/>
          <w:snapToGrid w:val="0"/>
          <w:color w:val="000000"/>
          <w:spacing w:val="0"/>
          <w:kern w:val="0"/>
          <w:sz w:val="32"/>
          <w:szCs w:val="32"/>
        </w:rPr>
        <w:t>3.项目资金管理情况分析</w:t>
      </w:r>
      <w:r>
        <w:rPr>
          <w:rFonts w:hint="eastAsia" w:ascii="仿宋_GB2312" w:hAnsi="仿宋_GB2312" w:eastAsia="仿宋_GB2312" w:cs="仿宋_GB2312"/>
          <w:b/>
          <w:bCs/>
          <w:snapToGrid w:val="0"/>
          <w:color w:val="000000"/>
          <w:spacing w:val="0"/>
          <w:kern w:val="0"/>
          <w:sz w:val="32"/>
          <w:szCs w:val="32"/>
          <w:lang w:eastAsia="zh-CN"/>
        </w:rPr>
        <w:t>。</w:t>
      </w:r>
      <w:r>
        <w:rPr>
          <w:rFonts w:hint="eastAsia" w:ascii="仿宋_GB2312" w:hAnsi="仿宋_GB2312" w:eastAsia="仿宋_GB2312" w:cs="仿宋_GB2312"/>
          <w:b w:val="0"/>
          <w:bCs w:val="0"/>
          <w:snapToGrid w:val="0"/>
          <w:color w:val="000000"/>
          <w:spacing w:val="0"/>
          <w:kern w:val="0"/>
          <w:sz w:val="32"/>
          <w:szCs w:val="32"/>
          <w:lang w:eastAsia="zh-CN"/>
        </w:rPr>
        <w:t>我局严格资金管理，专款专用，具体用于专家指导服务企业、应急救援装备配备综合减灾示范社区创建。</w:t>
      </w:r>
      <w:r>
        <w:rPr>
          <w:rFonts w:hint="eastAsia" w:ascii="仿宋_GB2312" w:hAnsi="仿宋_GB2312" w:eastAsia="仿宋_GB2312" w:cs="仿宋_GB2312"/>
          <w:snapToGrid w:val="0"/>
          <w:color w:val="000000"/>
          <w:spacing w:val="0"/>
          <w:kern w:val="0"/>
          <w:sz w:val="32"/>
          <w:szCs w:val="32"/>
          <w:lang w:eastAsia="zh-CN"/>
        </w:rPr>
        <w:t>该项目资金已执行支付</w:t>
      </w:r>
      <w:r>
        <w:rPr>
          <w:rFonts w:hint="eastAsia" w:ascii="仿宋_GB2312" w:hAnsi="仿宋_GB2312" w:eastAsia="仿宋_GB2312" w:cs="仿宋_GB2312"/>
          <w:snapToGrid w:val="0"/>
          <w:color w:val="000000"/>
          <w:spacing w:val="0"/>
          <w:kern w:val="0"/>
          <w:sz w:val="32"/>
          <w:szCs w:val="32"/>
          <w:lang w:val="en-US" w:eastAsia="zh-CN"/>
        </w:rPr>
        <w:t>128.71万元，结余22.99万元。结余资金纳入2023年预算，用于支付邀请安全咨询专家组指导服务劳务费。</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楷体_GB2312" w:hAnsi="楷体_GB2312" w:eastAsia="楷体_GB2312" w:cs="楷体_GB2312"/>
          <w:snapToGrid w:val="0"/>
          <w:color w:val="000000"/>
          <w:spacing w:val="0"/>
          <w:kern w:val="0"/>
          <w:sz w:val="32"/>
          <w:szCs w:val="32"/>
        </w:rPr>
      </w:pPr>
      <w:r>
        <w:rPr>
          <w:rFonts w:hint="eastAsia" w:ascii="楷体_GB2312" w:hAnsi="楷体_GB2312" w:eastAsia="楷体_GB2312" w:cs="楷体_GB2312"/>
          <w:snapToGrid w:val="0"/>
          <w:color w:val="000000"/>
          <w:spacing w:val="0"/>
          <w:kern w:val="0"/>
          <w:sz w:val="32"/>
          <w:szCs w:val="32"/>
        </w:rPr>
        <w:t>（二）总体绩效目标</w:t>
      </w:r>
      <w:r>
        <w:rPr>
          <w:rFonts w:hint="eastAsia" w:ascii="楷体_GB2312" w:hAnsi="楷体_GB2312" w:eastAsia="楷体_GB2312" w:cs="楷体_GB2312"/>
          <w:snapToGrid w:val="0"/>
          <w:color w:val="000000"/>
          <w:spacing w:val="0"/>
          <w:kern w:val="0"/>
          <w:sz w:val="32"/>
          <w:szCs w:val="32"/>
          <w:lang w:eastAsia="zh-CN"/>
        </w:rPr>
        <w:t>完成情况</w:t>
      </w:r>
      <w:r>
        <w:rPr>
          <w:rFonts w:hint="eastAsia" w:ascii="楷体_GB2312" w:hAnsi="楷体_GB2312" w:eastAsia="楷体_GB2312" w:cs="楷体_GB2312"/>
          <w:snapToGrid w:val="0"/>
          <w:color w:val="000000"/>
          <w:spacing w:val="0"/>
          <w:kern w:val="0"/>
          <w:sz w:val="32"/>
          <w:szCs w:val="32"/>
        </w:rPr>
        <w:t>分析</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pBdr>
        <w:tabs>
          <w:tab w:val="center" w:pos="4153"/>
          <w:tab w:val="right" w:pos="8306"/>
        </w:tabs>
        <w:kinsoku/>
        <w:wordWrap/>
        <w:overflowPunct/>
        <w:topLinePunct w:val="0"/>
        <w:autoSpaceDE/>
        <w:autoSpaceDN/>
        <w:bidi w:val="0"/>
        <w:adjustRightInd/>
        <w:snapToGrid w:val="0"/>
        <w:spacing w:line="560" w:lineRule="exact"/>
        <w:ind w:firstLine="640" w:firstLineChars="200"/>
        <w:jc w:val="both"/>
        <w:textAlignment w:val="auto"/>
        <w:outlineLvl w:val="9"/>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2022年，省应急厅派驻新区化工园区的安全咨询专家为新区危险化学品企业和安全监管人员提供了大量技术指导和专业化服务，充分发挥了“指导、排查、服务”的作用，解决了基层应急部门和化工园区专业人员少、能力不足问题，提升了企业本质安全水平和化工园区安全风险防控能力，有力推进新区化工园区高质量发展。2022年度，共开展专家指导服务</w:t>
      </w:r>
      <w:r>
        <w:rPr>
          <w:rFonts w:hint="default" w:ascii="Times New Roman" w:hAnsi="Times New Roman" w:eastAsia="仿宋_GB2312" w:cs="Times New Roman"/>
          <w:color w:val="000000" w:themeColor="text1"/>
          <w:spacing w:val="0"/>
          <w:sz w:val="32"/>
          <w:szCs w:val="32"/>
          <w:lang w:val="en" w:eastAsia="zh-CN"/>
          <w14:textFill>
            <w14:solidFill>
              <w14:schemeClr w14:val="tx1"/>
            </w14:solidFill>
          </w14:textFill>
        </w:rPr>
        <w:t>100</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次，指导服务企业</w:t>
      </w:r>
      <w:r>
        <w:rPr>
          <w:rFonts w:hint="default" w:ascii="Times New Roman" w:hAnsi="Times New Roman" w:eastAsia="仿宋_GB2312" w:cs="Times New Roman"/>
          <w:color w:val="000000" w:themeColor="text1"/>
          <w:spacing w:val="0"/>
          <w:sz w:val="32"/>
          <w:szCs w:val="32"/>
          <w:lang w:val="en" w:eastAsia="zh-CN"/>
          <w14:textFill>
            <w14:solidFill>
              <w14:schemeClr w14:val="tx1"/>
            </w14:solidFill>
          </w14:textFill>
        </w:rPr>
        <w:t>207</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（次），提出意见和问题</w:t>
      </w:r>
      <w:r>
        <w:rPr>
          <w:rFonts w:hint="default" w:ascii="Times New Roman" w:hAnsi="Times New Roman" w:eastAsia="仿宋_GB2312" w:cs="Times New Roman"/>
          <w:color w:val="000000" w:themeColor="text1"/>
          <w:spacing w:val="0"/>
          <w:sz w:val="32"/>
          <w:szCs w:val="32"/>
          <w:lang w:val="en" w:eastAsia="zh-CN"/>
          <w14:textFill>
            <w14:solidFill>
              <w14:schemeClr w14:val="tx1"/>
            </w14:solidFill>
          </w14:textFill>
        </w:rPr>
        <w:t>1590</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余项。</w:t>
      </w:r>
      <w:r>
        <w:rPr>
          <w:rFonts w:hint="eastAsia" w:ascii="Times New Roman" w:hAnsi="Times New Roman" w:eastAsia="仿宋_GB2312" w:cs="Times New Roman"/>
          <w:color w:val="000000"/>
          <w:kern w:val="2"/>
          <w:sz w:val="32"/>
          <w:szCs w:val="32"/>
          <w:lang w:val="en-US" w:eastAsia="zh-CN" w:bidi="ar-SA"/>
        </w:rPr>
        <w:t>2022年，兰州新区减灾委员会办公室牵头组织中川、西岔、秦川园区管委会积极开展综合减灾示范社区创建活动。经社区自评、园区核实，新区复审，从创建社区中择优推中川园区彩虹城社区、方家坡社区、西岔园区文曲社区共3个社区申报2022年全国综合减灾示范社区；择优推中川园区新舟社区、新安社区共2个社区申报2022年全省综合减灾示范社区。省减灾委办公室派考核组通过实地考核，综合考评，兰州新区中川园区彩虹城社区和新安社区获得2022年全省综合减灾示范社区。</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应急救援装备已制定采购计划，</w:t>
      </w:r>
      <w:r>
        <w:rPr>
          <w:rFonts w:hint="eastAsia" w:ascii="仿宋_GB2312" w:hAnsi="仿宋_GB2312" w:eastAsia="仿宋_GB2312" w:cs="仿宋_GB2312"/>
          <w:b w:val="0"/>
          <w:bCs/>
          <w:snapToGrid w:val="0"/>
          <w:color w:val="000000"/>
          <w:spacing w:val="0"/>
          <w:kern w:val="0"/>
          <w:sz w:val="32"/>
          <w:szCs w:val="32"/>
          <w:lang w:val="en-US" w:eastAsia="zh-CN"/>
        </w:rPr>
        <w:t>资金暂未支出，计划今年完成具体设备采购，提高“政企共建”应急救援队伍战斗力和应急救援能力，保障化工园区应急救援工作顺利开展。</w:t>
      </w:r>
    </w:p>
    <w:p>
      <w:pPr>
        <w:pStyle w:val="2"/>
        <w:pageBreakBefore w:val="0"/>
        <w:wordWrap/>
        <w:overflowPunct/>
        <w:topLinePunct w:val="0"/>
        <w:bidi w:val="0"/>
        <w:spacing w:before="0" w:beforeLines="0" w:after="0" w:afterLines="0" w:line="560" w:lineRule="exact"/>
        <w:ind w:left="0" w:leftChars="0"/>
        <w:rPr>
          <w:rFonts w:hint="eastAsia" w:ascii="楷体_GB2312" w:hAnsi="楷体_GB2312" w:eastAsia="楷体_GB2312" w:cs="楷体_GB2312"/>
          <w:b w:val="0"/>
          <w:bCs/>
          <w:spacing w:val="0"/>
          <w:lang w:val="en-US" w:eastAsia="zh-CN"/>
        </w:rPr>
      </w:pPr>
      <w:r>
        <w:rPr>
          <w:rFonts w:hint="eastAsia" w:ascii="楷体_GB2312" w:hAnsi="楷体_GB2312" w:eastAsia="楷体_GB2312" w:cs="楷体_GB2312"/>
          <w:b w:val="0"/>
          <w:bCs/>
          <w:spacing w:val="0"/>
          <w:sz w:val="32"/>
          <w:szCs w:val="32"/>
        </w:rPr>
        <w:t>（三）绩效目标完成情况分析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pacing w:val="0"/>
          <w:sz w:val="32"/>
          <w:szCs w:val="32"/>
          <w:lang w:val="en-US" w:eastAsia="zh-CN"/>
        </w:rPr>
        <w:t xml:space="preserve">因化工园区应急救援装备配备补助资金（100万元）尚未执行支付，年初制定的绩效目标和具体指标无法分析完成情况，待应急救援装备采购到位，验收使用后，进行绩效目标分析。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1.产出指标完成情况分析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napToGrid w:val="0"/>
          <w:color w:val="000000"/>
          <w:spacing w:val="0"/>
          <w:kern w:val="0"/>
          <w:sz w:val="32"/>
          <w:szCs w:val="32"/>
        </w:rPr>
      </w:pPr>
      <w:r>
        <w:rPr>
          <w:rFonts w:hint="eastAsia" w:ascii="仿宋_GB2312" w:hAnsi="仿宋_GB2312" w:eastAsia="仿宋_GB2312" w:cs="仿宋_GB2312"/>
          <w:snapToGrid w:val="0"/>
          <w:color w:val="000000"/>
          <w:spacing w:val="0"/>
          <w:kern w:val="0"/>
          <w:sz w:val="32"/>
          <w:szCs w:val="32"/>
        </w:rPr>
        <w:t>产出指标包括数量指标、质量指标、时效指标和成本指标。年初目标设定分值为</w:t>
      </w:r>
      <w:r>
        <w:rPr>
          <w:rFonts w:hint="eastAsia" w:ascii="仿宋_GB2312" w:hAnsi="仿宋_GB2312" w:eastAsia="仿宋_GB2312" w:cs="仿宋_GB2312"/>
          <w:snapToGrid w:val="0"/>
          <w:color w:val="000000"/>
          <w:spacing w:val="0"/>
          <w:kern w:val="0"/>
          <w:sz w:val="32"/>
          <w:szCs w:val="32"/>
          <w:lang w:val="en-US" w:eastAsia="zh-CN"/>
        </w:rPr>
        <w:t>47</w:t>
      </w:r>
      <w:r>
        <w:rPr>
          <w:rFonts w:hint="eastAsia" w:ascii="仿宋_GB2312" w:hAnsi="仿宋_GB2312" w:eastAsia="仿宋_GB2312" w:cs="仿宋_GB2312"/>
          <w:snapToGrid w:val="0"/>
          <w:color w:val="000000"/>
          <w:spacing w:val="0"/>
          <w:kern w:val="0"/>
          <w:sz w:val="32"/>
          <w:szCs w:val="32"/>
        </w:rPr>
        <w:t>分，得分4</w:t>
      </w:r>
      <w:r>
        <w:rPr>
          <w:rFonts w:hint="eastAsia" w:ascii="仿宋_GB2312" w:hAnsi="仿宋_GB2312" w:eastAsia="仿宋_GB2312" w:cs="仿宋_GB2312"/>
          <w:snapToGrid w:val="0"/>
          <w:color w:val="000000"/>
          <w:spacing w:val="0"/>
          <w:kern w:val="0"/>
          <w:sz w:val="32"/>
          <w:szCs w:val="32"/>
          <w:lang w:val="en-US" w:eastAsia="zh-CN"/>
        </w:rPr>
        <w:t>5</w:t>
      </w:r>
      <w:r>
        <w:rPr>
          <w:rFonts w:hint="eastAsia" w:ascii="仿宋_GB2312" w:hAnsi="仿宋_GB2312" w:eastAsia="仿宋_GB2312" w:cs="仿宋_GB2312"/>
          <w:snapToGrid w:val="0"/>
          <w:color w:val="000000"/>
          <w:spacing w:val="0"/>
          <w:kern w:val="0"/>
          <w:sz w:val="32"/>
          <w:szCs w:val="32"/>
        </w:rPr>
        <w:t>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napToGrid w:val="0"/>
          <w:color w:val="000000"/>
          <w:spacing w:val="0"/>
          <w:kern w:val="0"/>
          <w:sz w:val="32"/>
          <w:szCs w:val="32"/>
          <w:lang w:eastAsia="zh-CN"/>
        </w:rPr>
      </w:pPr>
      <w:r>
        <w:rPr>
          <w:rFonts w:hint="eastAsia" w:ascii="仿宋_GB2312" w:hAnsi="仿宋_GB2312" w:eastAsia="仿宋_GB2312" w:cs="仿宋_GB2312"/>
          <w:snapToGrid w:val="0"/>
          <w:color w:val="000000"/>
          <w:spacing w:val="0"/>
          <w:kern w:val="0"/>
          <w:sz w:val="32"/>
          <w:szCs w:val="32"/>
        </w:rPr>
        <w:t>（1）数量指标。</w:t>
      </w:r>
      <w:r>
        <w:rPr>
          <w:rFonts w:hint="eastAsia" w:ascii="仿宋_GB2312" w:hAnsi="仿宋_GB2312" w:eastAsia="仿宋_GB2312" w:cs="仿宋_GB2312"/>
          <w:snapToGrid w:val="0"/>
          <w:color w:val="000000"/>
          <w:spacing w:val="0"/>
          <w:kern w:val="0"/>
          <w:sz w:val="32"/>
          <w:szCs w:val="32"/>
          <w:lang w:eastAsia="zh-CN"/>
        </w:rPr>
        <w:t>数量指标为</w:t>
      </w:r>
      <w:r>
        <w:rPr>
          <w:rFonts w:hint="eastAsia" w:ascii="仿宋_GB2312" w:hAnsi="仿宋_GB2312" w:eastAsia="仿宋_GB2312" w:cs="仿宋_GB2312"/>
          <w:snapToGrid w:val="0"/>
          <w:color w:val="000000"/>
          <w:spacing w:val="0"/>
          <w:kern w:val="0"/>
          <w:sz w:val="32"/>
          <w:szCs w:val="32"/>
        </w:rPr>
        <w:t>专家指导服务天数</w:t>
      </w:r>
      <w:r>
        <w:rPr>
          <w:rFonts w:hint="eastAsia" w:ascii="仿宋_GB2312" w:hAnsi="仿宋_GB2312" w:eastAsia="仿宋_GB2312" w:cs="仿宋_GB2312"/>
          <w:snapToGrid w:val="0"/>
          <w:color w:val="000000"/>
          <w:spacing w:val="0"/>
          <w:kern w:val="0"/>
          <w:sz w:val="32"/>
          <w:szCs w:val="32"/>
          <w:lang w:eastAsia="zh-CN"/>
        </w:rPr>
        <w:t>和指导服务企业数量。退休（退居二线）专家每季度工作时间不少于15天，在职专家每年不少于30天；指导服务企业160家（次）。实际</w:t>
      </w:r>
      <w:r>
        <w:rPr>
          <w:rFonts w:hint="eastAsia" w:ascii="仿宋_GB2312" w:hAnsi="仿宋_GB2312" w:eastAsia="仿宋_GB2312" w:cs="仿宋_GB2312"/>
          <w:snapToGrid w:val="0"/>
          <w:color w:val="000000"/>
          <w:spacing w:val="0"/>
          <w:kern w:val="0"/>
          <w:sz w:val="32"/>
          <w:szCs w:val="32"/>
          <w:lang w:val="en-US" w:eastAsia="zh-CN"/>
        </w:rPr>
        <w:t>17名专家</w:t>
      </w:r>
      <w:r>
        <w:rPr>
          <w:rFonts w:hint="eastAsia" w:ascii="仿宋_GB2312" w:hAnsi="仿宋_GB2312" w:eastAsia="仿宋_GB2312" w:cs="仿宋_GB2312"/>
          <w:snapToGrid w:val="0"/>
          <w:color w:val="000000"/>
          <w:spacing w:val="0"/>
          <w:kern w:val="0"/>
          <w:sz w:val="32"/>
          <w:szCs w:val="32"/>
          <w:lang w:eastAsia="zh-CN"/>
        </w:rPr>
        <w:t>全年共指导服务315天，其中2名退休专家指导服务29天，人均14.5天；15名在职专家共指导服286天，人均19.1天；全年指导服务企业207家（次）。服务天数存在偏差，企业数量完成。</w:t>
      </w:r>
      <w:r>
        <w:rPr>
          <w:rFonts w:hint="eastAsia" w:ascii="仿宋_GB2312" w:hAnsi="仿宋_GB2312" w:eastAsia="仿宋_GB2312" w:cs="仿宋_GB2312"/>
          <w:b w:val="0"/>
          <w:bCs w:val="0"/>
          <w:sz w:val="32"/>
          <w:szCs w:val="32"/>
          <w:lang w:val="en-US" w:eastAsia="zh-CN"/>
        </w:rPr>
        <w:t>产出指标包括数量指标、质量指标、时效指标和成本指标。年初目标设定分值</w:t>
      </w:r>
      <w:r>
        <w:rPr>
          <w:rFonts w:hint="eastAsia" w:ascii="Times New Roman" w:hAnsi="Times New Roman" w:eastAsia="仿宋_GB2312" w:cs="Times New Roman"/>
          <w:color w:val="000000"/>
          <w:kern w:val="2"/>
          <w:sz w:val="32"/>
          <w:szCs w:val="32"/>
          <w:lang w:val="en-US" w:eastAsia="zh-CN" w:bidi="ar-SA"/>
        </w:rPr>
        <w:t>为10分，得分9分，未达到目标分值主要原因是根据全国综合减灾示范社区创建标准要求，部分指标未达到创建标准，未达到100%。</w:t>
      </w:r>
      <w:r>
        <w:rPr>
          <w:rFonts w:hint="eastAsia" w:ascii="仿宋_GB2312" w:hAnsi="仿宋_GB2312" w:eastAsia="仿宋_GB2312" w:cs="仿宋_GB2312"/>
          <w:b w:val="0"/>
          <w:bCs w:val="0"/>
          <w:sz w:val="32"/>
          <w:szCs w:val="32"/>
          <w:lang w:val="en-US" w:eastAsia="zh-CN"/>
        </w:rPr>
        <w:t>下一步，我局将积极主动督促各园区，查缺补漏，按照综合减灾示范标准补充完善。</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napToGrid w:val="0"/>
          <w:color w:val="000000"/>
          <w:spacing w:val="0"/>
          <w:kern w:val="0"/>
          <w:sz w:val="32"/>
          <w:szCs w:val="32"/>
          <w:lang w:eastAsia="zh-CN"/>
        </w:rPr>
      </w:pPr>
      <w:r>
        <w:rPr>
          <w:rFonts w:hint="eastAsia" w:ascii="仿宋_GB2312" w:hAnsi="仿宋_GB2312" w:eastAsia="仿宋_GB2312" w:cs="仿宋_GB2312"/>
          <w:snapToGrid w:val="0"/>
          <w:color w:val="000000"/>
          <w:spacing w:val="0"/>
          <w:kern w:val="0"/>
          <w:sz w:val="32"/>
          <w:szCs w:val="32"/>
        </w:rPr>
        <w:t>（2）质量指标。质量指标</w:t>
      </w:r>
      <w:r>
        <w:rPr>
          <w:rFonts w:hint="eastAsia" w:ascii="仿宋_GB2312" w:hAnsi="仿宋_GB2312" w:eastAsia="仿宋_GB2312" w:cs="仿宋_GB2312"/>
          <w:snapToGrid w:val="0"/>
          <w:color w:val="000000"/>
          <w:spacing w:val="0"/>
          <w:kern w:val="0"/>
          <w:sz w:val="32"/>
          <w:szCs w:val="32"/>
          <w:lang w:eastAsia="zh-CN"/>
        </w:rPr>
        <w:t>包括</w:t>
      </w:r>
      <w:r>
        <w:rPr>
          <w:rFonts w:hint="eastAsia" w:ascii="仿宋_GB2312" w:hAnsi="仿宋_GB2312" w:eastAsia="仿宋_GB2312" w:cs="仿宋_GB2312"/>
          <w:snapToGrid w:val="0"/>
          <w:color w:val="000000"/>
          <w:spacing w:val="0"/>
          <w:kern w:val="0"/>
          <w:sz w:val="32"/>
          <w:szCs w:val="32"/>
        </w:rPr>
        <w:t>检查发现企业存在的问题隐患准确率</w:t>
      </w:r>
      <w:r>
        <w:rPr>
          <w:rFonts w:hint="eastAsia" w:ascii="仿宋_GB2312" w:hAnsi="仿宋_GB2312" w:eastAsia="仿宋_GB2312" w:cs="仿宋_GB2312"/>
          <w:snapToGrid w:val="0"/>
          <w:color w:val="000000"/>
          <w:spacing w:val="0"/>
          <w:kern w:val="0"/>
          <w:sz w:val="32"/>
          <w:szCs w:val="32"/>
          <w:lang w:eastAsia="zh-CN"/>
        </w:rPr>
        <w:t>和指导</w:t>
      </w:r>
      <w:r>
        <w:rPr>
          <w:rFonts w:hint="eastAsia" w:ascii="仿宋_GB2312" w:hAnsi="仿宋_GB2312" w:eastAsia="仿宋_GB2312" w:cs="仿宋_GB2312"/>
          <w:snapToGrid w:val="0"/>
          <w:color w:val="000000"/>
          <w:spacing w:val="0"/>
          <w:kern w:val="0"/>
          <w:sz w:val="32"/>
          <w:szCs w:val="32"/>
        </w:rPr>
        <w:t>企业整改问题隐患</w:t>
      </w:r>
      <w:r>
        <w:rPr>
          <w:rFonts w:hint="eastAsia" w:ascii="仿宋_GB2312" w:hAnsi="仿宋_GB2312" w:eastAsia="仿宋_GB2312" w:cs="仿宋_GB2312"/>
          <w:snapToGrid w:val="0"/>
          <w:color w:val="000000"/>
          <w:spacing w:val="0"/>
          <w:kern w:val="0"/>
          <w:sz w:val="32"/>
          <w:szCs w:val="32"/>
          <w:lang w:eastAsia="zh-CN"/>
        </w:rPr>
        <w:t>。专家组现场检查发现的问题均符合企业现场，准确率达到100%。在指导服务检查发现问题隐患的同时，现场指导告知企业具体整改措施，对整改难度大的问题隐患专家组能与企业现场负责人进行讨论研究具体整改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napToGrid w:val="0"/>
          <w:color w:val="000000"/>
          <w:spacing w:val="0"/>
          <w:kern w:val="0"/>
          <w:sz w:val="32"/>
          <w:szCs w:val="32"/>
          <w:lang w:eastAsia="zh-CN"/>
        </w:rPr>
      </w:pPr>
      <w:r>
        <w:rPr>
          <w:rFonts w:hint="eastAsia" w:ascii="仿宋_GB2312" w:hAnsi="仿宋_GB2312" w:eastAsia="仿宋_GB2312" w:cs="仿宋_GB2312"/>
          <w:snapToGrid w:val="0"/>
          <w:color w:val="000000"/>
          <w:spacing w:val="0"/>
          <w:kern w:val="0"/>
          <w:sz w:val="32"/>
          <w:szCs w:val="32"/>
        </w:rPr>
        <w:t>（3）时效指标。时效指标</w:t>
      </w:r>
      <w:r>
        <w:rPr>
          <w:rFonts w:hint="eastAsia" w:ascii="仿宋_GB2312" w:hAnsi="仿宋_GB2312" w:eastAsia="仿宋_GB2312" w:cs="仿宋_GB2312"/>
          <w:snapToGrid w:val="0"/>
          <w:color w:val="000000"/>
          <w:spacing w:val="0"/>
          <w:kern w:val="0"/>
          <w:sz w:val="32"/>
          <w:szCs w:val="32"/>
          <w:lang w:eastAsia="zh-CN"/>
        </w:rPr>
        <w:t>是指导服务检查准时性和专家检查记录。</w:t>
      </w:r>
      <w:r>
        <w:rPr>
          <w:rFonts w:hint="eastAsia" w:ascii="仿宋_GB2312" w:hAnsi="仿宋_GB2312" w:eastAsia="仿宋_GB2312" w:cs="仿宋_GB2312"/>
          <w:snapToGrid w:val="0"/>
          <w:color w:val="000000"/>
          <w:spacing w:val="0"/>
          <w:kern w:val="0"/>
          <w:sz w:val="32"/>
          <w:szCs w:val="32"/>
          <w:lang w:val="en-US" w:eastAsia="zh-CN"/>
        </w:rPr>
        <w:t>2022年，专家组</w:t>
      </w:r>
      <w:r>
        <w:rPr>
          <w:rFonts w:hint="eastAsia" w:ascii="仿宋_GB2312" w:hAnsi="仿宋_GB2312" w:eastAsia="仿宋_GB2312" w:cs="仿宋_GB2312"/>
          <w:snapToGrid w:val="0"/>
          <w:color w:val="000000"/>
          <w:spacing w:val="0"/>
          <w:kern w:val="0"/>
          <w:sz w:val="32"/>
          <w:szCs w:val="32"/>
          <w:lang w:eastAsia="zh-CN"/>
        </w:rPr>
        <w:t>能够及时前往化工园区对企业指导服务，且均能及时出具检查意见。全年共开展指导服务315天，出具检查记录120余份。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snapToGrid w:val="0"/>
          <w:color w:val="000000"/>
          <w:spacing w:val="0"/>
          <w:kern w:val="0"/>
          <w:sz w:val="32"/>
          <w:szCs w:val="32"/>
        </w:rPr>
        <w:t>（</w:t>
      </w:r>
      <w:r>
        <w:rPr>
          <w:rFonts w:hint="eastAsia" w:ascii="仿宋_GB2312" w:hAnsi="仿宋_GB2312" w:eastAsia="仿宋_GB2312" w:cs="仿宋_GB2312"/>
          <w:snapToGrid w:val="0"/>
          <w:color w:val="000000"/>
          <w:spacing w:val="0"/>
          <w:kern w:val="0"/>
          <w:sz w:val="32"/>
          <w:szCs w:val="32"/>
          <w:lang w:val="en-US" w:eastAsia="zh-CN"/>
        </w:rPr>
        <w:t>4</w:t>
      </w:r>
      <w:r>
        <w:rPr>
          <w:rFonts w:hint="eastAsia" w:ascii="仿宋_GB2312" w:hAnsi="仿宋_GB2312" w:eastAsia="仿宋_GB2312" w:cs="仿宋_GB2312"/>
          <w:snapToGrid w:val="0"/>
          <w:color w:val="000000"/>
          <w:spacing w:val="0"/>
          <w:kern w:val="0"/>
          <w:sz w:val="32"/>
          <w:szCs w:val="32"/>
        </w:rPr>
        <w:t>）成本指标。成本指标</w:t>
      </w:r>
      <w:r>
        <w:rPr>
          <w:rFonts w:hint="eastAsia" w:ascii="仿宋_GB2312" w:hAnsi="仿宋_GB2312" w:eastAsia="仿宋_GB2312" w:cs="仿宋_GB2312"/>
          <w:snapToGrid w:val="0"/>
          <w:color w:val="000000"/>
          <w:spacing w:val="0"/>
          <w:kern w:val="0"/>
          <w:sz w:val="32"/>
          <w:szCs w:val="32"/>
          <w:lang w:eastAsia="zh-CN"/>
        </w:rPr>
        <w:t>是</w:t>
      </w:r>
      <w:r>
        <w:rPr>
          <w:rFonts w:hint="eastAsia" w:ascii="仿宋_GB2312" w:hAnsi="仿宋_GB2312" w:eastAsia="仿宋_GB2312" w:cs="仿宋_GB2312"/>
          <w:snapToGrid w:val="0"/>
          <w:color w:val="000000"/>
          <w:spacing w:val="0"/>
          <w:kern w:val="0"/>
          <w:sz w:val="32"/>
          <w:szCs w:val="32"/>
        </w:rPr>
        <w:t>专家使用的经济性</w:t>
      </w:r>
      <w:r>
        <w:rPr>
          <w:rFonts w:hint="eastAsia" w:ascii="仿宋_GB2312" w:hAnsi="仿宋_GB2312" w:eastAsia="仿宋_GB2312" w:cs="仿宋_GB2312"/>
          <w:snapToGrid w:val="0"/>
          <w:color w:val="000000"/>
          <w:spacing w:val="0"/>
          <w:kern w:val="0"/>
          <w:sz w:val="32"/>
          <w:szCs w:val="32"/>
          <w:lang w:eastAsia="zh-CN"/>
        </w:rPr>
        <w:t>。202</w:t>
      </w:r>
      <w:r>
        <w:rPr>
          <w:rFonts w:hint="eastAsia" w:ascii="仿宋_GB2312" w:hAnsi="仿宋_GB2312" w:eastAsia="仿宋_GB2312" w:cs="仿宋_GB2312"/>
          <w:snapToGrid w:val="0"/>
          <w:color w:val="000000"/>
          <w:spacing w:val="0"/>
          <w:kern w:val="0"/>
          <w:sz w:val="32"/>
          <w:szCs w:val="32"/>
          <w:lang w:val="en-US" w:eastAsia="zh-CN"/>
        </w:rPr>
        <w:t>2</w:t>
      </w:r>
      <w:r>
        <w:rPr>
          <w:rFonts w:hint="eastAsia" w:ascii="仿宋_GB2312" w:hAnsi="仿宋_GB2312" w:eastAsia="仿宋_GB2312" w:cs="仿宋_GB2312"/>
          <w:snapToGrid w:val="0"/>
          <w:color w:val="000000"/>
          <w:spacing w:val="0"/>
          <w:kern w:val="0"/>
          <w:sz w:val="32"/>
          <w:szCs w:val="32"/>
          <w:lang w:eastAsia="zh-CN"/>
        </w:rPr>
        <w:t>年度，新区应急局根据化工园区企业建设、投产进度，按需合理聘请省厅派驻专家，对企业开展专业性的指导服务，发现问题，及时整改，帮助企业快速投产。年度未出现资源及资金浪费情况。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3" w:firstLineChars="200"/>
        <w:jc w:val="both"/>
        <w:textAlignment w:val="baseline"/>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2.效益指标完成情况分析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效益指标包括经济效益指标、社会效益指标、生态效益指标和可持续影响指标。年初目标设定分值为</w:t>
      </w:r>
      <w:r>
        <w:rPr>
          <w:rFonts w:hint="eastAsia" w:ascii="仿宋_GB2312" w:hAnsi="仿宋_GB2312" w:eastAsia="仿宋_GB2312" w:cs="仿宋_GB2312"/>
          <w:spacing w:val="0"/>
          <w:sz w:val="32"/>
          <w:szCs w:val="32"/>
          <w:lang w:val="en-US" w:eastAsia="zh-CN"/>
        </w:rPr>
        <w:t>49</w:t>
      </w:r>
      <w:r>
        <w:rPr>
          <w:rFonts w:hint="eastAsia" w:ascii="仿宋_GB2312" w:hAnsi="仿宋_GB2312" w:eastAsia="仿宋_GB2312" w:cs="仿宋_GB2312"/>
          <w:spacing w:val="0"/>
          <w:sz w:val="32"/>
          <w:szCs w:val="32"/>
        </w:rPr>
        <w:t>分，得分</w:t>
      </w:r>
      <w:r>
        <w:rPr>
          <w:rFonts w:hint="eastAsia" w:ascii="仿宋_GB2312" w:hAnsi="仿宋_GB2312" w:eastAsia="仿宋_GB2312" w:cs="仿宋_GB2312"/>
          <w:spacing w:val="0"/>
          <w:sz w:val="32"/>
          <w:szCs w:val="32"/>
          <w:lang w:val="en-US" w:eastAsia="zh-CN"/>
        </w:rPr>
        <w:t>42</w:t>
      </w:r>
      <w:r>
        <w:rPr>
          <w:rFonts w:hint="eastAsia" w:ascii="仿宋_GB2312" w:hAnsi="仿宋_GB2312" w:eastAsia="仿宋_GB2312" w:cs="仿宋_GB2312"/>
          <w:spacing w:val="0"/>
          <w:sz w:val="32"/>
          <w:szCs w:val="32"/>
        </w:rPr>
        <w:t>分</w:t>
      </w:r>
      <w:r>
        <w:rPr>
          <w:rFonts w:hint="eastAsia" w:ascii="仿宋_GB2312" w:hAnsi="仿宋_GB2312" w:eastAsia="仿宋_GB2312" w:cs="仿宋_GB2312"/>
          <w:spacing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rPr>
        <w:t>（1）经济效益。经济效益</w:t>
      </w:r>
      <w:r>
        <w:rPr>
          <w:rFonts w:hint="eastAsia" w:ascii="仿宋_GB2312" w:hAnsi="仿宋_GB2312" w:eastAsia="仿宋_GB2312" w:cs="仿宋_GB2312"/>
          <w:spacing w:val="0"/>
          <w:sz w:val="32"/>
          <w:szCs w:val="32"/>
          <w:lang w:eastAsia="zh-CN"/>
        </w:rPr>
        <w:t>包括</w:t>
      </w:r>
      <w:r>
        <w:rPr>
          <w:rFonts w:hint="eastAsia" w:ascii="仿宋_GB2312" w:hAnsi="仿宋_GB2312" w:eastAsia="仿宋_GB2312" w:cs="仿宋_GB2312"/>
          <w:spacing w:val="0"/>
          <w:sz w:val="32"/>
          <w:szCs w:val="32"/>
        </w:rPr>
        <w:t>安全事故起数</w:t>
      </w:r>
      <w:r>
        <w:rPr>
          <w:rFonts w:hint="eastAsia" w:ascii="仿宋_GB2312" w:hAnsi="仿宋_GB2312" w:eastAsia="仿宋_GB2312" w:cs="仿宋_GB2312"/>
          <w:spacing w:val="0"/>
          <w:sz w:val="32"/>
          <w:szCs w:val="32"/>
          <w:lang w:eastAsia="zh-CN"/>
        </w:rPr>
        <w:t>不超过</w:t>
      </w:r>
      <w:r>
        <w:rPr>
          <w:rFonts w:hint="eastAsia" w:ascii="仿宋_GB2312" w:hAnsi="仿宋_GB2312" w:eastAsia="仿宋_GB2312" w:cs="仿宋_GB2312"/>
          <w:spacing w:val="0"/>
          <w:sz w:val="32"/>
          <w:szCs w:val="32"/>
          <w:lang w:val="en-US" w:eastAsia="zh-CN"/>
        </w:rPr>
        <w:t>2起</w:t>
      </w:r>
      <w:r>
        <w:rPr>
          <w:rFonts w:hint="eastAsia" w:ascii="仿宋_GB2312" w:hAnsi="仿宋_GB2312" w:eastAsia="仿宋_GB2312" w:cs="仿宋_GB2312"/>
          <w:spacing w:val="0"/>
          <w:sz w:val="32"/>
          <w:szCs w:val="32"/>
          <w:lang w:eastAsia="zh-CN"/>
        </w:rPr>
        <w:t>和</w:t>
      </w:r>
      <w:r>
        <w:rPr>
          <w:rFonts w:hint="eastAsia" w:ascii="仿宋_GB2312" w:hAnsi="仿宋_GB2312" w:eastAsia="仿宋_GB2312" w:cs="仿宋_GB2312"/>
          <w:spacing w:val="0"/>
          <w:sz w:val="32"/>
          <w:szCs w:val="32"/>
        </w:rPr>
        <w:t>化工园区工业产值</w:t>
      </w:r>
      <w:r>
        <w:rPr>
          <w:rFonts w:hint="eastAsia" w:ascii="仿宋_GB2312" w:hAnsi="仿宋_GB2312" w:eastAsia="仿宋_GB2312" w:cs="仿宋_GB2312"/>
          <w:spacing w:val="0"/>
          <w:sz w:val="32"/>
          <w:szCs w:val="32"/>
          <w:lang w:eastAsia="zh-CN"/>
        </w:rPr>
        <w:t>突破</w:t>
      </w:r>
      <w:r>
        <w:rPr>
          <w:rFonts w:hint="eastAsia" w:ascii="仿宋_GB2312" w:hAnsi="仿宋_GB2312" w:eastAsia="仿宋_GB2312" w:cs="仿宋_GB2312"/>
          <w:spacing w:val="0"/>
          <w:sz w:val="32"/>
          <w:szCs w:val="32"/>
          <w:lang w:val="en-US" w:eastAsia="zh-CN"/>
        </w:rPr>
        <w:t>100亿亿元</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2022年，</w:t>
      </w:r>
      <w:r>
        <w:rPr>
          <w:rFonts w:hint="eastAsia" w:ascii="仿宋_GB2312" w:hAnsi="仿宋_GB2312" w:eastAsia="仿宋_GB2312" w:cs="仿宋_GB2312"/>
          <w:spacing w:val="0"/>
          <w:sz w:val="32"/>
          <w:szCs w:val="32"/>
        </w:rPr>
        <w:t>化工园区工业产值</w:t>
      </w:r>
      <w:r>
        <w:rPr>
          <w:rFonts w:hint="eastAsia" w:ascii="仿宋_GB2312" w:hAnsi="仿宋_GB2312" w:eastAsia="仿宋_GB2312" w:cs="仿宋_GB2312"/>
          <w:spacing w:val="0"/>
          <w:sz w:val="32"/>
          <w:szCs w:val="32"/>
          <w:lang w:eastAsia="zh-CN"/>
        </w:rPr>
        <w:t>已突破</w:t>
      </w:r>
      <w:r>
        <w:rPr>
          <w:rFonts w:hint="eastAsia" w:ascii="仿宋_GB2312" w:hAnsi="仿宋_GB2312" w:eastAsia="仿宋_GB2312" w:cs="仿宋_GB2312"/>
          <w:spacing w:val="0"/>
          <w:sz w:val="32"/>
          <w:szCs w:val="32"/>
          <w:lang w:val="en-US" w:eastAsia="zh-CN"/>
        </w:rPr>
        <w:t>100亿亿元，但发生一起较大事故，造成经济损失。</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（2）社会效益。社会效益</w:t>
      </w:r>
      <w:r>
        <w:rPr>
          <w:rFonts w:hint="eastAsia" w:ascii="仿宋_GB2312" w:hAnsi="仿宋_GB2312" w:eastAsia="仿宋_GB2312" w:cs="仿宋_GB2312"/>
          <w:spacing w:val="0"/>
          <w:sz w:val="32"/>
          <w:szCs w:val="32"/>
          <w:lang w:eastAsia="zh-CN"/>
        </w:rPr>
        <w:t>是</w:t>
      </w:r>
      <w:r>
        <w:rPr>
          <w:rFonts w:hint="eastAsia" w:ascii="仿宋_GB2312" w:hAnsi="仿宋_GB2312" w:eastAsia="仿宋_GB2312" w:cs="仿宋_GB2312"/>
          <w:spacing w:val="0"/>
          <w:sz w:val="32"/>
          <w:szCs w:val="32"/>
        </w:rPr>
        <w:t>化工园区的安全管理水平</w:t>
      </w:r>
      <w:r>
        <w:rPr>
          <w:rFonts w:hint="eastAsia" w:ascii="仿宋_GB2312" w:hAnsi="仿宋_GB2312" w:eastAsia="仿宋_GB2312" w:cs="仿宋_GB2312"/>
          <w:spacing w:val="0"/>
          <w:sz w:val="32"/>
          <w:szCs w:val="32"/>
          <w:lang w:eastAsia="zh-CN"/>
        </w:rPr>
        <w:t>和企业本质安全水平显著提高。202</w:t>
      </w:r>
      <w:r>
        <w:rPr>
          <w:rFonts w:hint="eastAsia" w:ascii="仿宋_GB2312" w:hAnsi="仿宋_GB2312" w:eastAsia="仿宋_GB2312" w:cs="仿宋_GB2312"/>
          <w:spacing w:val="0"/>
          <w:sz w:val="32"/>
          <w:szCs w:val="32"/>
          <w:lang w:val="en-US" w:eastAsia="zh-CN"/>
        </w:rPr>
        <w:t>2</w:t>
      </w:r>
      <w:r>
        <w:rPr>
          <w:rFonts w:hint="eastAsia" w:ascii="仿宋_GB2312" w:hAnsi="仿宋_GB2312" w:eastAsia="仿宋_GB2312" w:cs="仿宋_GB2312"/>
          <w:spacing w:val="0"/>
          <w:sz w:val="32"/>
          <w:szCs w:val="32"/>
          <w:lang w:eastAsia="zh-CN"/>
        </w:rPr>
        <w:t>年对化工园区各入驻企业的安全管理要求更加严格，在充分发挥专家力量的基础上，消除整改了一大批安全隐患，企业的本质安全水平显著提高，进而提高了化工园区整体安全管理水平。</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（3）生态效益。生态效益</w:t>
      </w:r>
      <w:r>
        <w:rPr>
          <w:rFonts w:hint="eastAsia" w:ascii="仿宋_GB2312" w:hAnsi="仿宋_GB2312" w:eastAsia="仿宋_GB2312" w:cs="仿宋_GB2312"/>
          <w:spacing w:val="0"/>
          <w:sz w:val="32"/>
          <w:szCs w:val="32"/>
          <w:lang w:eastAsia="zh-CN"/>
        </w:rPr>
        <w:t>是</w:t>
      </w:r>
      <w:r>
        <w:rPr>
          <w:rFonts w:hint="eastAsia" w:ascii="仿宋_GB2312" w:hAnsi="仿宋_GB2312" w:eastAsia="仿宋_GB2312" w:cs="仿宋_GB2312"/>
          <w:spacing w:val="0"/>
          <w:sz w:val="32"/>
          <w:szCs w:val="32"/>
        </w:rPr>
        <w:t>不造成严重的环境污染</w:t>
      </w:r>
      <w:r>
        <w:rPr>
          <w:rFonts w:hint="eastAsia" w:ascii="仿宋_GB2312" w:hAnsi="仿宋_GB2312" w:eastAsia="仿宋_GB2312" w:cs="仿宋_GB2312"/>
          <w:spacing w:val="0"/>
          <w:sz w:val="32"/>
          <w:szCs w:val="32"/>
          <w:lang w:eastAsia="zh-CN"/>
        </w:rPr>
        <w:t>。本年度未造成不可逆的环境污染。</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（4）可持续影响。可持续影响</w:t>
      </w:r>
      <w:r>
        <w:rPr>
          <w:rFonts w:hint="eastAsia" w:ascii="仿宋_GB2312" w:hAnsi="仿宋_GB2312" w:eastAsia="仿宋_GB2312" w:cs="仿宋_GB2312"/>
          <w:spacing w:val="0"/>
          <w:sz w:val="32"/>
          <w:szCs w:val="32"/>
          <w:lang w:eastAsia="zh-CN"/>
        </w:rPr>
        <w:t>指标包括</w:t>
      </w:r>
      <w:r>
        <w:rPr>
          <w:rFonts w:hint="eastAsia" w:ascii="仿宋_GB2312" w:hAnsi="仿宋_GB2312" w:eastAsia="仿宋_GB2312" w:cs="仿宋_GB2312"/>
          <w:spacing w:val="0"/>
          <w:sz w:val="32"/>
          <w:szCs w:val="32"/>
        </w:rPr>
        <w:t>企业对安全生产工作重视程度</w:t>
      </w:r>
      <w:r>
        <w:rPr>
          <w:rFonts w:hint="eastAsia" w:ascii="仿宋_GB2312" w:hAnsi="仿宋_GB2312" w:eastAsia="仿宋_GB2312" w:cs="仿宋_GB2312"/>
          <w:spacing w:val="0"/>
          <w:sz w:val="32"/>
          <w:szCs w:val="32"/>
          <w:lang w:eastAsia="zh-CN"/>
        </w:rPr>
        <w:t>有所提升和</w:t>
      </w:r>
      <w:r>
        <w:rPr>
          <w:rFonts w:hint="eastAsia" w:ascii="仿宋_GB2312" w:hAnsi="仿宋_GB2312" w:eastAsia="仿宋_GB2312" w:cs="仿宋_GB2312"/>
          <w:spacing w:val="0"/>
          <w:sz w:val="32"/>
          <w:szCs w:val="32"/>
        </w:rPr>
        <w:t>安全生产工作稳步推进</w:t>
      </w:r>
      <w:r>
        <w:rPr>
          <w:rFonts w:hint="eastAsia" w:ascii="仿宋_GB2312" w:hAnsi="仿宋_GB2312" w:eastAsia="仿宋_GB2312" w:cs="仿宋_GB2312"/>
          <w:spacing w:val="0"/>
          <w:sz w:val="32"/>
          <w:szCs w:val="32"/>
          <w:lang w:eastAsia="zh-CN"/>
        </w:rPr>
        <w:t>。通过隐患排查、指导服务，化工园区对安全生产工作更加重视，能够积极落实主体责任，保障安全生产工作稳步推进。</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43" w:firstLineChars="200"/>
        <w:jc w:val="both"/>
        <w:textAlignment w:val="baseline"/>
        <w:rPr>
          <w:rFonts w:hint="eastAsia" w:ascii="仿宋_GB2312" w:hAnsi="仿宋_GB2312" w:eastAsia="仿宋_GB2312" w:cs="仿宋_GB2312"/>
          <w:b/>
          <w:bCs/>
          <w:spacing w:val="0"/>
          <w:sz w:val="32"/>
          <w:szCs w:val="32"/>
        </w:rPr>
      </w:pPr>
      <w:r>
        <w:rPr>
          <w:rFonts w:hint="eastAsia" w:ascii="仿宋_GB2312" w:hAnsi="仿宋_GB2312" w:eastAsia="仿宋_GB2312" w:cs="仿宋_GB2312"/>
          <w:b/>
          <w:bCs/>
          <w:spacing w:val="0"/>
          <w:sz w:val="32"/>
          <w:szCs w:val="32"/>
        </w:rPr>
        <w:t>3.满意度指标完成情况分析</w:t>
      </w:r>
    </w:p>
    <w:p>
      <w:pPr>
        <w:pStyle w:val="4"/>
        <w:keepNext w:val="0"/>
        <w:keepLines w:val="0"/>
        <w:pageBreakBefore w:val="0"/>
        <w:widowControl w:val="0"/>
        <w:kinsoku/>
        <w:wordWrap/>
        <w:overflowPunct/>
        <w:topLinePunct w:val="0"/>
        <w:autoSpaceDE/>
        <w:autoSpaceDN/>
        <w:bidi w:val="0"/>
        <w:adjustRightInd/>
        <w:spacing w:line="560" w:lineRule="exact"/>
        <w:ind w:left="0" w:leftChars="0" w:firstLine="640" w:firstLineChars="200"/>
        <w:jc w:val="both"/>
        <w:textAlignment w:val="auto"/>
        <w:rPr>
          <w:rFonts w:hint="eastAsia"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服务对象满意度为85%，未达到年初设定值90%，分值4分，得分3分，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三、偏离绩效目标的原因和下一步改进措施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2022年度，化工园区安全咨询专家组补助资金的总体绩效目标、三大一级指标、九大二级指标基本达标，但与年初设定目标仍存在一定差距。主要原因有：</w:t>
      </w:r>
      <w:r>
        <w:rPr>
          <w:rFonts w:hint="eastAsia" w:ascii="Times New Roman" w:hAnsi="Times New Roman" w:eastAsia="仿宋_GB2312" w:cs="Times New Roman"/>
          <w:b/>
          <w:bCs/>
          <w:spacing w:val="0"/>
          <w:sz w:val="32"/>
          <w:szCs w:val="32"/>
          <w:lang w:val="en-US" w:eastAsia="zh-CN"/>
        </w:rPr>
        <w:t>一是</w:t>
      </w:r>
      <w:r>
        <w:rPr>
          <w:rFonts w:hint="eastAsia" w:ascii="Times New Roman" w:hAnsi="Times New Roman" w:eastAsia="仿宋_GB2312" w:cs="Times New Roman"/>
          <w:spacing w:val="0"/>
          <w:sz w:val="32"/>
          <w:szCs w:val="32"/>
          <w:lang w:val="en-US" w:eastAsia="zh-CN"/>
        </w:rPr>
        <w:t>因省厅派驻的17名专家大部分在职且为省级专家库专家，因工作原因加之新冠疫情管控要求，无法协调，致使不能按需到场指导，进而服务天数不达标。</w:t>
      </w:r>
      <w:r>
        <w:rPr>
          <w:rFonts w:hint="eastAsia" w:ascii="Times New Roman" w:hAnsi="Times New Roman" w:eastAsia="仿宋_GB2312" w:cs="Times New Roman"/>
          <w:b/>
          <w:bCs/>
          <w:spacing w:val="0"/>
          <w:sz w:val="32"/>
          <w:szCs w:val="32"/>
          <w:lang w:val="en-US" w:eastAsia="zh-CN"/>
        </w:rPr>
        <w:t>二是</w:t>
      </w:r>
      <w:r>
        <w:rPr>
          <w:rFonts w:hint="eastAsia" w:ascii="Times New Roman" w:hAnsi="Times New Roman" w:eastAsia="仿宋_GB2312" w:cs="Times New Roman"/>
          <w:spacing w:val="0"/>
          <w:sz w:val="32"/>
          <w:szCs w:val="32"/>
          <w:lang w:val="en-US" w:eastAsia="zh-CN"/>
        </w:rPr>
        <w:t>2022年新区化工园区发生一起较大安全事故，造成较大的经济损失。</w:t>
      </w:r>
      <w:r>
        <w:rPr>
          <w:rFonts w:hint="eastAsia" w:ascii="Times New Roman" w:hAnsi="Times New Roman" w:eastAsia="仿宋_GB2312" w:cs="Times New Roman"/>
          <w:b/>
          <w:bCs/>
          <w:spacing w:val="0"/>
          <w:sz w:val="32"/>
          <w:szCs w:val="32"/>
          <w:lang w:val="en-US" w:eastAsia="zh-CN"/>
        </w:rPr>
        <w:t>三是</w:t>
      </w:r>
      <w:r>
        <w:rPr>
          <w:rFonts w:hint="eastAsia" w:ascii="Times New Roman" w:hAnsi="Times New Roman" w:eastAsia="仿宋_GB2312" w:cs="Times New Roman"/>
          <w:spacing w:val="0"/>
          <w:sz w:val="32"/>
          <w:szCs w:val="32"/>
          <w:lang w:val="en-US" w:eastAsia="zh-CN"/>
        </w:rPr>
        <w:t>在日常指导服务时，需要企业现场人员陪同解说，会对其正常工作造成一定的影响。</w:t>
      </w:r>
      <w:r>
        <w:rPr>
          <w:rFonts w:hint="eastAsia" w:ascii="Times New Roman" w:hAnsi="Times New Roman" w:eastAsia="仿宋_GB2312" w:cs="Times New Roman"/>
          <w:sz w:val="32"/>
          <w:szCs w:val="32"/>
          <w:lang w:val="en-US" w:eastAsia="zh-CN"/>
        </w:rPr>
        <w:t>2022年度，综合减灾示范社区补助资金的总体绩效目标、三大一级指标、九大二级指标基本达标，但与年初设定目标仍存在一定差距。主要原因有：</w:t>
      </w:r>
      <w:r>
        <w:rPr>
          <w:rFonts w:hint="eastAsia" w:ascii="仿宋_GB2312" w:hAnsi="仿宋_GB2312" w:eastAsia="仿宋_GB2312" w:cs="仿宋_GB2312"/>
          <w:sz w:val="32"/>
          <w:szCs w:val="32"/>
          <w:lang w:val="en-US" w:eastAsia="zh-CN"/>
        </w:rPr>
        <w:t>因兰州新区起步晚，基础弱，配套少原因，综合减灾示范社区数量少，需进一步提高人民群众满意度。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下一步，我局将从以下</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三个</w:t>
      </w:r>
      <w:r>
        <w:rPr>
          <w:rFonts w:hint="eastAsia" w:ascii="Times New Roman" w:hAnsi="Times New Roman" w:eastAsia="仿宋_GB2312" w:cs="Times New Roman"/>
          <w:spacing w:val="0"/>
          <w:sz w:val="32"/>
          <w:szCs w:val="32"/>
          <w:lang w:val="en-US" w:eastAsia="zh-CN"/>
        </w:rPr>
        <w:t>方面加以改进，确保绩效目标达标。</w:t>
      </w:r>
      <w:r>
        <w:rPr>
          <w:rFonts w:hint="eastAsia" w:ascii="Times New Roman" w:hAnsi="Times New Roman" w:eastAsia="仿宋_GB2312" w:cs="Times New Roman"/>
          <w:b/>
          <w:bCs/>
          <w:spacing w:val="0"/>
          <w:sz w:val="32"/>
          <w:szCs w:val="32"/>
          <w:lang w:val="en-US" w:eastAsia="zh-CN"/>
        </w:rPr>
        <w:t>一是</w:t>
      </w:r>
      <w:r>
        <w:rPr>
          <w:rFonts w:hint="eastAsia" w:ascii="Times New Roman" w:hAnsi="Times New Roman" w:eastAsia="仿宋_GB2312" w:cs="Times New Roman"/>
          <w:spacing w:val="0"/>
          <w:sz w:val="32"/>
          <w:szCs w:val="32"/>
          <w:lang w:val="en-US" w:eastAsia="zh-CN"/>
        </w:rPr>
        <w:t>充分运用省厅派驻专家，对化工园区企业进行指导服务、督查检查，及时发现问题隐患，督促企业整改落实，确保风险降低、隐患消除，提升园区安全管理水平。</w:t>
      </w:r>
      <w:r>
        <w:rPr>
          <w:rFonts w:hint="eastAsia" w:ascii="Times New Roman" w:hAnsi="Times New Roman" w:eastAsia="仿宋_GB2312" w:cs="Times New Roman"/>
          <w:b/>
          <w:bCs/>
          <w:spacing w:val="0"/>
          <w:sz w:val="32"/>
          <w:szCs w:val="32"/>
          <w:lang w:val="en-US" w:eastAsia="zh-CN"/>
        </w:rPr>
        <w:t>二是</w:t>
      </w:r>
      <w:r>
        <w:rPr>
          <w:rFonts w:hint="eastAsia" w:ascii="Times New Roman" w:hAnsi="Times New Roman" w:eastAsia="仿宋_GB2312" w:cs="Times New Roman"/>
          <w:spacing w:val="0"/>
          <w:sz w:val="32"/>
          <w:szCs w:val="32"/>
          <w:lang w:val="en-US" w:eastAsia="zh-CN"/>
        </w:rPr>
        <w:t>靠前服务、提早谋划，积极协调对接专家，避免因工作冲突，无法到场指导服务。</w:t>
      </w:r>
      <w:r>
        <w:rPr>
          <w:rFonts w:hint="eastAsia" w:ascii="Times New Roman" w:hAnsi="Times New Roman" w:eastAsia="仿宋_GB2312" w:cs="Times New Roman"/>
          <w:b/>
          <w:bCs/>
          <w:spacing w:val="0"/>
          <w:sz w:val="32"/>
          <w:szCs w:val="32"/>
          <w:lang w:val="en-US" w:eastAsia="zh-CN"/>
        </w:rPr>
        <w:t>三是</w:t>
      </w:r>
      <w:r>
        <w:rPr>
          <w:rFonts w:hint="eastAsia" w:ascii="Times New Roman" w:hAnsi="Times New Roman" w:eastAsia="仿宋_GB2312" w:cs="Times New Roman"/>
          <w:b w:val="0"/>
          <w:bCs w:val="0"/>
          <w:spacing w:val="0"/>
          <w:sz w:val="32"/>
          <w:szCs w:val="32"/>
          <w:lang w:val="en-US" w:eastAsia="zh-CN"/>
        </w:rPr>
        <w:t>及时与专家沟通，不仅要盯现场技术性问题，还要发现安全管理其他方面的隐患，并对问题隐患进行系统性分析，建立台账、分类整治、逐一“销号”。</w:t>
      </w:r>
      <w:r>
        <w:rPr>
          <w:rFonts w:hint="eastAsia" w:ascii="Times New Roman" w:hAnsi="Times New Roman" w:eastAsia="仿宋_GB2312" w:cs="Times New Roman"/>
          <w:b/>
          <w:bCs/>
          <w:spacing w:val="0"/>
          <w:sz w:val="32"/>
          <w:szCs w:val="32"/>
          <w:lang w:val="en-US" w:eastAsia="zh-CN"/>
        </w:rPr>
        <w:t>四是</w:t>
      </w:r>
      <w:r>
        <w:rPr>
          <w:rFonts w:hint="eastAsia" w:ascii="Times New Roman" w:hAnsi="Times New Roman" w:eastAsia="仿宋_GB2312" w:cs="Times New Roman"/>
          <w:b w:val="0"/>
          <w:bCs w:val="0"/>
          <w:spacing w:val="0"/>
          <w:sz w:val="32"/>
          <w:szCs w:val="32"/>
          <w:lang w:val="en-US" w:eastAsia="zh-CN"/>
        </w:rPr>
        <w:t>科学设置绩效目标，在日常执行中，紧盯目标开展相关工作，切实提高资金使用效益。</w:t>
      </w:r>
      <w:r>
        <w:rPr>
          <w:rFonts w:hint="eastAsia" w:ascii="Times New Roman" w:hAnsi="Times New Roman" w:eastAsia="仿宋_GB2312" w:cs="Times New Roman"/>
          <w:sz w:val="32"/>
          <w:szCs w:val="32"/>
          <w:lang w:val="en-US" w:eastAsia="zh-CN"/>
        </w:rPr>
        <w:t>我局将从以下</w:t>
      </w:r>
      <w:r>
        <w:rPr>
          <w:rFonts w:hint="eastAsia" w:ascii="Times New Roman" w:hAnsi="Times New Roman" w:eastAsia="仿宋_GB2312" w:cs="Times New Roman"/>
          <w:color w:val="000000"/>
          <w:sz w:val="32"/>
          <w:szCs w:val="32"/>
          <w:lang w:val="en-US" w:eastAsia="zh-CN"/>
        </w:rPr>
        <w:t>三个</w:t>
      </w:r>
      <w:r>
        <w:rPr>
          <w:rFonts w:hint="eastAsia" w:ascii="Times New Roman" w:hAnsi="Times New Roman" w:eastAsia="仿宋_GB2312" w:cs="Times New Roman"/>
          <w:sz w:val="32"/>
          <w:szCs w:val="32"/>
          <w:lang w:val="en-US" w:eastAsia="zh-CN"/>
        </w:rPr>
        <w:t>方面加以改进，确保绩效目标达标。</w:t>
      </w:r>
      <w:r>
        <w:rPr>
          <w:rFonts w:hint="eastAsia" w:ascii="Times New Roman" w:hAnsi="Times New Roman" w:eastAsia="仿宋_GB2312" w:cs="Times New Roman"/>
          <w:b/>
          <w:bCs/>
          <w:sz w:val="32"/>
          <w:szCs w:val="32"/>
          <w:lang w:val="en-US" w:eastAsia="zh-CN"/>
        </w:rPr>
        <w:t>一是</w:t>
      </w:r>
      <w:r>
        <w:rPr>
          <w:rFonts w:hint="eastAsia" w:ascii="Times New Roman" w:hAnsi="Times New Roman" w:eastAsia="仿宋_GB2312" w:cs="Times New Roman"/>
          <w:b w:val="0"/>
          <w:bCs w:val="0"/>
          <w:sz w:val="32"/>
          <w:szCs w:val="32"/>
          <w:lang w:val="en-US" w:eastAsia="zh-CN"/>
        </w:rPr>
        <w:t>持续督促各社区积极开展综合减灾示范社区创建活动，赴社区</w:t>
      </w:r>
      <w:r>
        <w:rPr>
          <w:rFonts w:hint="eastAsia" w:ascii="Times New Roman" w:hAnsi="Times New Roman" w:eastAsia="仿宋_GB2312" w:cs="Times New Roman"/>
          <w:sz w:val="32"/>
          <w:szCs w:val="32"/>
          <w:lang w:val="en-US" w:eastAsia="zh-CN"/>
        </w:rPr>
        <w:t>进行指导服务、督查检查，及时发现问题隐患，督促社区整改落实，提升社区创建标准。</w:t>
      </w:r>
      <w:r>
        <w:rPr>
          <w:rFonts w:hint="eastAsia" w:ascii="Times New Roman" w:hAnsi="Times New Roman" w:eastAsia="仿宋_GB2312" w:cs="Times New Roman"/>
          <w:b/>
          <w:bCs/>
          <w:sz w:val="32"/>
          <w:szCs w:val="32"/>
          <w:lang w:val="en-US" w:eastAsia="zh-CN"/>
        </w:rPr>
        <w:t>二是</w:t>
      </w:r>
      <w:r>
        <w:rPr>
          <w:rFonts w:hint="eastAsia" w:ascii="Times New Roman" w:hAnsi="Times New Roman" w:eastAsia="仿宋_GB2312" w:cs="Times New Roman"/>
          <w:b w:val="0"/>
          <w:bCs w:val="0"/>
          <w:sz w:val="32"/>
          <w:szCs w:val="32"/>
          <w:lang w:val="en-US" w:eastAsia="zh-CN"/>
        </w:rPr>
        <w:t>要求社区对省考核组提出的问题和不足，查缺补漏，不断完善社区软硬件，提高社区服务质量。</w:t>
      </w:r>
      <w:r>
        <w:rPr>
          <w:rFonts w:hint="eastAsia" w:ascii="Times New Roman" w:hAnsi="Times New Roman" w:eastAsia="仿宋_GB2312" w:cs="Times New Roman"/>
          <w:b/>
          <w:bCs/>
          <w:sz w:val="32"/>
          <w:szCs w:val="32"/>
          <w:lang w:val="en-US" w:eastAsia="zh-CN"/>
        </w:rPr>
        <w:t>三是</w:t>
      </w:r>
      <w:r>
        <w:rPr>
          <w:rFonts w:hint="eastAsia" w:ascii="Times New Roman" w:hAnsi="Times New Roman" w:eastAsia="仿宋_GB2312" w:cs="Times New Roman"/>
          <w:b w:val="0"/>
          <w:bCs w:val="0"/>
          <w:sz w:val="32"/>
          <w:szCs w:val="32"/>
          <w:lang w:val="en-US" w:eastAsia="zh-CN"/>
        </w:rPr>
        <w:t>开展防灾减灾科普宣传，进一步提高人民群众防灾减灾意识，筑牢防灾减灾救灾人民防线。</w:t>
      </w:r>
      <w:r>
        <w:rPr>
          <w:rFonts w:hint="eastAsia" w:ascii="Times New Roman" w:hAnsi="Times New Roman" w:eastAsia="仿宋_GB2312" w:cs="Times New Roman"/>
          <w:b/>
          <w:bCs/>
          <w:sz w:val="32"/>
          <w:szCs w:val="32"/>
          <w:lang w:val="en-US" w:eastAsia="zh-CN"/>
        </w:rPr>
        <w:t>四是</w:t>
      </w:r>
      <w:r>
        <w:rPr>
          <w:rFonts w:hint="eastAsia" w:ascii="Times New Roman" w:hAnsi="Times New Roman" w:eastAsia="仿宋_GB2312" w:cs="Times New Roman"/>
          <w:b w:val="0"/>
          <w:bCs w:val="0"/>
          <w:sz w:val="32"/>
          <w:szCs w:val="32"/>
          <w:lang w:val="en-US" w:eastAsia="zh-CN"/>
        </w:rPr>
        <w:t>科学设置绩效目标，在日常执行中，紧盯目标开展相关工作，切实提高资金使用效益。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四、绩效自评结果拟应用和公开情况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spacing w:val="0"/>
          <w:lang w:val="en-US" w:eastAsia="zh-CN"/>
        </w:rPr>
      </w:pPr>
      <w:r>
        <w:rPr>
          <w:rFonts w:hint="default" w:ascii="Times New Roman" w:hAnsi="Times New Roman" w:eastAsia="仿宋_GB2312" w:cs="Times New Roman"/>
          <w:spacing w:val="0"/>
          <w:sz w:val="32"/>
          <w:szCs w:val="32"/>
          <w:lang w:val="en-US" w:eastAsia="zh-CN"/>
        </w:rPr>
        <w:t>我</w:t>
      </w:r>
      <w:r>
        <w:rPr>
          <w:rFonts w:hint="eastAsia" w:ascii="Times New Roman" w:hAnsi="Times New Roman" w:eastAsia="仿宋_GB2312" w:cs="Times New Roman"/>
          <w:spacing w:val="0"/>
          <w:sz w:val="32"/>
          <w:szCs w:val="32"/>
          <w:lang w:val="en-US" w:eastAsia="zh-CN"/>
        </w:rPr>
        <w:t>局</w:t>
      </w:r>
      <w:r>
        <w:rPr>
          <w:rFonts w:hint="default" w:ascii="Times New Roman" w:hAnsi="Times New Roman" w:eastAsia="仿宋_GB2312" w:cs="Times New Roman"/>
          <w:spacing w:val="0"/>
          <w:sz w:val="32"/>
          <w:szCs w:val="32"/>
          <w:lang w:val="en-US" w:eastAsia="zh-CN"/>
        </w:rPr>
        <w:t>根据</w:t>
      </w:r>
      <w:r>
        <w:rPr>
          <w:rFonts w:hint="eastAsia" w:ascii="Times New Roman" w:hAnsi="Times New Roman" w:eastAsia="仿宋_GB2312" w:cs="Times New Roman"/>
          <w:spacing w:val="0"/>
          <w:sz w:val="32"/>
          <w:szCs w:val="32"/>
          <w:lang w:val="en-US" w:eastAsia="zh-CN"/>
        </w:rPr>
        <w:t>转移支付资金</w:t>
      </w:r>
      <w:r>
        <w:rPr>
          <w:rFonts w:hint="default" w:ascii="Times New Roman" w:hAnsi="Times New Roman" w:eastAsia="仿宋_GB2312" w:cs="Times New Roman"/>
          <w:spacing w:val="0"/>
          <w:sz w:val="32"/>
          <w:szCs w:val="32"/>
          <w:lang w:val="en-US" w:eastAsia="zh-CN"/>
        </w:rPr>
        <w:t>绩效</w:t>
      </w:r>
      <w:r>
        <w:rPr>
          <w:rFonts w:hint="eastAsia" w:ascii="Times New Roman" w:hAnsi="Times New Roman" w:eastAsia="仿宋_GB2312" w:cs="Times New Roman"/>
          <w:spacing w:val="0"/>
          <w:sz w:val="32"/>
          <w:szCs w:val="32"/>
          <w:lang w:val="en-US" w:eastAsia="zh-CN"/>
        </w:rPr>
        <w:t>自评要求，对绩效指标进行客观</w:t>
      </w:r>
      <w:r>
        <w:rPr>
          <w:rFonts w:hint="default" w:ascii="Times New Roman" w:hAnsi="Times New Roman" w:eastAsia="仿宋_GB2312" w:cs="Times New Roman"/>
          <w:spacing w:val="0"/>
          <w:sz w:val="32"/>
          <w:szCs w:val="32"/>
          <w:lang w:val="en-US" w:eastAsia="zh-CN"/>
        </w:rPr>
        <w:t>量化评价，自评</w:t>
      </w:r>
      <w:r>
        <w:rPr>
          <w:rFonts w:hint="eastAsia" w:ascii="Times New Roman" w:hAnsi="Times New Roman" w:eastAsia="仿宋_GB2312" w:cs="Times New Roman"/>
          <w:spacing w:val="0"/>
          <w:sz w:val="32"/>
          <w:szCs w:val="32"/>
          <w:lang w:val="en-US" w:eastAsia="zh-CN"/>
        </w:rPr>
        <w:t>最终</w:t>
      </w:r>
      <w:r>
        <w:rPr>
          <w:rFonts w:hint="default" w:ascii="Times New Roman" w:hAnsi="Times New Roman" w:eastAsia="仿宋_GB2312" w:cs="Times New Roman"/>
          <w:spacing w:val="0"/>
          <w:sz w:val="32"/>
          <w:szCs w:val="32"/>
          <w:lang w:val="en-US" w:eastAsia="zh-CN"/>
        </w:rPr>
        <w:t>得分</w:t>
      </w:r>
      <w:r>
        <w:rPr>
          <w:rFonts w:hint="eastAsia" w:ascii="Times New Roman" w:hAnsi="Times New Roman" w:eastAsia="仿宋_GB2312" w:cs="Times New Roman"/>
          <w:spacing w:val="0"/>
          <w:sz w:val="32"/>
          <w:szCs w:val="32"/>
          <w:lang w:val="en-US" w:eastAsia="zh-CN"/>
        </w:rPr>
        <w:t>为90</w:t>
      </w:r>
      <w:r>
        <w:rPr>
          <w:rFonts w:hint="default" w:ascii="Times New Roman" w:hAnsi="Times New Roman" w:eastAsia="仿宋_GB2312" w:cs="Times New Roman"/>
          <w:spacing w:val="0"/>
          <w:sz w:val="32"/>
          <w:szCs w:val="32"/>
          <w:lang w:val="en-US" w:eastAsia="zh-CN"/>
        </w:rPr>
        <w:t>分</w:t>
      </w:r>
      <w:r>
        <w:rPr>
          <w:rFonts w:hint="eastAsia" w:ascii="Times New Roman" w:hAnsi="Times New Roman" w:eastAsia="仿宋_GB2312" w:cs="Times New Roman"/>
          <w:spacing w:val="0"/>
          <w:sz w:val="32"/>
          <w:szCs w:val="32"/>
          <w:lang w:val="en-US" w:eastAsia="zh-CN"/>
        </w:rPr>
        <w:t>，结果评为“优”，预算支出绩效较好</w:t>
      </w:r>
      <w:r>
        <w:rPr>
          <w:rFonts w:hint="default" w:ascii="Times New Roman" w:hAnsi="Times New Roman" w:eastAsia="仿宋_GB2312" w:cs="Times New Roman"/>
          <w:spacing w:val="0"/>
          <w:sz w:val="32"/>
          <w:szCs w:val="32"/>
          <w:lang w:val="en-US" w:eastAsia="zh-CN"/>
        </w:rPr>
        <w:t>。化工园区安全咨询专家组补助资金</w:t>
      </w:r>
      <w:r>
        <w:rPr>
          <w:rFonts w:hint="eastAsia" w:ascii="Times New Roman" w:hAnsi="Times New Roman" w:eastAsia="仿宋_GB2312" w:cs="Times New Roman"/>
          <w:spacing w:val="0"/>
          <w:sz w:val="32"/>
          <w:szCs w:val="32"/>
          <w:lang w:val="en-US" w:eastAsia="zh-CN"/>
        </w:rPr>
        <w:t>绩效自评结果根据财政相关要求进行公开，并将充分应用自评结果，坚持结果及目标导向，补齐短板不足，规范资金使用，提高专家指导服务质量和企业满意度，持续做好化工园区安全工作。</w:t>
      </w:r>
    </w:p>
    <w:p>
      <w:pPr>
        <w:pStyle w:val="4"/>
        <w:keepNext w:val="0"/>
        <w:keepLines w:val="0"/>
        <w:pageBreakBefore w:val="0"/>
        <w:widowControl w:val="0"/>
        <w:kinsoku/>
        <w:wordWrap/>
        <w:overflowPunct/>
        <w:topLinePunct w:val="0"/>
        <w:autoSpaceDE/>
        <w:autoSpaceDN/>
        <w:bidi w:val="0"/>
        <w:adjustRightInd/>
        <w:spacing w:line="560" w:lineRule="exact"/>
        <w:ind w:left="0" w:leftChars="0"/>
        <w:textAlignment w:val="auto"/>
        <w:rPr>
          <w:rFonts w:hint="eastAsia" w:ascii="Times New Roman" w:hAnsi="Times New Roman" w:eastAsia="仿宋_GB2312" w:cs="Times New Roman"/>
          <w:spacing w:val="0"/>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Fonts w:hint="eastAsia"/>
          <w:spacing w:val="0"/>
          <w:lang w:val="en-US" w:eastAsia="zh-CN"/>
        </w:rPr>
      </w:pPr>
      <w:r>
        <w:rPr>
          <w:rFonts w:hint="eastAsia" w:ascii="Times New Roman" w:hAnsi="Times New Roman" w:eastAsia="仿宋_GB2312" w:cs="Times New Roman"/>
          <w:spacing w:val="0"/>
          <w:sz w:val="32"/>
          <w:szCs w:val="32"/>
          <w:lang w:val="en-US" w:eastAsia="zh-CN"/>
        </w:rPr>
        <w:t>附件：2022年度省对市县转移支付绩效自评表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00" w:firstLineChars="1500"/>
        <w:jc w:val="both"/>
        <w:textAlignment w:val="auto"/>
        <w:rPr>
          <w:rFonts w:hint="eastAsia" w:ascii="Times New Roman" w:hAnsi="Times New Roman" w:eastAsia="仿宋_GB2312" w:cs="Times New Roman"/>
          <w:spacing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00" w:firstLineChars="1500"/>
        <w:jc w:val="both"/>
        <w:textAlignment w:val="auto"/>
        <w:rPr>
          <w:rFonts w:hint="eastAsia" w:ascii="Times New Roman" w:hAnsi="Times New Roman" w:eastAsia="仿宋_GB2312" w:cs="Times New Roman"/>
          <w:spacing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120" w:firstLineChars="1600"/>
        <w:jc w:val="both"/>
        <w:textAlignment w:val="auto"/>
        <w:rPr>
          <w:rFonts w:hint="eastAsia"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兰州新区应急管理局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5440" w:firstLineChars="1700"/>
        <w:jc w:val="both"/>
        <w:textAlignment w:val="auto"/>
        <w:rPr>
          <w:rFonts w:hint="default" w:ascii="仿宋_GB2312" w:hAnsi="仿宋_GB2312" w:eastAsia="仿宋_GB2312" w:cs="仿宋_GB2312"/>
          <w:spacing w:val="0"/>
          <w:sz w:val="32"/>
          <w:szCs w:val="32"/>
          <w:lang w:val="en-US" w:eastAsia="zh-CN"/>
        </w:rPr>
        <w:sectPr>
          <w:footerReference r:id="rId3" w:type="default"/>
          <w:pgSz w:w="11906" w:h="16838"/>
          <w:pgMar w:top="1701" w:right="1587" w:bottom="1587" w:left="1587" w:header="851" w:footer="992" w:gutter="0"/>
          <w:pgNumType w:fmt="numberInDash" w:start="2"/>
          <w:cols w:space="425" w:num="1"/>
          <w:docGrid w:type="lines" w:linePitch="312" w:charSpace="0"/>
        </w:sectPr>
      </w:pPr>
      <w:r>
        <w:rPr>
          <w:rFonts w:hint="eastAsia" w:ascii="Times New Roman" w:hAnsi="Times New Roman" w:eastAsia="仿宋_GB2312" w:cs="Times New Roman"/>
          <w:spacing w:val="0"/>
          <w:sz w:val="32"/>
          <w:szCs w:val="32"/>
          <w:lang w:val="en-US" w:eastAsia="zh-CN"/>
        </w:rPr>
        <w:t>2023年3月17日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jc w:val="both"/>
        <w:textAlignment w:val="auto"/>
        <w:rPr>
          <w:rFonts w:hint="default" w:ascii="Times New Roman" w:hAnsi="Times New Roman" w:eastAsia="仿宋_GB2312" w:cs="Times New Roman"/>
          <w:spacing w:val="0"/>
          <w:sz w:val="32"/>
          <w:szCs w:val="32"/>
          <w:lang w:val="en-US" w:eastAsia="zh-CN"/>
        </w:rPr>
      </w:pPr>
    </w:p>
    <w:sectPr>
      <w:footerReference r:id="rId4" w:type="default"/>
      <w:pgSz w:w="11906" w:h="16838"/>
      <w:pgMar w:top="1701" w:right="1587" w:bottom="1587" w:left="1587"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微软雅黑 Light">
    <w:panose1 w:val="020B0502040204020203"/>
    <w:charset w:val="86"/>
    <w:family w:val="auto"/>
    <w:pitch w:val="default"/>
    <w:sig w:usb0="80000287" w:usb1="2ACF001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EFA4B5"/>
    <w:multiLevelType w:val="singleLevel"/>
    <w:tmpl w:val="FFEFA4B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kMzA0MjZlZTYyN2QyOWVjMTYyNGMwOTBkOTg2MWEifQ=="/>
  </w:docVars>
  <w:rsids>
    <w:rsidRoot w:val="5E046BE5"/>
    <w:rsid w:val="004C77E1"/>
    <w:rsid w:val="016E03B6"/>
    <w:rsid w:val="01AB29E5"/>
    <w:rsid w:val="02535726"/>
    <w:rsid w:val="027B6CF9"/>
    <w:rsid w:val="027D24CE"/>
    <w:rsid w:val="02810A96"/>
    <w:rsid w:val="045749A9"/>
    <w:rsid w:val="045C040B"/>
    <w:rsid w:val="04962669"/>
    <w:rsid w:val="04D15060"/>
    <w:rsid w:val="05611E2E"/>
    <w:rsid w:val="059524CD"/>
    <w:rsid w:val="066F774E"/>
    <w:rsid w:val="067B61A7"/>
    <w:rsid w:val="06AB566E"/>
    <w:rsid w:val="06D55E6E"/>
    <w:rsid w:val="078D379E"/>
    <w:rsid w:val="07E1751F"/>
    <w:rsid w:val="08224507"/>
    <w:rsid w:val="085E4843"/>
    <w:rsid w:val="08CD0F8B"/>
    <w:rsid w:val="09267202"/>
    <w:rsid w:val="09322CDD"/>
    <w:rsid w:val="093672CC"/>
    <w:rsid w:val="093E4DD1"/>
    <w:rsid w:val="09B41353"/>
    <w:rsid w:val="0A957D68"/>
    <w:rsid w:val="0B605E89"/>
    <w:rsid w:val="0BE24A92"/>
    <w:rsid w:val="0D2C4AA1"/>
    <w:rsid w:val="0D3013BF"/>
    <w:rsid w:val="0D3F3F02"/>
    <w:rsid w:val="0D5A70A0"/>
    <w:rsid w:val="0D755ACA"/>
    <w:rsid w:val="0E1D7CA0"/>
    <w:rsid w:val="0EB8692A"/>
    <w:rsid w:val="0EC78ED7"/>
    <w:rsid w:val="0F0A41EB"/>
    <w:rsid w:val="0FB62DC3"/>
    <w:rsid w:val="0FD6542C"/>
    <w:rsid w:val="0FFFEE5B"/>
    <w:rsid w:val="10396A80"/>
    <w:rsid w:val="109B728E"/>
    <w:rsid w:val="11211D5C"/>
    <w:rsid w:val="1176322D"/>
    <w:rsid w:val="119C73AB"/>
    <w:rsid w:val="11DD126E"/>
    <w:rsid w:val="125D7547"/>
    <w:rsid w:val="129756BB"/>
    <w:rsid w:val="12C8768D"/>
    <w:rsid w:val="12D117EB"/>
    <w:rsid w:val="131A6D15"/>
    <w:rsid w:val="13673C5B"/>
    <w:rsid w:val="13B20EF0"/>
    <w:rsid w:val="13EB4D04"/>
    <w:rsid w:val="14160BBA"/>
    <w:rsid w:val="143E6D9F"/>
    <w:rsid w:val="14804FB5"/>
    <w:rsid w:val="14BC78D7"/>
    <w:rsid w:val="15204E98"/>
    <w:rsid w:val="154519D6"/>
    <w:rsid w:val="166FC6D9"/>
    <w:rsid w:val="16FD02F1"/>
    <w:rsid w:val="17675CEF"/>
    <w:rsid w:val="179810CD"/>
    <w:rsid w:val="179BA158"/>
    <w:rsid w:val="17E31643"/>
    <w:rsid w:val="18306E78"/>
    <w:rsid w:val="1891530E"/>
    <w:rsid w:val="190420D4"/>
    <w:rsid w:val="19532122"/>
    <w:rsid w:val="19BF49DE"/>
    <w:rsid w:val="19EC5F3E"/>
    <w:rsid w:val="19FF6BC3"/>
    <w:rsid w:val="1ADB56CB"/>
    <w:rsid w:val="1AE2231F"/>
    <w:rsid w:val="1B147B2B"/>
    <w:rsid w:val="1BA52455"/>
    <w:rsid w:val="1BFA2540"/>
    <w:rsid w:val="1C685CBF"/>
    <w:rsid w:val="1C8A48A2"/>
    <w:rsid w:val="1CA35D3D"/>
    <w:rsid w:val="1CC62BE0"/>
    <w:rsid w:val="1CEF0B61"/>
    <w:rsid w:val="1D043D3D"/>
    <w:rsid w:val="1D2267D0"/>
    <w:rsid w:val="1D415BE4"/>
    <w:rsid w:val="1D8D45A2"/>
    <w:rsid w:val="1DEA05E6"/>
    <w:rsid w:val="1DF6357D"/>
    <w:rsid w:val="1DFBAAA1"/>
    <w:rsid w:val="1E6D19A2"/>
    <w:rsid w:val="1E6D1D6B"/>
    <w:rsid w:val="1E846B08"/>
    <w:rsid w:val="1EB9C5B4"/>
    <w:rsid w:val="1F7FD594"/>
    <w:rsid w:val="1FD4D534"/>
    <w:rsid w:val="1FECDA76"/>
    <w:rsid w:val="1FFC359C"/>
    <w:rsid w:val="20330FAE"/>
    <w:rsid w:val="20860416"/>
    <w:rsid w:val="213976B1"/>
    <w:rsid w:val="21AE11C3"/>
    <w:rsid w:val="21D0183B"/>
    <w:rsid w:val="21D90724"/>
    <w:rsid w:val="21F30638"/>
    <w:rsid w:val="21FC7542"/>
    <w:rsid w:val="22BB2431"/>
    <w:rsid w:val="22DF581E"/>
    <w:rsid w:val="23646689"/>
    <w:rsid w:val="23C53DCA"/>
    <w:rsid w:val="23E1191E"/>
    <w:rsid w:val="241B5153"/>
    <w:rsid w:val="242618B4"/>
    <w:rsid w:val="245F0A9F"/>
    <w:rsid w:val="245F6BA3"/>
    <w:rsid w:val="24877AF3"/>
    <w:rsid w:val="251B27DC"/>
    <w:rsid w:val="25710DF4"/>
    <w:rsid w:val="25B16C0B"/>
    <w:rsid w:val="26720B0E"/>
    <w:rsid w:val="2686157B"/>
    <w:rsid w:val="26D58A70"/>
    <w:rsid w:val="26E60CF3"/>
    <w:rsid w:val="26EB6276"/>
    <w:rsid w:val="279F80A3"/>
    <w:rsid w:val="27CFC504"/>
    <w:rsid w:val="27D701DD"/>
    <w:rsid w:val="27E653BB"/>
    <w:rsid w:val="27EB5A3D"/>
    <w:rsid w:val="27FD3F31"/>
    <w:rsid w:val="2829632C"/>
    <w:rsid w:val="28DDA8A3"/>
    <w:rsid w:val="29494805"/>
    <w:rsid w:val="296555C0"/>
    <w:rsid w:val="296F04F7"/>
    <w:rsid w:val="29CF920F"/>
    <w:rsid w:val="29F03026"/>
    <w:rsid w:val="2AF0288D"/>
    <w:rsid w:val="2B565DE4"/>
    <w:rsid w:val="2BB7682A"/>
    <w:rsid w:val="2BBD3AC9"/>
    <w:rsid w:val="2BBE1628"/>
    <w:rsid w:val="2BBECD62"/>
    <w:rsid w:val="2BCD69E2"/>
    <w:rsid w:val="2BF32B50"/>
    <w:rsid w:val="2C333842"/>
    <w:rsid w:val="2CC62717"/>
    <w:rsid w:val="2D5E4F25"/>
    <w:rsid w:val="2D846F6E"/>
    <w:rsid w:val="2DBD69FE"/>
    <w:rsid w:val="2DCB6776"/>
    <w:rsid w:val="2DF2467F"/>
    <w:rsid w:val="2E3F483A"/>
    <w:rsid w:val="2E6052E5"/>
    <w:rsid w:val="2E640848"/>
    <w:rsid w:val="2EBD0A89"/>
    <w:rsid w:val="2ED701E9"/>
    <w:rsid w:val="2EDD0DF0"/>
    <w:rsid w:val="2F512182"/>
    <w:rsid w:val="2F7FFCDB"/>
    <w:rsid w:val="2FBDB298"/>
    <w:rsid w:val="2FE5274A"/>
    <w:rsid w:val="2FFFC7AE"/>
    <w:rsid w:val="307C3675"/>
    <w:rsid w:val="307E2F0C"/>
    <w:rsid w:val="308D34FA"/>
    <w:rsid w:val="30B55B3A"/>
    <w:rsid w:val="312961E0"/>
    <w:rsid w:val="31663AA3"/>
    <w:rsid w:val="31E62692"/>
    <w:rsid w:val="31F73A70"/>
    <w:rsid w:val="31F917F9"/>
    <w:rsid w:val="32010077"/>
    <w:rsid w:val="327A70B3"/>
    <w:rsid w:val="333BE63E"/>
    <w:rsid w:val="33DD1C70"/>
    <w:rsid w:val="33E74FBE"/>
    <w:rsid w:val="33F90874"/>
    <w:rsid w:val="340759B6"/>
    <w:rsid w:val="34451707"/>
    <w:rsid w:val="347B7ED8"/>
    <w:rsid w:val="34934912"/>
    <w:rsid w:val="34FE5B38"/>
    <w:rsid w:val="34FF5F4E"/>
    <w:rsid w:val="34FF69E5"/>
    <w:rsid w:val="3577E071"/>
    <w:rsid w:val="35856B8B"/>
    <w:rsid w:val="35983B4E"/>
    <w:rsid w:val="35BDCAAE"/>
    <w:rsid w:val="35DF58F9"/>
    <w:rsid w:val="365F283F"/>
    <w:rsid w:val="36620AD8"/>
    <w:rsid w:val="367EB1EB"/>
    <w:rsid w:val="36AF55D5"/>
    <w:rsid w:val="36DE6DDD"/>
    <w:rsid w:val="36E3532C"/>
    <w:rsid w:val="36FFEA89"/>
    <w:rsid w:val="375F1C64"/>
    <w:rsid w:val="3781812C"/>
    <w:rsid w:val="37B11EFE"/>
    <w:rsid w:val="37E47A68"/>
    <w:rsid w:val="37F6DA83"/>
    <w:rsid w:val="3829202E"/>
    <w:rsid w:val="38615CBD"/>
    <w:rsid w:val="38DD5D94"/>
    <w:rsid w:val="38F75FCF"/>
    <w:rsid w:val="397B9E09"/>
    <w:rsid w:val="39E72303"/>
    <w:rsid w:val="39EE11F6"/>
    <w:rsid w:val="39FD5F70"/>
    <w:rsid w:val="3A027DFD"/>
    <w:rsid w:val="3A474B6E"/>
    <w:rsid w:val="3AA21CB5"/>
    <w:rsid w:val="3ADFF81B"/>
    <w:rsid w:val="3AE27556"/>
    <w:rsid w:val="3AFFA503"/>
    <w:rsid w:val="3B3F6B4B"/>
    <w:rsid w:val="3B7E5BFE"/>
    <w:rsid w:val="3BA75F12"/>
    <w:rsid w:val="3BD9663B"/>
    <w:rsid w:val="3C0F4143"/>
    <w:rsid w:val="3C687B58"/>
    <w:rsid w:val="3C7633AE"/>
    <w:rsid w:val="3C7D17F0"/>
    <w:rsid w:val="3CBF14BF"/>
    <w:rsid w:val="3CDA5FFF"/>
    <w:rsid w:val="3CDF674A"/>
    <w:rsid w:val="3D0E0658"/>
    <w:rsid w:val="3D4700FA"/>
    <w:rsid w:val="3D6DDDB8"/>
    <w:rsid w:val="3DBE5467"/>
    <w:rsid w:val="3DD7DBE4"/>
    <w:rsid w:val="3DEA6426"/>
    <w:rsid w:val="3DF26A2B"/>
    <w:rsid w:val="3DF3A037"/>
    <w:rsid w:val="3DFA045C"/>
    <w:rsid w:val="3DFF048E"/>
    <w:rsid w:val="3E226E0B"/>
    <w:rsid w:val="3E33E35F"/>
    <w:rsid w:val="3E5F7A13"/>
    <w:rsid w:val="3EFA411C"/>
    <w:rsid w:val="3EFC9846"/>
    <w:rsid w:val="3F6B1F6F"/>
    <w:rsid w:val="3F75E8A5"/>
    <w:rsid w:val="3F7FAAB1"/>
    <w:rsid w:val="3FBD5B00"/>
    <w:rsid w:val="3FC95943"/>
    <w:rsid w:val="3FD72D6F"/>
    <w:rsid w:val="3FE775EB"/>
    <w:rsid w:val="3FF337AB"/>
    <w:rsid w:val="3FFB2F51"/>
    <w:rsid w:val="3FFFCA79"/>
    <w:rsid w:val="406E3053"/>
    <w:rsid w:val="407A3F3C"/>
    <w:rsid w:val="40814DB1"/>
    <w:rsid w:val="40F75BF4"/>
    <w:rsid w:val="42110A8E"/>
    <w:rsid w:val="42D66834"/>
    <w:rsid w:val="42F8382F"/>
    <w:rsid w:val="43980805"/>
    <w:rsid w:val="442246EC"/>
    <w:rsid w:val="44323C1C"/>
    <w:rsid w:val="44817336"/>
    <w:rsid w:val="44C13C03"/>
    <w:rsid w:val="45610B85"/>
    <w:rsid w:val="45D21876"/>
    <w:rsid w:val="45FF02BC"/>
    <w:rsid w:val="463D16E0"/>
    <w:rsid w:val="46693E66"/>
    <w:rsid w:val="46A3710F"/>
    <w:rsid w:val="46E10036"/>
    <w:rsid w:val="4749541C"/>
    <w:rsid w:val="477C4773"/>
    <w:rsid w:val="4788367B"/>
    <w:rsid w:val="479559FA"/>
    <w:rsid w:val="47E4648C"/>
    <w:rsid w:val="47FD78BF"/>
    <w:rsid w:val="487B45A8"/>
    <w:rsid w:val="488E158C"/>
    <w:rsid w:val="48EE37D0"/>
    <w:rsid w:val="48EF8FA0"/>
    <w:rsid w:val="49113C31"/>
    <w:rsid w:val="49B7646F"/>
    <w:rsid w:val="49CD7E50"/>
    <w:rsid w:val="49F26FAB"/>
    <w:rsid w:val="49FB934C"/>
    <w:rsid w:val="4A3476EC"/>
    <w:rsid w:val="4A5F5446"/>
    <w:rsid w:val="4A742795"/>
    <w:rsid w:val="4B545EFF"/>
    <w:rsid w:val="4B8D445F"/>
    <w:rsid w:val="4BC61C51"/>
    <w:rsid w:val="4BF71954"/>
    <w:rsid w:val="4BFEA8F6"/>
    <w:rsid w:val="4C941911"/>
    <w:rsid w:val="4CAA84DF"/>
    <w:rsid w:val="4CF750B3"/>
    <w:rsid w:val="4D106CCD"/>
    <w:rsid w:val="4D736794"/>
    <w:rsid w:val="4E276BBC"/>
    <w:rsid w:val="4E3FC12F"/>
    <w:rsid w:val="4E686ACB"/>
    <w:rsid w:val="4EE02AE8"/>
    <w:rsid w:val="4EFD6C71"/>
    <w:rsid w:val="4EFF8D0B"/>
    <w:rsid w:val="4F4F30D7"/>
    <w:rsid w:val="4F776DF1"/>
    <w:rsid w:val="4FAE188E"/>
    <w:rsid w:val="4FB0B6A2"/>
    <w:rsid w:val="4FBF00B6"/>
    <w:rsid w:val="4FD30912"/>
    <w:rsid w:val="4FD70686"/>
    <w:rsid w:val="504D1857"/>
    <w:rsid w:val="50A36DB4"/>
    <w:rsid w:val="50AA7416"/>
    <w:rsid w:val="50FDD433"/>
    <w:rsid w:val="514250A2"/>
    <w:rsid w:val="51605392"/>
    <w:rsid w:val="516379F6"/>
    <w:rsid w:val="51E93A8E"/>
    <w:rsid w:val="520D49CA"/>
    <w:rsid w:val="521E55EB"/>
    <w:rsid w:val="5278524A"/>
    <w:rsid w:val="52E87C01"/>
    <w:rsid w:val="52F46A99"/>
    <w:rsid w:val="530D76BF"/>
    <w:rsid w:val="534E3036"/>
    <w:rsid w:val="53754C2A"/>
    <w:rsid w:val="53D60205"/>
    <w:rsid w:val="53E82644"/>
    <w:rsid w:val="53F76634"/>
    <w:rsid w:val="53FDC9C3"/>
    <w:rsid w:val="54F3366F"/>
    <w:rsid w:val="5515547D"/>
    <w:rsid w:val="552A70C2"/>
    <w:rsid w:val="5530705E"/>
    <w:rsid w:val="55674A80"/>
    <w:rsid w:val="55E9B417"/>
    <w:rsid w:val="5620605A"/>
    <w:rsid w:val="564E066D"/>
    <w:rsid w:val="56A43BA8"/>
    <w:rsid w:val="56FB257E"/>
    <w:rsid w:val="57280388"/>
    <w:rsid w:val="57BB07F6"/>
    <w:rsid w:val="57DFEC59"/>
    <w:rsid w:val="57EB3A26"/>
    <w:rsid w:val="57EFDFB3"/>
    <w:rsid w:val="57F9CBC7"/>
    <w:rsid w:val="57FCED7A"/>
    <w:rsid w:val="581827A5"/>
    <w:rsid w:val="58280026"/>
    <w:rsid w:val="583FCEC7"/>
    <w:rsid w:val="58D73AD4"/>
    <w:rsid w:val="59186B46"/>
    <w:rsid w:val="592F0DFD"/>
    <w:rsid w:val="594A46F0"/>
    <w:rsid w:val="595C3307"/>
    <w:rsid w:val="59DF5955"/>
    <w:rsid w:val="59E021B6"/>
    <w:rsid w:val="59EE9EDC"/>
    <w:rsid w:val="59FF5676"/>
    <w:rsid w:val="5A5B54BC"/>
    <w:rsid w:val="5A8C3849"/>
    <w:rsid w:val="5AB0EC78"/>
    <w:rsid w:val="5AC26B25"/>
    <w:rsid w:val="5ACC1162"/>
    <w:rsid w:val="5AF46973"/>
    <w:rsid w:val="5B15686E"/>
    <w:rsid w:val="5B5D2309"/>
    <w:rsid w:val="5B9EA6C8"/>
    <w:rsid w:val="5BFF293C"/>
    <w:rsid w:val="5C1A147E"/>
    <w:rsid w:val="5C4756C5"/>
    <w:rsid w:val="5C7D7CE4"/>
    <w:rsid w:val="5CBBAA8D"/>
    <w:rsid w:val="5CD92751"/>
    <w:rsid w:val="5CE27295"/>
    <w:rsid w:val="5CF70C61"/>
    <w:rsid w:val="5CF8565F"/>
    <w:rsid w:val="5D1B2270"/>
    <w:rsid w:val="5D5B30CC"/>
    <w:rsid w:val="5D6C0A9C"/>
    <w:rsid w:val="5D9E2036"/>
    <w:rsid w:val="5DB3DAC6"/>
    <w:rsid w:val="5DD46D7A"/>
    <w:rsid w:val="5DFB2A12"/>
    <w:rsid w:val="5E046BE5"/>
    <w:rsid w:val="5E977E03"/>
    <w:rsid w:val="5EB65795"/>
    <w:rsid w:val="5EBFF048"/>
    <w:rsid w:val="5ED467F8"/>
    <w:rsid w:val="5EDE1B27"/>
    <w:rsid w:val="5EE7E049"/>
    <w:rsid w:val="5EF73C5D"/>
    <w:rsid w:val="5EFF0E1F"/>
    <w:rsid w:val="5EFF6105"/>
    <w:rsid w:val="5EFFFFAC"/>
    <w:rsid w:val="5F5A6A18"/>
    <w:rsid w:val="5F5DF72E"/>
    <w:rsid w:val="5F61D15E"/>
    <w:rsid w:val="5F7951A2"/>
    <w:rsid w:val="5F7D57DE"/>
    <w:rsid w:val="5F832E1F"/>
    <w:rsid w:val="5F8B6F44"/>
    <w:rsid w:val="5F8E7BB0"/>
    <w:rsid w:val="5F8F5EDC"/>
    <w:rsid w:val="5F9D2D8C"/>
    <w:rsid w:val="5F9FDF67"/>
    <w:rsid w:val="5FA42901"/>
    <w:rsid w:val="5FAEA67B"/>
    <w:rsid w:val="5FB7B459"/>
    <w:rsid w:val="5FBC9E7A"/>
    <w:rsid w:val="5FCFE5FC"/>
    <w:rsid w:val="5FDB367E"/>
    <w:rsid w:val="5FDFA435"/>
    <w:rsid w:val="5FF31C80"/>
    <w:rsid w:val="5FF90DBB"/>
    <w:rsid w:val="5FF946F9"/>
    <w:rsid w:val="5FFC5290"/>
    <w:rsid w:val="5FFD93E1"/>
    <w:rsid w:val="5FFE0BB6"/>
    <w:rsid w:val="60994CE6"/>
    <w:rsid w:val="611963AD"/>
    <w:rsid w:val="613259C4"/>
    <w:rsid w:val="618F174E"/>
    <w:rsid w:val="61CE6037"/>
    <w:rsid w:val="61E0287F"/>
    <w:rsid w:val="61E27500"/>
    <w:rsid w:val="627514EF"/>
    <w:rsid w:val="628C6F15"/>
    <w:rsid w:val="62C54230"/>
    <w:rsid w:val="62DD0238"/>
    <w:rsid w:val="62EB19CE"/>
    <w:rsid w:val="63012FDB"/>
    <w:rsid w:val="634C923B"/>
    <w:rsid w:val="63534972"/>
    <w:rsid w:val="635912A1"/>
    <w:rsid w:val="635FE659"/>
    <w:rsid w:val="63AA664C"/>
    <w:rsid w:val="63B707AA"/>
    <w:rsid w:val="64066A9C"/>
    <w:rsid w:val="6456121E"/>
    <w:rsid w:val="64733B3E"/>
    <w:rsid w:val="653B8863"/>
    <w:rsid w:val="65400FA6"/>
    <w:rsid w:val="65D71843"/>
    <w:rsid w:val="65EEA963"/>
    <w:rsid w:val="660A3D60"/>
    <w:rsid w:val="66805F06"/>
    <w:rsid w:val="66BCB1EF"/>
    <w:rsid w:val="66D10678"/>
    <w:rsid w:val="66D121A8"/>
    <w:rsid w:val="66DFF68E"/>
    <w:rsid w:val="66E1215D"/>
    <w:rsid w:val="67287EB8"/>
    <w:rsid w:val="6729627D"/>
    <w:rsid w:val="67510D27"/>
    <w:rsid w:val="6776DBFA"/>
    <w:rsid w:val="67BAA38C"/>
    <w:rsid w:val="67E72CF3"/>
    <w:rsid w:val="67ED6D80"/>
    <w:rsid w:val="67F34EF8"/>
    <w:rsid w:val="67F95DFA"/>
    <w:rsid w:val="67F9A06E"/>
    <w:rsid w:val="67FE484C"/>
    <w:rsid w:val="67FFA36B"/>
    <w:rsid w:val="68C637BB"/>
    <w:rsid w:val="68C93151"/>
    <w:rsid w:val="697A06A1"/>
    <w:rsid w:val="699BE822"/>
    <w:rsid w:val="69AE73D2"/>
    <w:rsid w:val="69F182C6"/>
    <w:rsid w:val="69F63B44"/>
    <w:rsid w:val="69FFA265"/>
    <w:rsid w:val="6A785F3B"/>
    <w:rsid w:val="6AFDF164"/>
    <w:rsid w:val="6B39B1AE"/>
    <w:rsid w:val="6B3BE431"/>
    <w:rsid w:val="6B6FBBAD"/>
    <w:rsid w:val="6BAD6B1C"/>
    <w:rsid w:val="6BCF3ED8"/>
    <w:rsid w:val="6BE360B0"/>
    <w:rsid w:val="6BE5F4D1"/>
    <w:rsid w:val="6C963EB1"/>
    <w:rsid w:val="6CDB13A5"/>
    <w:rsid w:val="6CE800E8"/>
    <w:rsid w:val="6CFDC3AA"/>
    <w:rsid w:val="6D0527A5"/>
    <w:rsid w:val="6D0925C3"/>
    <w:rsid w:val="6D2C3579"/>
    <w:rsid w:val="6D411C6D"/>
    <w:rsid w:val="6D5EAE86"/>
    <w:rsid w:val="6D7E11D4"/>
    <w:rsid w:val="6D9B2097"/>
    <w:rsid w:val="6DCE4F52"/>
    <w:rsid w:val="6DFF5AA7"/>
    <w:rsid w:val="6E35477B"/>
    <w:rsid w:val="6E733B7A"/>
    <w:rsid w:val="6E9F3A02"/>
    <w:rsid w:val="6ECA3820"/>
    <w:rsid w:val="6EEFBEF0"/>
    <w:rsid w:val="6EF07463"/>
    <w:rsid w:val="6EFE279C"/>
    <w:rsid w:val="6F34416D"/>
    <w:rsid w:val="6F37F03C"/>
    <w:rsid w:val="6F3F6C54"/>
    <w:rsid w:val="6F461182"/>
    <w:rsid w:val="6F4F46C4"/>
    <w:rsid w:val="6F5140D2"/>
    <w:rsid w:val="6F7D7352"/>
    <w:rsid w:val="6F7FCE1A"/>
    <w:rsid w:val="6F93D871"/>
    <w:rsid w:val="6FBE3ADD"/>
    <w:rsid w:val="6FC36639"/>
    <w:rsid w:val="6FCD379E"/>
    <w:rsid w:val="6FD703D8"/>
    <w:rsid w:val="6FD75D9F"/>
    <w:rsid w:val="6FDB9128"/>
    <w:rsid w:val="6FDE3BF7"/>
    <w:rsid w:val="6FE87125"/>
    <w:rsid w:val="6FEF685C"/>
    <w:rsid w:val="6FFECFBF"/>
    <w:rsid w:val="6FFF2EF6"/>
    <w:rsid w:val="700C6164"/>
    <w:rsid w:val="707F4ABF"/>
    <w:rsid w:val="70981226"/>
    <w:rsid w:val="70A74EF2"/>
    <w:rsid w:val="70F801CC"/>
    <w:rsid w:val="719323D5"/>
    <w:rsid w:val="71A10E3D"/>
    <w:rsid w:val="71FB0AEF"/>
    <w:rsid w:val="71FB9195"/>
    <w:rsid w:val="724A1A17"/>
    <w:rsid w:val="72C656B8"/>
    <w:rsid w:val="72FF7B94"/>
    <w:rsid w:val="73263FCD"/>
    <w:rsid w:val="734D6693"/>
    <w:rsid w:val="73CC2828"/>
    <w:rsid w:val="73FF018C"/>
    <w:rsid w:val="74257145"/>
    <w:rsid w:val="746D0320"/>
    <w:rsid w:val="74C326B8"/>
    <w:rsid w:val="74FDFB40"/>
    <w:rsid w:val="753B19F0"/>
    <w:rsid w:val="754322A7"/>
    <w:rsid w:val="754F9147"/>
    <w:rsid w:val="75BAED58"/>
    <w:rsid w:val="75BF41EB"/>
    <w:rsid w:val="75BF7A91"/>
    <w:rsid w:val="75E589B7"/>
    <w:rsid w:val="75F6D8BB"/>
    <w:rsid w:val="75F720BD"/>
    <w:rsid w:val="75FEC953"/>
    <w:rsid w:val="76023B80"/>
    <w:rsid w:val="76297925"/>
    <w:rsid w:val="766017CA"/>
    <w:rsid w:val="76836729"/>
    <w:rsid w:val="76C46BFB"/>
    <w:rsid w:val="76F76E9A"/>
    <w:rsid w:val="76FBD5B3"/>
    <w:rsid w:val="76FFC640"/>
    <w:rsid w:val="7755FB1B"/>
    <w:rsid w:val="775A6BB0"/>
    <w:rsid w:val="776F22FC"/>
    <w:rsid w:val="777B76E8"/>
    <w:rsid w:val="77B7F5E5"/>
    <w:rsid w:val="77CDE86C"/>
    <w:rsid w:val="77CF8B7D"/>
    <w:rsid w:val="77D33590"/>
    <w:rsid w:val="77D9E2A5"/>
    <w:rsid w:val="77DD3A10"/>
    <w:rsid w:val="77DF7284"/>
    <w:rsid w:val="77EFFDA9"/>
    <w:rsid w:val="77F429D4"/>
    <w:rsid w:val="77F7E8D1"/>
    <w:rsid w:val="77FF682B"/>
    <w:rsid w:val="78D84FD6"/>
    <w:rsid w:val="78F847A4"/>
    <w:rsid w:val="790F2934"/>
    <w:rsid w:val="79754521"/>
    <w:rsid w:val="79A060C0"/>
    <w:rsid w:val="79B47564"/>
    <w:rsid w:val="79BD76F6"/>
    <w:rsid w:val="79EEF13D"/>
    <w:rsid w:val="79F6D8FC"/>
    <w:rsid w:val="79FF8587"/>
    <w:rsid w:val="7A124EC1"/>
    <w:rsid w:val="7A5AFB41"/>
    <w:rsid w:val="7A5C66A0"/>
    <w:rsid w:val="7A6123E8"/>
    <w:rsid w:val="7A6FC43B"/>
    <w:rsid w:val="7A763274"/>
    <w:rsid w:val="7AAB0A8E"/>
    <w:rsid w:val="7AAF5ABB"/>
    <w:rsid w:val="7AB2F8DF"/>
    <w:rsid w:val="7AD99910"/>
    <w:rsid w:val="7B033019"/>
    <w:rsid w:val="7B590F54"/>
    <w:rsid w:val="7B5F3DB7"/>
    <w:rsid w:val="7B6FA1A4"/>
    <w:rsid w:val="7B7300C3"/>
    <w:rsid w:val="7B7F8955"/>
    <w:rsid w:val="7B984D8E"/>
    <w:rsid w:val="7B9F6B9B"/>
    <w:rsid w:val="7BB97C18"/>
    <w:rsid w:val="7BBB6F04"/>
    <w:rsid w:val="7BBD37A9"/>
    <w:rsid w:val="7BBEC2F9"/>
    <w:rsid w:val="7BBF709D"/>
    <w:rsid w:val="7BC5B66B"/>
    <w:rsid w:val="7BF5B327"/>
    <w:rsid w:val="7BFB33F0"/>
    <w:rsid w:val="7BFD3969"/>
    <w:rsid w:val="7BFEE06D"/>
    <w:rsid w:val="7BFF11E3"/>
    <w:rsid w:val="7C32630F"/>
    <w:rsid w:val="7C8F4B9D"/>
    <w:rsid w:val="7CDB03A1"/>
    <w:rsid w:val="7CE77ABE"/>
    <w:rsid w:val="7CF54262"/>
    <w:rsid w:val="7CFFBFEF"/>
    <w:rsid w:val="7D7A44D2"/>
    <w:rsid w:val="7D7F19E1"/>
    <w:rsid w:val="7D9D691A"/>
    <w:rsid w:val="7D9FEBB1"/>
    <w:rsid w:val="7DA068B4"/>
    <w:rsid w:val="7DAFBB89"/>
    <w:rsid w:val="7DB7A91C"/>
    <w:rsid w:val="7DB7FEB8"/>
    <w:rsid w:val="7DB90EA5"/>
    <w:rsid w:val="7DBBC02E"/>
    <w:rsid w:val="7DDF0124"/>
    <w:rsid w:val="7DE355F6"/>
    <w:rsid w:val="7DEF4536"/>
    <w:rsid w:val="7DEFF80A"/>
    <w:rsid w:val="7DF60B24"/>
    <w:rsid w:val="7DF905F7"/>
    <w:rsid w:val="7DFA3CBE"/>
    <w:rsid w:val="7DFA3E62"/>
    <w:rsid w:val="7DFE6DE3"/>
    <w:rsid w:val="7DFF7E8C"/>
    <w:rsid w:val="7E1A8FD6"/>
    <w:rsid w:val="7E3A69CC"/>
    <w:rsid w:val="7E3F9051"/>
    <w:rsid w:val="7E632F2B"/>
    <w:rsid w:val="7E7A4C2D"/>
    <w:rsid w:val="7E91116E"/>
    <w:rsid w:val="7EBCCD38"/>
    <w:rsid w:val="7EBF1F70"/>
    <w:rsid w:val="7ECFCD9F"/>
    <w:rsid w:val="7EDA0D42"/>
    <w:rsid w:val="7EE2E574"/>
    <w:rsid w:val="7EEB221B"/>
    <w:rsid w:val="7EEE0587"/>
    <w:rsid w:val="7EEE5E73"/>
    <w:rsid w:val="7EFC1B0E"/>
    <w:rsid w:val="7EFE61DE"/>
    <w:rsid w:val="7EFE82AC"/>
    <w:rsid w:val="7EFF36B0"/>
    <w:rsid w:val="7EFF76FA"/>
    <w:rsid w:val="7EFFD84D"/>
    <w:rsid w:val="7F2E9A00"/>
    <w:rsid w:val="7F505163"/>
    <w:rsid w:val="7F5B509F"/>
    <w:rsid w:val="7F6E3B73"/>
    <w:rsid w:val="7F732A3F"/>
    <w:rsid w:val="7F774F57"/>
    <w:rsid w:val="7F7D2983"/>
    <w:rsid w:val="7F9D0C8E"/>
    <w:rsid w:val="7FA7E88D"/>
    <w:rsid w:val="7FAC55AE"/>
    <w:rsid w:val="7FADEF05"/>
    <w:rsid w:val="7FAFD61C"/>
    <w:rsid w:val="7FB9A135"/>
    <w:rsid w:val="7FBE4A8C"/>
    <w:rsid w:val="7FBE5D18"/>
    <w:rsid w:val="7FBFF0B6"/>
    <w:rsid w:val="7FC47264"/>
    <w:rsid w:val="7FD73AB8"/>
    <w:rsid w:val="7FDB21D2"/>
    <w:rsid w:val="7FDBF153"/>
    <w:rsid w:val="7FDDEFE1"/>
    <w:rsid w:val="7FDFB550"/>
    <w:rsid w:val="7FDFEA8F"/>
    <w:rsid w:val="7FE1BDDF"/>
    <w:rsid w:val="7FE98EAC"/>
    <w:rsid w:val="7FEA27F9"/>
    <w:rsid w:val="7FED04E3"/>
    <w:rsid w:val="7FEF40B0"/>
    <w:rsid w:val="7FEF5C27"/>
    <w:rsid w:val="7FEFD4AD"/>
    <w:rsid w:val="7FF1421E"/>
    <w:rsid w:val="7FF7A2CB"/>
    <w:rsid w:val="7FFB68B4"/>
    <w:rsid w:val="7FFBCD45"/>
    <w:rsid w:val="7FFD2ECA"/>
    <w:rsid w:val="7FFD4E8D"/>
    <w:rsid w:val="7FFD7A5A"/>
    <w:rsid w:val="7FFEA6F4"/>
    <w:rsid w:val="7FFF072D"/>
    <w:rsid w:val="7FFF36A5"/>
    <w:rsid w:val="7FFF425A"/>
    <w:rsid w:val="7FFF5DAA"/>
    <w:rsid w:val="7FFFDCA0"/>
    <w:rsid w:val="8D12E075"/>
    <w:rsid w:val="8E7BA6E0"/>
    <w:rsid w:val="8F6D0D5A"/>
    <w:rsid w:val="8FFFBC09"/>
    <w:rsid w:val="92A992DB"/>
    <w:rsid w:val="93B7B33E"/>
    <w:rsid w:val="9B6BE1AC"/>
    <w:rsid w:val="9C4FF0FE"/>
    <w:rsid w:val="9D75EC95"/>
    <w:rsid w:val="9E6E8EA8"/>
    <w:rsid w:val="9E7D44BB"/>
    <w:rsid w:val="9EE5F7D7"/>
    <w:rsid w:val="9EFE4814"/>
    <w:rsid w:val="9EFF30DE"/>
    <w:rsid w:val="9EFF4800"/>
    <w:rsid w:val="9F1F0120"/>
    <w:rsid w:val="9FBE4A1C"/>
    <w:rsid w:val="9FFB47A4"/>
    <w:rsid w:val="9FFE9FDA"/>
    <w:rsid w:val="A06E5EC6"/>
    <w:rsid w:val="A7D989A6"/>
    <w:rsid w:val="A93ECA4B"/>
    <w:rsid w:val="A97F3EB9"/>
    <w:rsid w:val="AB53A715"/>
    <w:rsid w:val="ACCF81CD"/>
    <w:rsid w:val="AEEE343C"/>
    <w:rsid w:val="AEEF98F3"/>
    <w:rsid w:val="AF7C12C9"/>
    <w:rsid w:val="AF7F1D5D"/>
    <w:rsid w:val="AFB73D1A"/>
    <w:rsid w:val="AFD4E483"/>
    <w:rsid w:val="AFE62187"/>
    <w:rsid w:val="AFED0534"/>
    <w:rsid w:val="AFF367FB"/>
    <w:rsid w:val="AFFBE080"/>
    <w:rsid w:val="AFFF6222"/>
    <w:rsid w:val="B16F93DE"/>
    <w:rsid w:val="B2FD0E9C"/>
    <w:rsid w:val="B3AB1E43"/>
    <w:rsid w:val="B3FF5F55"/>
    <w:rsid w:val="B5766F1B"/>
    <w:rsid w:val="B5C6B743"/>
    <w:rsid w:val="B5FFB794"/>
    <w:rsid w:val="B69F5BCB"/>
    <w:rsid w:val="B6D3FB61"/>
    <w:rsid w:val="B6EB2B64"/>
    <w:rsid w:val="B6FECF2F"/>
    <w:rsid w:val="B73F16CA"/>
    <w:rsid w:val="B76FB02E"/>
    <w:rsid w:val="B7795138"/>
    <w:rsid w:val="B799DA0B"/>
    <w:rsid w:val="B7AF192F"/>
    <w:rsid w:val="B7EF19C0"/>
    <w:rsid w:val="B7F1D83F"/>
    <w:rsid w:val="B7F72174"/>
    <w:rsid w:val="B8BF7407"/>
    <w:rsid w:val="B8FC1470"/>
    <w:rsid w:val="BA5B9E19"/>
    <w:rsid w:val="BB6F38E1"/>
    <w:rsid w:val="BB9FDDEC"/>
    <w:rsid w:val="BBA3B9B8"/>
    <w:rsid w:val="BBAF9127"/>
    <w:rsid w:val="BBBDEFD6"/>
    <w:rsid w:val="BBDC0B41"/>
    <w:rsid w:val="BBE65417"/>
    <w:rsid w:val="BBF384FD"/>
    <w:rsid w:val="BCAFFB49"/>
    <w:rsid w:val="BD2B4EC5"/>
    <w:rsid w:val="BDBB8618"/>
    <w:rsid w:val="BDBF9471"/>
    <w:rsid w:val="BDC7B11A"/>
    <w:rsid w:val="BDCB496E"/>
    <w:rsid w:val="BDE37577"/>
    <w:rsid w:val="BDEF3BE3"/>
    <w:rsid w:val="BDF1ACD6"/>
    <w:rsid w:val="BDF9C06A"/>
    <w:rsid w:val="BDFBD516"/>
    <w:rsid w:val="BDFFBA48"/>
    <w:rsid w:val="BE5F4DFE"/>
    <w:rsid w:val="BE65A832"/>
    <w:rsid w:val="BE7F56DE"/>
    <w:rsid w:val="BEAE743D"/>
    <w:rsid w:val="BEDF9FA8"/>
    <w:rsid w:val="BEE52C0C"/>
    <w:rsid w:val="BEEBB4F9"/>
    <w:rsid w:val="BEF50165"/>
    <w:rsid w:val="BEF754FB"/>
    <w:rsid w:val="BEF7D738"/>
    <w:rsid w:val="BF28BA9F"/>
    <w:rsid w:val="BF2F59FB"/>
    <w:rsid w:val="BF375537"/>
    <w:rsid w:val="BF5A3422"/>
    <w:rsid w:val="BF75E790"/>
    <w:rsid w:val="BF7FEC29"/>
    <w:rsid w:val="BFADF772"/>
    <w:rsid w:val="BFAF481D"/>
    <w:rsid w:val="BFC9422C"/>
    <w:rsid w:val="BFDB1CFE"/>
    <w:rsid w:val="BFDB54E8"/>
    <w:rsid w:val="BFDF3564"/>
    <w:rsid w:val="BFEBA4C0"/>
    <w:rsid w:val="BFECA60B"/>
    <w:rsid w:val="BFEF36F3"/>
    <w:rsid w:val="BFF1A56E"/>
    <w:rsid w:val="BFF68F3B"/>
    <w:rsid w:val="BFF719E9"/>
    <w:rsid w:val="BFF7CDEC"/>
    <w:rsid w:val="BFFC60B9"/>
    <w:rsid w:val="BFFF855B"/>
    <w:rsid w:val="BFFFBDEE"/>
    <w:rsid w:val="C09352C1"/>
    <w:rsid w:val="C62F6EBA"/>
    <w:rsid w:val="C76B0121"/>
    <w:rsid w:val="CA7F182E"/>
    <w:rsid w:val="CAFA7FCD"/>
    <w:rsid w:val="CBD9D8D8"/>
    <w:rsid w:val="CCFECE91"/>
    <w:rsid w:val="CD7B7F02"/>
    <w:rsid w:val="CEFEFFB6"/>
    <w:rsid w:val="CF7B40C1"/>
    <w:rsid w:val="CF7F9E6D"/>
    <w:rsid w:val="CFAFB242"/>
    <w:rsid w:val="CFD1961A"/>
    <w:rsid w:val="CFDFD534"/>
    <w:rsid w:val="CFED65B3"/>
    <w:rsid w:val="D1DE2D72"/>
    <w:rsid w:val="D3AE940D"/>
    <w:rsid w:val="D563DA3E"/>
    <w:rsid w:val="D57C4EB7"/>
    <w:rsid w:val="D5DE3689"/>
    <w:rsid w:val="D5FD9C4D"/>
    <w:rsid w:val="D67EAE7F"/>
    <w:rsid w:val="D6DFDB29"/>
    <w:rsid w:val="D6FB1581"/>
    <w:rsid w:val="D70FB222"/>
    <w:rsid w:val="D77D5489"/>
    <w:rsid w:val="D7D53A70"/>
    <w:rsid w:val="D7D9D86E"/>
    <w:rsid w:val="D7DEEC07"/>
    <w:rsid w:val="D7FF3148"/>
    <w:rsid w:val="D91BA074"/>
    <w:rsid w:val="D98DBC7B"/>
    <w:rsid w:val="DA3FA03F"/>
    <w:rsid w:val="DB8F5369"/>
    <w:rsid w:val="DBB3CB11"/>
    <w:rsid w:val="DBE451E0"/>
    <w:rsid w:val="DBF7CF48"/>
    <w:rsid w:val="DCDF5D92"/>
    <w:rsid w:val="DD7AA360"/>
    <w:rsid w:val="DDB7CAA8"/>
    <w:rsid w:val="DDBF263E"/>
    <w:rsid w:val="DDBF33BB"/>
    <w:rsid w:val="DDFFEE5D"/>
    <w:rsid w:val="DE43AFB2"/>
    <w:rsid w:val="DE78235F"/>
    <w:rsid w:val="DE7F6759"/>
    <w:rsid w:val="DE7F6AAA"/>
    <w:rsid w:val="DE7FCB33"/>
    <w:rsid w:val="DEBAD89F"/>
    <w:rsid w:val="DEDED01C"/>
    <w:rsid w:val="DEE2D4E0"/>
    <w:rsid w:val="DEEFE6F1"/>
    <w:rsid w:val="DEFE2443"/>
    <w:rsid w:val="DF32A402"/>
    <w:rsid w:val="DF4F55EE"/>
    <w:rsid w:val="DF63B17E"/>
    <w:rsid w:val="DF64AEFE"/>
    <w:rsid w:val="DF6FACDE"/>
    <w:rsid w:val="DF7947BC"/>
    <w:rsid w:val="DFB28E1B"/>
    <w:rsid w:val="DFB4C426"/>
    <w:rsid w:val="DFBD8886"/>
    <w:rsid w:val="DFBFBC30"/>
    <w:rsid w:val="DFC5EB4C"/>
    <w:rsid w:val="DFDD7A87"/>
    <w:rsid w:val="DFDFC06C"/>
    <w:rsid w:val="DFEBA6B1"/>
    <w:rsid w:val="DFEBFC2D"/>
    <w:rsid w:val="DFF9B00D"/>
    <w:rsid w:val="DFFFF41D"/>
    <w:rsid w:val="E11BE020"/>
    <w:rsid w:val="E2EF2550"/>
    <w:rsid w:val="E36F6618"/>
    <w:rsid w:val="E3ED0EFD"/>
    <w:rsid w:val="E3FEAB2C"/>
    <w:rsid w:val="E40F96B5"/>
    <w:rsid w:val="E5B68ABF"/>
    <w:rsid w:val="E5EF78A5"/>
    <w:rsid w:val="E69DBE4B"/>
    <w:rsid w:val="E7B69F13"/>
    <w:rsid w:val="E7DEA251"/>
    <w:rsid w:val="E7DF492D"/>
    <w:rsid w:val="E7EFB641"/>
    <w:rsid w:val="E9FBEEEF"/>
    <w:rsid w:val="EA2760A2"/>
    <w:rsid w:val="EB562BCD"/>
    <w:rsid w:val="EB79AC9E"/>
    <w:rsid w:val="EBB473BB"/>
    <w:rsid w:val="EBD5D611"/>
    <w:rsid w:val="EBFF9E96"/>
    <w:rsid w:val="EBFFD045"/>
    <w:rsid w:val="ED7E1CA7"/>
    <w:rsid w:val="EDDF0E1C"/>
    <w:rsid w:val="EDDFC9DD"/>
    <w:rsid w:val="EDF968C0"/>
    <w:rsid w:val="EE3C73FA"/>
    <w:rsid w:val="EE87F270"/>
    <w:rsid w:val="EEFA0C76"/>
    <w:rsid w:val="EF2730E3"/>
    <w:rsid w:val="EF322666"/>
    <w:rsid w:val="EF3EE141"/>
    <w:rsid w:val="EF6FFFD0"/>
    <w:rsid w:val="EF76AF90"/>
    <w:rsid w:val="EF7F7873"/>
    <w:rsid w:val="EF8FCAC2"/>
    <w:rsid w:val="EFB7348C"/>
    <w:rsid w:val="EFD9F689"/>
    <w:rsid w:val="EFE45E1B"/>
    <w:rsid w:val="EFE67E77"/>
    <w:rsid w:val="EFEACC07"/>
    <w:rsid w:val="EFF1A317"/>
    <w:rsid w:val="EFF96CF4"/>
    <w:rsid w:val="F0F7FE4B"/>
    <w:rsid w:val="F1773283"/>
    <w:rsid w:val="F32BAF28"/>
    <w:rsid w:val="F3790B90"/>
    <w:rsid w:val="F3BB7A79"/>
    <w:rsid w:val="F3BE34A7"/>
    <w:rsid w:val="F3BFE856"/>
    <w:rsid w:val="F3E70CC6"/>
    <w:rsid w:val="F3F73231"/>
    <w:rsid w:val="F4EF0444"/>
    <w:rsid w:val="F5471608"/>
    <w:rsid w:val="F5790F15"/>
    <w:rsid w:val="F59FB9E7"/>
    <w:rsid w:val="F5E29F6E"/>
    <w:rsid w:val="F5FD850B"/>
    <w:rsid w:val="F5FE0B54"/>
    <w:rsid w:val="F666384A"/>
    <w:rsid w:val="F66D3B32"/>
    <w:rsid w:val="F67F3560"/>
    <w:rsid w:val="F6B7A912"/>
    <w:rsid w:val="F6E5C30A"/>
    <w:rsid w:val="F6F7DC6F"/>
    <w:rsid w:val="F6FB9444"/>
    <w:rsid w:val="F6FBA792"/>
    <w:rsid w:val="F76F8AC4"/>
    <w:rsid w:val="F77B944D"/>
    <w:rsid w:val="F77D7614"/>
    <w:rsid w:val="F77FBD70"/>
    <w:rsid w:val="F79D58FF"/>
    <w:rsid w:val="F7AF1602"/>
    <w:rsid w:val="F7AF6839"/>
    <w:rsid w:val="F7C8FF45"/>
    <w:rsid w:val="F7DD18D2"/>
    <w:rsid w:val="F7EF2871"/>
    <w:rsid w:val="F7F2E32E"/>
    <w:rsid w:val="F7F4719C"/>
    <w:rsid w:val="F7F73E30"/>
    <w:rsid w:val="F7F92DE6"/>
    <w:rsid w:val="F7FD2691"/>
    <w:rsid w:val="F7FE4317"/>
    <w:rsid w:val="F7FF6BF9"/>
    <w:rsid w:val="F7FFA2E3"/>
    <w:rsid w:val="F96FFCC3"/>
    <w:rsid w:val="F9BF7245"/>
    <w:rsid w:val="F9BFB294"/>
    <w:rsid w:val="F9F689FB"/>
    <w:rsid w:val="F9F79646"/>
    <w:rsid w:val="F9FDB621"/>
    <w:rsid w:val="FA5C16F3"/>
    <w:rsid w:val="FA6531C8"/>
    <w:rsid w:val="FA6FBCD4"/>
    <w:rsid w:val="FABA2CC6"/>
    <w:rsid w:val="FABE3249"/>
    <w:rsid w:val="FAFC3908"/>
    <w:rsid w:val="FAFC7B36"/>
    <w:rsid w:val="FB0B2BBA"/>
    <w:rsid w:val="FB3F9776"/>
    <w:rsid w:val="FB6D6748"/>
    <w:rsid w:val="FB973C10"/>
    <w:rsid w:val="FBB9E962"/>
    <w:rsid w:val="FBBF1D9D"/>
    <w:rsid w:val="FBE4E212"/>
    <w:rsid w:val="FBE5DEDF"/>
    <w:rsid w:val="FBE73F95"/>
    <w:rsid w:val="FBEF6179"/>
    <w:rsid w:val="FBFC6919"/>
    <w:rsid w:val="FBFDEE26"/>
    <w:rsid w:val="FBFF9C8D"/>
    <w:rsid w:val="FC57F9BD"/>
    <w:rsid w:val="FC9D3A05"/>
    <w:rsid w:val="FCBBE6B4"/>
    <w:rsid w:val="FCFD56C6"/>
    <w:rsid w:val="FCFFE5A8"/>
    <w:rsid w:val="FD0FB074"/>
    <w:rsid w:val="FD4D8529"/>
    <w:rsid w:val="FD6FA802"/>
    <w:rsid w:val="FD91685E"/>
    <w:rsid w:val="FDBD4FE4"/>
    <w:rsid w:val="FDC74098"/>
    <w:rsid w:val="FDCF0763"/>
    <w:rsid w:val="FDDF1FE4"/>
    <w:rsid w:val="FDEA0B60"/>
    <w:rsid w:val="FDEB5A4B"/>
    <w:rsid w:val="FDEEBFB2"/>
    <w:rsid w:val="FDFA3749"/>
    <w:rsid w:val="FDFA442F"/>
    <w:rsid w:val="FDFF6094"/>
    <w:rsid w:val="FDFF7BFB"/>
    <w:rsid w:val="FDFF9691"/>
    <w:rsid w:val="FE5B8973"/>
    <w:rsid w:val="FE657DE5"/>
    <w:rsid w:val="FE753EA7"/>
    <w:rsid w:val="FE76EC60"/>
    <w:rsid w:val="FE7F589F"/>
    <w:rsid w:val="FE9F2D0D"/>
    <w:rsid w:val="FEBEBEAE"/>
    <w:rsid w:val="FEBF5726"/>
    <w:rsid w:val="FEBF5CF7"/>
    <w:rsid w:val="FEE54620"/>
    <w:rsid w:val="FEE5B856"/>
    <w:rsid w:val="FEEFE4F8"/>
    <w:rsid w:val="FEEFE931"/>
    <w:rsid w:val="FEF7730F"/>
    <w:rsid w:val="FEF7D220"/>
    <w:rsid w:val="FEFF0E62"/>
    <w:rsid w:val="FEFF8CB5"/>
    <w:rsid w:val="FF1B8355"/>
    <w:rsid w:val="FF3283AB"/>
    <w:rsid w:val="FF7235BC"/>
    <w:rsid w:val="FF7357FD"/>
    <w:rsid w:val="FF738877"/>
    <w:rsid w:val="FF751DB8"/>
    <w:rsid w:val="FF793DBB"/>
    <w:rsid w:val="FF799E39"/>
    <w:rsid w:val="FF7A8867"/>
    <w:rsid w:val="FF7F3621"/>
    <w:rsid w:val="FF8567E3"/>
    <w:rsid w:val="FF91C733"/>
    <w:rsid w:val="FF947E78"/>
    <w:rsid w:val="FFAB6702"/>
    <w:rsid w:val="FFB54FD6"/>
    <w:rsid w:val="FFB7D9F8"/>
    <w:rsid w:val="FFBFC1D6"/>
    <w:rsid w:val="FFBFD440"/>
    <w:rsid w:val="FFBFF25A"/>
    <w:rsid w:val="FFCDA137"/>
    <w:rsid w:val="FFCF14A3"/>
    <w:rsid w:val="FFD7558D"/>
    <w:rsid w:val="FFDB5F4F"/>
    <w:rsid w:val="FFDD82E6"/>
    <w:rsid w:val="FFDE7620"/>
    <w:rsid w:val="FFE7CFEE"/>
    <w:rsid w:val="FFEDB5D9"/>
    <w:rsid w:val="FFEF1172"/>
    <w:rsid w:val="FFEF66CC"/>
    <w:rsid w:val="FFEF6965"/>
    <w:rsid w:val="FFF63725"/>
    <w:rsid w:val="FFF7332F"/>
    <w:rsid w:val="FFF7CFF3"/>
    <w:rsid w:val="FFF9B231"/>
    <w:rsid w:val="FFFB9ACC"/>
    <w:rsid w:val="FFFBC937"/>
    <w:rsid w:val="FFFD0DE5"/>
    <w:rsid w:val="FFFD1A54"/>
    <w:rsid w:val="FFFD9183"/>
    <w:rsid w:val="FFFE0E12"/>
    <w:rsid w:val="FFFF1E19"/>
    <w:rsid w:val="FFFF3123"/>
    <w:rsid w:val="FFFF4DEF"/>
    <w:rsid w:val="FFFFA163"/>
    <w:rsid w:val="FFFFE32E"/>
    <w:rsid w:val="FFFFE6A7"/>
    <w:rsid w:val="FFFFF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unhideWhenUsed/>
    <w:qFormat/>
    <w:uiPriority w:val="0"/>
    <w:pPr>
      <w:keepNext/>
      <w:keepLines/>
      <w:kinsoku w:val="0"/>
      <w:autoSpaceDE w:val="0"/>
      <w:autoSpaceDN w:val="0"/>
      <w:adjustRightInd w:val="0"/>
      <w:snapToGrid w:val="0"/>
      <w:spacing w:before="240" w:beforeLines="0" w:beforeAutospacing="0" w:after="64" w:afterLines="0" w:afterAutospacing="0" w:line="317" w:lineRule="auto"/>
      <w:ind w:firstLine="592" w:firstLineChars="200"/>
      <w:jc w:val="both"/>
      <w:textAlignment w:val="baseline"/>
      <w:outlineLvl w:val="5"/>
    </w:pPr>
    <w:rPr>
      <w:rFonts w:ascii="Arial" w:hAnsi="Arial" w:eastAsia="黑体" w:cs="仿宋"/>
      <w:b/>
      <w:snapToGrid w:val="0"/>
      <w:color w:val="000000"/>
      <w:kern w:val="0"/>
      <w:sz w:val="24"/>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3629</Words>
  <Characters>3809</Characters>
  <Lines>0</Lines>
  <Paragraphs>0</Paragraphs>
  <TotalTime>40</TotalTime>
  <ScaleCrop>false</ScaleCrop>
  <LinksUpToDate>false</LinksUpToDate>
  <CharactersWithSpaces>3812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2021-01-20T00:16:00Z</dcterms:created>
  <dc:creator>没心没肺、没感觉</dc:creator>
  <cp:lastModifiedBy>Administrator</cp:lastModifiedBy>
  <cp:lastPrinted>2023-03-24T08:59:00Z</cp:lastPrinted>
  <dcterms:modified xsi:type="dcterms:W3CDTF">2023-03-28T01:16:48Z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15A61722E5664588B691E7844849C2B1</vt:lpwstr>
  </property>
</Properties>
</file>