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兰州新区第一人民医院</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outlineLvl w:val="1"/>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rPr>
        <w:t>20</w:t>
      </w:r>
      <w:r>
        <w:rPr>
          <w:rFonts w:hint="eastAsia" w:ascii="方正小标宋简体" w:hAnsi="方正小标宋简体" w:eastAsia="方正小标宋简体" w:cs="方正小标宋简体"/>
          <w:b w:val="0"/>
          <w:bCs w:val="0"/>
          <w:sz w:val="44"/>
          <w:szCs w:val="44"/>
          <w:lang w:val="en-US" w:eastAsia="zh-CN"/>
        </w:rPr>
        <w:t>22</w:t>
      </w:r>
      <w:r>
        <w:rPr>
          <w:rFonts w:hint="eastAsia" w:ascii="方正小标宋简体" w:hAnsi="方正小标宋简体" w:eastAsia="方正小标宋简体" w:cs="方正小标宋简体"/>
          <w:b w:val="0"/>
          <w:bCs w:val="0"/>
          <w:sz w:val="44"/>
          <w:szCs w:val="44"/>
        </w:rPr>
        <w:t>年</w:t>
      </w:r>
      <w:r>
        <w:rPr>
          <w:rFonts w:hint="eastAsia" w:ascii="方正小标宋简体" w:hAnsi="方正小标宋简体" w:eastAsia="方正小标宋简体" w:cs="方正小标宋简体"/>
          <w:b w:val="0"/>
          <w:bCs w:val="0"/>
          <w:sz w:val="44"/>
          <w:szCs w:val="44"/>
          <w:lang w:eastAsia="zh-CN"/>
        </w:rPr>
        <w:t>部门预算整体支出</w:t>
      </w:r>
      <w:r>
        <w:rPr>
          <w:rFonts w:hint="eastAsia" w:ascii="方正小标宋简体" w:hAnsi="方正小标宋简体" w:eastAsia="方正小标宋简体" w:cs="方正小标宋简体"/>
          <w:b w:val="0"/>
          <w:bCs w:val="0"/>
          <w:sz w:val="44"/>
          <w:szCs w:val="44"/>
        </w:rPr>
        <w:t>绩效自评</w:t>
      </w:r>
      <w:r>
        <w:rPr>
          <w:rFonts w:hint="eastAsia" w:ascii="方正小标宋简体" w:hAnsi="方正小标宋简体" w:eastAsia="方正小标宋简体" w:cs="方正小标宋简体"/>
          <w:b w:val="0"/>
          <w:bCs w:val="0"/>
          <w:sz w:val="44"/>
          <w:szCs w:val="44"/>
          <w:lang w:eastAsia="zh-CN"/>
        </w:rPr>
        <w:t>报告</w:t>
      </w:r>
    </w:p>
    <w:p>
      <w:pPr>
        <w:numPr>
          <w:ilvl w:val="0"/>
          <w:numId w:val="0"/>
        </w:numPr>
        <w:tabs>
          <w:tab w:val="left" w:pos="613"/>
        </w:tabs>
        <w:jc w:val="both"/>
        <w:rPr>
          <w:rFonts w:hint="eastAsia"/>
          <w:b w:val="0"/>
          <w:bCs w:val="0"/>
          <w:sz w:val="36"/>
          <w:szCs w:val="44"/>
        </w:rPr>
      </w:pP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基本情况</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（一）单位</w:t>
      </w:r>
      <w:r>
        <w:rPr>
          <w:rFonts w:hint="eastAsia" w:ascii="楷体_GB2312" w:hAnsi="楷体_GB2312" w:eastAsia="楷体_GB2312" w:cs="楷体_GB2312"/>
          <w:b/>
          <w:bCs/>
          <w:sz w:val="32"/>
          <w:szCs w:val="32"/>
        </w:rPr>
        <w:t>职</w:t>
      </w:r>
      <w:r>
        <w:rPr>
          <w:rFonts w:hint="eastAsia" w:ascii="楷体_GB2312" w:hAnsi="楷体_GB2312" w:eastAsia="楷体_GB2312" w:cs="楷体_GB2312"/>
          <w:b/>
          <w:bCs/>
          <w:sz w:val="32"/>
          <w:szCs w:val="32"/>
          <w:lang w:eastAsia="zh-CN"/>
        </w:rPr>
        <w:t>责</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兰州新区第一人民医院是兰州新区党工委、管委会筹建的第一家集医疗、急救、预防、保健、康复、教学、科研为一体的公立现代化综合医院，隶属于兰州新区卫生健康委员会监管。位于兰州新区风凰山路2000号，占地面积约2.6万平方米，建筑面积约4.8万平方米，建设项目投资4.5亿元。医院配备64排螺旋CT、彩色多普勒超声诊断仪器、西门子数字X线摄影系统（DR）、X线数字胃肠机、心肺功能检测仪、运动平板机、丹迪6通道肌电图/诱发电位仪、血液透析机、全自动生化仪、口腔CT、电子胃镜、电子腹腔镜等先进医疗设备。截止2022年末医院在职职工431人，医生150人，医技人员49人，护士192人，其他岗位40人。</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（二）内设机构及所属单位概况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lang w:val="en-US" w:eastAsia="zh-CN"/>
        </w:rPr>
        <w:t>医院设置床位350张，设置神经内科、消化肾病科、呼吸科内分泌科、心血管神经内科、康复理疗中心、创伤外科、普外科、耳鼻喉科、口腔科、皮肤科、妇产科、儿科、泌尿外科、手术麻醉科、重症医学科、急救中心、皮肤科、老年病科、中医疼痛科、门诊部、</w:t>
      </w:r>
      <w:r>
        <w:rPr>
          <w:rFonts w:hint="eastAsia" w:ascii="方正仿宋_GB2312" w:hAnsi="方正仿宋_GB2312" w:eastAsia="方正仿宋_GB2312" w:cs="方正仿宋_GB2312"/>
          <w:color w:val="auto"/>
          <w:sz w:val="24"/>
          <w:szCs w:val="24"/>
          <w:lang w:val="en-US" w:eastAsia="zh-CN"/>
        </w:rPr>
        <w:t>MMC、</w:t>
      </w:r>
      <w:r>
        <w:rPr>
          <w:rFonts w:hint="eastAsia" w:ascii="方正仿宋_GB2312" w:hAnsi="方正仿宋_GB2312" w:eastAsia="方正仿宋_GB2312" w:cs="方正仿宋_GB2312"/>
          <w:sz w:val="24"/>
          <w:szCs w:val="24"/>
          <w:lang w:val="en-US" w:eastAsia="zh-CN"/>
        </w:rPr>
        <w:t>妇幼保健科等23个临床科室；设置医学影像科、检验科、超声诊断科、特诊科、健康管理中心、病理科、药剂科等7个医技科室；设置党总支办公室、宣传科、行政办公室、医保科、护理部、人事科、公卫科、财务科、后勤科、信息科、绩效办、质控科、院感科等14个行政职能科室。按照顶算管理制度改革总体要求和新区党工委、管委会决策部著，坚持依法理财，加强预算管理，规范项目预算编制，切实强化项目管理和绩效评价，提高预算编制的科学性、准确性和合理性。</w:t>
      </w:r>
    </w:p>
    <w:p>
      <w:pPr>
        <w:keepNext w:val="0"/>
        <w:keepLines w:val="0"/>
        <w:pageBreakBefore w:val="0"/>
        <w:numPr>
          <w:ilvl w:val="0"/>
          <w:numId w:val="0"/>
        </w:numPr>
        <w:kinsoku/>
        <w:wordWrap/>
        <w:overflowPunct/>
        <w:topLinePunct w:val="0"/>
        <w:autoSpaceDE/>
        <w:autoSpaceDN/>
        <w:bidi w:val="0"/>
        <w:spacing w:line="540" w:lineRule="exact"/>
        <w:ind w:leftChars="200" w:right="0" w:rightChars="0" w:firstLine="320" w:firstLineChars="1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二、绩效自评工作组织开展情况</w:t>
      </w:r>
    </w:p>
    <w:p>
      <w:pPr>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sectPr>
          <w:footerReference r:id="rId3" w:type="default"/>
          <w:pgSz w:w="11906" w:h="16838"/>
          <w:pgMar w:top="1440" w:right="1800" w:bottom="1440" w:left="1800" w:header="851" w:footer="992" w:gutter="0"/>
          <w:pgNumType w:fmt="decimal"/>
          <w:cols w:space="425" w:num="1"/>
          <w:docGrid w:type="lines" w:linePitch="312" w:charSpace="0"/>
        </w:sectPr>
      </w:pP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根据</w:t>
      </w:r>
      <w:r>
        <w:rPr>
          <w:rStyle w:val="5"/>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w:t>
      </w:r>
      <w:r>
        <w:rPr>
          <w:rStyle w:val="5"/>
          <w:rFonts w:hint="eastAsia" w:ascii="仿宋_GB2312" w:hAnsi="仿宋_GB2312" w:eastAsia="仿宋_GB2312" w:cs="仿宋_GB2312"/>
          <w:b w:val="0"/>
          <w:bCs/>
          <w:i w:val="0"/>
          <w:caps w:val="0"/>
          <w:color w:val="333333"/>
          <w:spacing w:val="0"/>
          <w:kern w:val="1"/>
          <w:sz w:val="32"/>
          <w:szCs w:val="32"/>
          <w:highlight w:val="none"/>
          <w:shd w:val="clear" w:color="auto" w:fill="FFFFFF"/>
          <w:lang w:eastAsia="zh-CN"/>
        </w:rPr>
        <w:t>兰州新区财政局（国有资产监督管理局）</w:t>
      </w: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关于开</w:t>
      </w:r>
    </w:p>
    <w:p>
      <w:pPr>
        <w:keepNext w:val="0"/>
        <w:keepLines w:val="0"/>
        <w:pageBreakBefore w:val="0"/>
        <w:widowControl w:val="0"/>
        <w:numPr>
          <w:ilvl w:val="0"/>
          <w:numId w:val="0"/>
        </w:numPr>
        <w:kinsoku/>
        <w:wordWrap/>
        <w:overflowPunct/>
        <w:topLinePunct w:val="0"/>
        <w:autoSpaceDE/>
        <w:autoSpaceDN/>
        <w:bidi w:val="0"/>
        <w:spacing w:line="540" w:lineRule="exact"/>
        <w:ind w:right="0"/>
        <w:jc w:val="both"/>
        <w:textAlignment w:val="auto"/>
        <w:outlineLvl w:val="9"/>
        <w:rPr>
          <w:rStyle w:val="5"/>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pP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展2022年度预算执行情况绩效单位自评工作的通知》（兰新财发</w:t>
      </w:r>
      <w:r>
        <w:rPr>
          <w:rStyle w:val="5"/>
          <w:rFonts w:hint="eastAsia" w:ascii="楷体" w:hAnsi="楷体" w:eastAsia="楷体" w:cs="楷体"/>
          <w:b w:val="0"/>
          <w:bCs/>
          <w:i w:val="0"/>
          <w:caps w:val="0"/>
          <w:color w:val="333333"/>
          <w:spacing w:val="0"/>
          <w:kern w:val="2"/>
          <w:sz w:val="32"/>
          <w:szCs w:val="32"/>
          <w:highlight w:val="none"/>
          <w:shd w:val="clear" w:color="auto" w:fill="FFFFFF"/>
          <w:lang w:val="en-US" w:eastAsia="zh-CN" w:bidi="ar-SA"/>
        </w:rPr>
        <w:t>〔</w:t>
      </w: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2023</w:t>
      </w:r>
      <w:r>
        <w:rPr>
          <w:rStyle w:val="5"/>
          <w:rFonts w:hint="eastAsia" w:ascii="楷体" w:hAnsi="楷体" w:eastAsia="楷体" w:cs="楷体"/>
          <w:b w:val="0"/>
          <w:bCs/>
          <w:i w:val="0"/>
          <w:caps w:val="0"/>
          <w:color w:val="333333"/>
          <w:spacing w:val="0"/>
          <w:kern w:val="2"/>
          <w:sz w:val="32"/>
          <w:szCs w:val="32"/>
          <w:highlight w:val="none"/>
          <w:shd w:val="clear" w:color="auto" w:fill="FFFFFF"/>
          <w:lang w:val="en-US" w:eastAsia="zh-CN" w:bidi="ar-SA"/>
        </w:rPr>
        <w:t>〕</w:t>
      </w: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36号）文件精神</w:t>
      </w:r>
      <w:r>
        <w:rPr>
          <w:rStyle w:val="5"/>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，我院积极开展此次预算执行的自评活动，根据文件要求检查相关资料，进行绩效自评的分析与总结。</w:t>
      </w:r>
    </w:p>
    <w:p>
      <w:pPr>
        <w:keepNext w:val="0"/>
        <w:keepLines w:val="0"/>
        <w:pageBreakBefore w:val="0"/>
        <w:numPr>
          <w:ilvl w:val="0"/>
          <w:numId w:val="0"/>
        </w:numPr>
        <w:kinsoku/>
        <w:wordWrap/>
        <w:overflowPunct/>
        <w:topLinePunct w:val="0"/>
        <w:autoSpaceDE/>
        <w:autoSpaceDN/>
        <w:bidi w:val="0"/>
        <w:spacing w:line="540" w:lineRule="exact"/>
        <w:ind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三、部门整体支出绩效自评情况分析</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（一）部门决算情况</w:t>
      </w:r>
    </w:p>
    <w:p>
      <w:pPr>
        <w:pStyle w:val="3"/>
        <w:keepNext w:val="0"/>
        <w:keepLines w:val="0"/>
        <w:pageBreakBefore w:val="0"/>
        <w:widowControl/>
        <w:kinsoku/>
        <w:wordWrap/>
        <w:overflowPunct/>
        <w:topLinePunct w:val="0"/>
        <w:autoSpaceDE/>
        <w:autoSpaceDN/>
        <w:bidi w:val="0"/>
        <w:spacing w:line="540" w:lineRule="exact"/>
        <w:ind w:right="0" w:firstLine="643" w:firstLineChars="200"/>
        <w:jc w:val="both"/>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1．2022年度支出决算情况</w:t>
      </w:r>
    </w:p>
    <w:p>
      <w:pPr>
        <w:pStyle w:val="7"/>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Style w:val="5"/>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pP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2022年度总支出</w:t>
      </w:r>
      <w:r>
        <w:rPr>
          <w:rStyle w:val="5"/>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t>4443.26</w:t>
      </w: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万元，其中</w:t>
      </w:r>
      <w:r>
        <w:rPr>
          <w:rStyle w:val="5"/>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t>:</w:t>
      </w:r>
    </w:p>
    <w:p>
      <w:pPr>
        <w:pStyle w:val="7"/>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Style w:val="5"/>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pP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人员经费支出</w:t>
      </w:r>
      <w:r>
        <w:rPr>
          <w:rStyle w:val="5"/>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t>3964.25</w:t>
      </w: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万元，占总支出比例</w:t>
      </w:r>
      <w:r>
        <w:rPr>
          <w:rStyle w:val="5"/>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t>89.22</w:t>
      </w: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w:t>
      </w:r>
      <w:r>
        <w:rPr>
          <w:rStyle w:val="5"/>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t>;</w:t>
      </w:r>
    </w:p>
    <w:p>
      <w:pPr>
        <w:pStyle w:val="7"/>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Style w:val="5"/>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pP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公用经费支出</w:t>
      </w:r>
      <w:r>
        <w:rPr>
          <w:rStyle w:val="5"/>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t>286.01</w:t>
      </w: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万元，占总支出比例</w:t>
      </w:r>
      <w:r>
        <w:rPr>
          <w:rStyle w:val="5"/>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t>6.44</w:t>
      </w: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w:t>
      </w:r>
      <w:r>
        <w:rPr>
          <w:rStyle w:val="5"/>
          <w:rFonts w:hint="eastAsia" w:ascii="仿宋_GB2312" w:hAnsi="仿宋_GB2312" w:cs="仿宋_GB2312"/>
          <w:b w:val="0"/>
          <w:bCs/>
          <w:i w:val="0"/>
          <w:caps w:val="0"/>
          <w:color w:val="333333"/>
          <w:spacing w:val="0"/>
          <w:kern w:val="2"/>
          <w:sz w:val="32"/>
          <w:szCs w:val="32"/>
          <w:highlight w:val="none"/>
          <w:shd w:val="clear" w:color="auto" w:fill="FFFFFF"/>
          <w:lang w:val="en-US" w:eastAsia="zh-CN" w:bidi="ar-SA"/>
        </w:rPr>
        <w:t>。</w:t>
      </w:r>
    </w:p>
    <w:p>
      <w:pPr>
        <w:pStyle w:val="3"/>
        <w:keepNext w:val="0"/>
        <w:keepLines w:val="0"/>
        <w:pageBreakBefore w:val="0"/>
        <w:widowControl/>
        <w:kinsoku/>
        <w:wordWrap/>
        <w:overflowPunct/>
        <w:topLinePunct w:val="0"/>
        <w:autoSpaceDE/>
        <w:autoSpaceDN/>
        <w:bidi w:val="0"/>
        <w:spacing w:line="540" w:lineRule="exact"/>
        <w:ind w:right="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2.项目支出决算情况</w:t>
      </w:r>
    </w:p>
    <w:p>
      <w:pPr>
        <w:pStyle w:val="3"/>
        <w:keepNext w:val="0"/>
        <w:keepLines w:val="0"/>
        <w:pageBreakBefore w:val="0"/>
        <w:widowControl/>
        <w:numPr>
          <w:ilvl w:val="0"/>
          <w:numId w:val="0"/>
        </w:numPr>
        <w:kinsoku/>
        <w:wordWrap/>
        <w:overflowPunct/>
        <w:topLinePunct w:val="0"/>
        <w:autoSpaceDE/>
        <w:autoSpaceDN/>
        <w:bidi w:val="0"/>
        <w:spacing w:line="540" w:lineRule="exact"/>
        <w:ind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2022年度项目支出193万元，占总支出比例4.34%。</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（二）总体绩效目标完成情况分析</w:t>
      </w:r>
    </w:p>
    <w:p>
      <w:pPr>
        <w:keepNext w:val="0"/>
        <w:keepLines w:val="0"/>
        <w:pageBreakBefore w:val="0"/>
        <w:kinsoku/>
        <w:wordWrap/>
        <w:overflowPunct/>
        <w:topLinePunct w:val="0"/>
        <w:autoSpaceDE/>
        <w:autoSpaceDN/>
        <w:bidi w:val="0"/>
        <w:spacing w:line="540" w:lineRule="exact"/>
        <w:ind w:right="0" w:firstLine="643"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1.总体绩效目标</w:t>
      </w:r>
    </w:p>
    <w:p>
      <w:pPr>
        <w:pStyle w:val="7"/>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5"/>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（1）发放医护人员工资，缴纳各类保险；办公经费开支；</w:t>
      </w:r>
    </w:p>
    <w:p>
      <w:pPr>
        <w:pStyle w:val="7"/>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加强基层医疗机构管理及医护人员队伍建设</w:t>
      </w:r>
      <w:r>
        <w:rPr>
          <w:rFonts w:hint="eastAsia" w:ascii="仿宋_GB2312" w:hAnsi="仿宋_GB2312" w:cs="仿宋_GB2312"/>
          <w:sz w:val="32"/>
          <w:szCs w:val="32"/>
          <w:lang w:val="en-US" w:eastAsia="zh-CN"/>
        </w:rPr>
        <w:t>；</w:t>
      </w:r>
    </w:p>
    <w:p>
      <w:pPr>
        <w:pStyle w:val="7"/>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强调</w:t>
      </w:r>
      <w:r>
        <w:rPr>
          <w:rFonts w:hint="eastAsia" w:ascii="仿宋_GB2312" w:hAnsi="仿宋_GB2312" w:cs="仿宋_GB2312"/>
          <w:sz w:val="32"/>
          <w:szCs w:val="32"/>
          <w:lang w:val="en-US" w:eastAsia="zh-CN"/>
        </w:rPr>
        <w:t>公立医院</w:t>
      </w:r>
      <w:r>
        <w:rPr>
          <w:rFonts w:hint="eastAsia" w:ascii="仿宋_GB2312" w:hAnsi="仿宋_GB2312" w:eastAsia="仿宋_GB2312" w:cs="仿宋_GB2312"/>
          <w:sz w:val="32"/>
          <w:szCs w:val="32"/>
          <w:lang w:val="en-US" w:eastAsia="zh-CN"/>
        </w:rPr>
        <w:t>基本</w:t>
      </w:r>
      <w:r>
        <w:rPr>
          <w:rFonts w:hint="eastAsia" w:ascii="仿宋_GB2312" w:hAnsi="仿宋_GB2312" w:cs="仿宋_GB2312"/>
          <w:sz w:val="32"/>
          <w:szCs w:val="32"/>
          <w:lang w:val="en-US" w:eastAsia="zh-CN"/>
        </w:rPr>
        <w:t>运转</w:t>
      </w:r>
      <w:r>
        <w:rPr>
          <w:rFonts w:hint="eastAsia" w:ascii="仿宋_GB2312" w:hAnsi="仿宋_GB2312" w:eastAsia="仿宋_GB2312" w:cs="仿宋_GB2312"/>
          <w:sz w:val="32"/>
          <w:szCs w:val="32"/>
          <w:lang w:val="en-US" w:eastAsia="zh-CN"/>
        </w:rPr>
        <w:t>服务建设，</w:t>
      </w:r>
      <w:r>
        <w:rPr>
          <w:rFonts w:hint="eastAsia" w:ascii="仿宋_GB2312" w:hAnsi="仿宋_GB2312" w:cs="仿宋_GB2312"/>
          <w:sz w:val="32"/>
          <w:szCs w:val="32"/>
          <w:lang w:val="en-US" w:eastAsia="zh-CN"/>
        </w:rPr>
        <w:t>解决新区百姓看病远，看病难的问题，并结合现代化医院管理目标提供</w:t>
      </w:r>
      <w:r>
        <w:rPr>
          <w:rFonts w:hint="eastAsia" w:ascii="仿宋_GB2312" w:hAnsi="仿宋_GB2312" w:eastAsia="仿宋_GB2312" w:cs="仿宋_GB2312"/>
          <w:sz w:val="32"/>
          <w:szCs w:val="32"/>
          <w:lang w:val="en-US" w:eastAsia="zh-CN"/>
        </w:rPr>
        <w:t>多项服务，并积极开展</w:t>
      </w:r>
      <w:r>
        <w:rPr>
          <w:rFonts w:hint="eastAsia" w:ascii="仿宋_GB2312" w:hAnsi="仿宋_GB2312" w:cs="仿宋_GB2312"/>
          <w:sz w:val="32"/>
          <w:szCs w:val="32"/>
          <w:lang w:val="en-US" w:eastAsia="zh-CN"/>
        </w:rPr>
        <w:t>义诊</w:t>
      </w:r>
      <w:r>
        <w:rPr>
          <w:rFonts w:hint="eastAsia" w:ascii="仿宋_GB2312" w:hAnsi="仿宋_GB2312" w:eastAsia="仿宋_GB2312" w:cs="仿宋_GB2312"/>
          <w:sz w:val="32"/>
          <w:szCs w:val="32"/>
          <w:lang w:val="en-US" w:eastAsia="zh-CN"/>
        </w:rPr>
        <w:t>宣传活动</w:t>
      </w:r>
      <w:r>
        <w:rPr>
          <w:rFonts w:hint="eastAsia" w:ascii="仿宋_GB2312" w:hAnsi="仿宋_GB2312" w:cs="仿宋_GB2312"/>
          <w:sz w:val="32"/>
          <w:szCs w:val="32"/>
          <w:lang w:val="en-US" w:eastAsia="zh-CN"/>
        </w:rPr>
        <w:t>；</w:t>
      </w:r>
    </w:p>
    <w:p>
      <w:pPr>
        <w:pStyle w:val="7"/>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lang w:val="en-US" w:eastAsia="zh-CN"/>
        </w:rPr>
        <w:t>为单位在</w:t>
      </w:r>
      <w:r>
        <w:rPr>
          <w:rFonts w:hint="eastAsia" w:ascii="仿宋_GB2312" w:hAnsi="仿宋_GB2312" w:cs="仿宋_GB2312"/>
          <w:sz w:val="32"/>
          <w:szCs w:val="32"/>
          <w:lang w:val="en-US" w:eastAsia="zh-CN"/>
        </w:rPr>
        <w:t>职人员</w:t>
      </w:r>
      <w:r>
        <w:rPr>
          <w:rFonts w:hint="eastAsia" w:ascii="仿宋_GB2312" w:hAnsi="仿宋_GB2312" w:eastAsia="仿宋_GB2312" w:cs="仿宋_GB2312"/>
          <w:sz w:val="32"/>
          <w:szCs w:val="32"/>
          <w:lang w:val="en-US" w:eastAsia="zh-CN"/>
        </w:rPr>
        <w:t>支付</w:t>
      </w:r>
      <w:r>
        <w:rPr>
          <w:rFonts w:hint="eastAsia" w:ascii="仿宋_GB2312" w:hAnsi="仿宋_GB2312" w:cs="仿宋_GB2312"/>
          <w:sz w:val="32"/>
          <w:szCs w:val="32"/>
          <w:lang w:val="en-US" w:eastAsia="zh-CN"/>
        </w:rPr>
        <w:t>社保。</w:t>
      </w:r>
    </w:p>
    <w:p>
      <w:pPr>
        <w:pStyle w:val="3"/>
        <w:keepNext w:val="0"/>
        <w:keepLines w:val="0"/>
        <w:pageBreakBefore w:val="0"/>
        <w:widowControl/>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cs="仿宋_GB2312" w:eastAsiaTheme="minorEastAsia"/>
          <w:sz w:val="32"/>
          <w:szCs w:val="32"/>
          <w:lang w:val="en-US" w:eastAsia="zh-CN"/>
        </w:rPr>
      </w:pPr>
      <w:r>
        <w:rPr>
          <w:rFonts w:hint="eastAsia" w:ascii="仿宋_GB2312" w:hAnsi="仿宋_GB2312" w:cs="仿宋_GB2312"/>
          <w:sz w:val="32"/>
          <w:szCs w:val="32"/>
          <w:lang w:val="en-US" w:eastAsia="zh-CN"/>
        </w:rPr>
        <w:t>（5）</w:t>
      </w:r>
      <w:r>
        <w:rPr>
          <w:rFonts w:hint="eastAsia" w:ascii="仿宋_GB2312" w:hAnsi="仿宋_GB2312" w:eastAsia="仿宋_GB2312" w:cs="仿宋_GB2312"/>
          <w:kern w:val="2"/>
          <w:sz w:val="32"/>
          <w:szCs w:val="32"/>
          <w:lang w:val="en-US" w:eastAsia="zh-CN" w:bidi="ar-SA"/>
        </w:rPr>
        <w:t>租赁房屋建筑保障单位业务正常运行。</w:t>
      </w:r>
    </w:p>
    <w:p>
      <w:pPr>
        <w:pStyle w:val="3"/>
        <w:keepNext w:val="0"/>
        <w:keepLines w:val="0"/>
        <w:pageBreakBefore w:val="0"/>
        <w:widowControl/>
        <w:kinsoku/>
        <w:wordWrap/>
        <w:overflowPunct/>
        <w:topLinePunct w:val="0"/>
        <w:autoSpaceDE/>
        <w:autoSpaceDN/>
        <w:bidi w:val="0"/>
        <w:spacing w:line="540" w:lineRule="exact"/>
        <w:ind w:right="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2.完成情况分析</w:t>
      </w:r>
    </w:p>
    <w:p>
      <w:pPr>
        <w:pStyle w:val="7"/>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lang w:val="en-US" w:eastAsia="zh-CN"/>
        </w:rPr>
        <w:t>人员经费支出</w:t>
      </w:r>
      <w:r>
        <w:rPr>
          <w:rFonts w:hint="eastAsia" w:ascii="仿宋_GB2312" w:hAnsi="仿宋_GB2312" w:cs="仿宋_GB2312"/>
          <w:sz w:val="32"/>
          <w:szCs w:val="32"/>
          <w:lang w:val="en-US" w:eastAsia="zh-CN"/>
        </w:rPr>
        <w:t>3964.25</w:t>
      </w:r>
      <w:r>
        <w:rPr>
          <w:rFonts w:hint="eastAsia" w:ascii="仿宋_GB2312" w:hAnsi="仿宋_GB2312" w:eastAsia="仿宋_GB2312" w:cs="仿宋_GB2312"/>
          <w:sz w:val="32"/>
          <w:szCs w:val="32"/>
          <w:lang w:val="en-US" w:eastAsia="zh-CN"/>
        </w:rPr>
        <w:t>万元；公用经费支出</w:t>
      </w:r>
      <w:r>
        <w:rPr>
          <w:rFonts w:hint="eastAsia" w:ascii="仿宋_GB2312" w:hAnsi="仿宋_GB2312" w:cs="仿宋_GB2312"/>
          <w:sz w:val="32"/>
          <w:szCs w:val="32"/>
          <w:lang w:val="en-US" w:eastAsia="zh-CN"/>
        </w:rPr>
        <w:t>286.01</w:t>
      </w:r>
      <w:r>
        <w:rPr>
          <w:rFonts w:hint="eastAsia" w:ascii="仿宋_GB2312" w:hAnsi="仿宋_GB2312" w:eastAsia="仿宋_GB2312" w:cs="仿宋_GB2312"/>
          <w:sz w:val="32"/>
          <w:szCs w:val="32"/>
          <w:lang w:val="en-US" w:eastAsia="zh-CN"/>
        </w:rPr>
        <w:t>万元。</w:t>
      </w:r>
    </w:p>
    <w:p>
      <w:pPr>
        <w:pStyle w:val="7"/>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cs="仿宋_GB2312"/>
          <w:color w:val="auto"/>
          <w:sz w:val="32"/>
          <w:szCs w:val="32"/>
          <w:lang w:val="en-US" w:eastAsia="zh-CN"/>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建立单位规章制度及管理体系，责任落实，分工</w:t>
      </w:r>
      <w:r>
        <w:rPr>
          <w:rFonts w:hint="eastAsia" w:ascii="仿宋_GB2312" w:hAnsi="仿宋_GB2312" w:eastAsia="仿宋_GB2312" w:cs="仿宋_GB2312"/>
          <w:color w:val="auto"/>
          <w:sz w:val="32"/>
          <w:szCs w:val="32"/>
          <w:lang w:val="en-US" w:eastAsia="zh-CN"/>
        </w:rPr>
        <w:t>明确，相互协作，团结一体。</w:t>
      </w:r>
    </w:p>
    <w:p>
      <w:pPr>
        <w:pStyle w:val="7"/>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（3）完成2022年租赁费用支出193万元。</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（三）各项指标完成情况分析</w:t>
      </w:r>
    </w:p>
    <w:p>
      <w:pPr>
        <w:pStyle w:val="3"/>
        <w:keepNext w:val="0"/>
        <w:keepLines w:val="0"/>
        <w:pageBreakBefore w:val="0"/>
        <w:widowControl/>
        <w:numPr>
          <w:ilvl w:val="0"/>
          <w:numId w:val="0"/>
        </w:numPr>
        <w:kinsoku/>
        <w:wordWrap/>
        <w:overflowPunct/>
        <w:topLinePunct w:val="0"/>
        <w:autoSpaceDE/>
        <w:autoSpaceDN/>
        <w:bidi w:val="0"/>
        <w:spacing w:line="540" w:lineRule="exact"/>
        <w:ind w:right="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b/>
          <w:bCs/>
          <w:sz w:val="32"/>
          <w:szCs w:val="32"/>
          <w:lang w:val="en-US" w:eastAsia="zh-CN"/>
        </w:rPr>
        <w:t>1、部门管理</w:t>
      </w:r>
    </w:p>
    <w:p>
      <w:pPr>
        <w:pStyle w:val="7"/>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年度单位人员经费支出和公用经费支出均按照财务相关规定合理支出，</w:t>
      </w:r>
      <w:r>
        <w:rPr>
          <w:rFonts w:hint="eastAsia" w:ascii="仿宋_GB2312" w:hAnsi="仿宋_GB2312" w:eastAsia="仿宋_GB2312" w:cs="仿宋_GB2312"/>
          <w:color w:val="auto"/>
          <w:sz w:val="32"/>
          <w:szCs w:val="32"/>
          <w:lang w:val="en-US" w:eastAsia="zh-CN"/>
        </w:rPr>
        <w:t>由于</w:t>
      </w:r>
      <w:r>
        <w:rPr>
          <w:rFonts w:hint="eastAsia" w:ascii="仿宋_GB2312" w:hAnsi="仿宋_GB2312" w:cs="仿宋_GB2312"/>
          <w:color w:val="auto"/>
          <w:sz w:val="32"/>
          <w:szCs w:val="32"/>
          <w:lang w:val="en-US" w:eastAsia="zh-CN"/>
        </w:rPr>
        <w:t>绩效考核制度变化</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导致</w:t>
      </w:r>
      <w:r>
        <w:rPr>
          <w:rFonts w:hint="eastAsia" w:ascii="仿宋_GB2312" w:hAnsi="仿宋_GB2312" w:eastAsia="仿宋_GB2312" w:cs="仿宋_GB2312"/>
          <w:sz w:val="32"/>
          <w:szCs w:val="32"/>
          <w:lang w:val="en-US" w:eastAsia="zh-CN"/>
        </w:rPr>
        <w:t>基本支出完成率不足百分之百；我</w:t>
      </w:r>
      <w:r>
        <w:rPr>
          <w:rFonts w:hint="eastAsia" w:ascii="仿宋_GB2312" w:hAnsi="仿宋_GB2312" w:cs="仿宋_GB2312"/>
          <w:sz w:val="32"/>
          <w:szCs w:val="32"/>
          <w:lang w:val="en-US" w:eastAsia="zh-CN"/>
        </w:rPr>
        <w:t>院</w:t>
      </w:r>
      <w:r>
        <w:rPr>
          <w:rFonts w:hint="eastAsia" w:ascii="仿宋_GB2312" w:hAnsi="仿宋_GB2312" w:eastAsia="仿宋_GB2312" w:cs="仿宋_GB2312"/>
          <w:sz w:val="32"/>
          <w:szCs w:val="32"/>
          <w:lang w:val="en-US" w:eastAsia="zh-CN"/>
        </w:rPr>
        <w:t>在政府采购管理制度上的了解不够深入，以后会加强政府采购制度的学习；因单位资产配置比较分散，在资产的统一管理制度方面还</w:t>
      </w:r>
      <w:r>
        <w:rPr>
          <w:rFonts w:hint="eastAsia" w:ascii="仿宋_GB2312" w:hAnsi="仿宋_GB2312" w:cs="仿宋_GB2312"/>
          <w:sz w:val="32"/>
          <w:szCs w:val="32"/>
          <w:lang w:val="en-US" w:eastAsia="zh-CN"/>
        </w:rPr>
        <w:t>需要</w:t>
      </w:r>
      <w:r>
        <w:rPr>
          <w:rFonts w:hint="eastAsia" w:ascii="仿宋_GB2312" w:hAnsi="仿宋_GB2312" w:eastAsia="仿宋_GB2312" w:cs="仿宋_GB2312"/>
          <w:sz w:val="32"/>
          <w:szCs w:val="32"/>
          <w:lang w:val="en-US" w:eastAsia="zh-CN"/>
        </w:rPr>
        <w:t>完善。</w:t>
      </w:r>
    </w:p>
    <w:p>
      <w:pPr>
        <w:pStyle w:val="3"/>
        <w:keepNext w:val="0"/>
        <w:keepLines w:val="0"/>
        <w:pageBreakBefore w:val="0"/>
        <w:widowControl/>
        <w:numPr>
          <w:ilvl w:val="0"/>
          <w:numId w:val="0"/>
        </w:numPr>
        <w:kinsoku/>
        <w:wordWrap/>
        <w:overflowPunct/>
        <w:topLinePunct w:val="0"/>
        <w:autoSpaceDE/>
        <w:autoSpaceDN/>
        <w:bidi w:val="0"/>
        <w:spacing w:line="540" w:lineRule="exact"/>
        <w:ind w:right="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仿宋_GB2312" w:hAnsi="仿宋_GB2312" w:eastAsia="仿宋_GB2312" w:cs="仿宋_GB2312"/>
          <w:b/>
          <w:bCs/>
          <w:sz w:val="32"/>
          <w:szCs w:val="32"/>
          <w:lang w:val="en-US" w:eastAsia="zh-CN"/>
        </w:rPr>
        <w:t>2、履职效果</w:t>
      </w:r>
    </w:p>
    <w:p>
      <w:pPr>
        <w:pStyle w:val="7"/>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年我</w:t>
      </w:r>
      <w:r>
        <w:rPr>
          <w:rFonts w:hint="eastAsia" w:ascii="仿宋_GB2312" w:hAnsi="仿宋_GB2312" w:cs="仿宋_GB2312"/>
          <w:sz w:val="32"/>
          <w:szCs w:val="32"/>
          <w:lang w:val="en-US" w:eastAsia="zh-CN"/>
        </w:rPr>
        <w:t>院</w:t>
      </w:r>
      <w:r>
        <w:rPr>
          <w:rFonts w:hint="eastAsia" w:ascii="仿宋_GB2312" w:hAnsi="仿宋_GB2312" w:eastAsia="仿宋_GB2312" w:cs="仿宋_GB2312"/>
          <w:color w:val="auto"/>
          <w:sz w:val="32"/>
          <w:szCs w:val="32"/>
          <w:lang w:eastAsia="zh-CN"/>
        </w:rPr>
        <w:t>将</w:t>
      </w:r>
      <w:r>
        <w:rPr>
          <w:rFonts w:hint="eastAsia" w:ascii="仿宋_GB2312" w:hAnsi="仿宋_GB2312" w:eastAsia="仿宋_GB2312" w:cs="仿宋_GB2312"/>
          <w:color w:val="auto"/>
          <w:sz w:val="32"/>
          <w:szCs w:val="32"/>
        </w:rPr>
        <w:t>新冠肺炎疫情防控</w:t>
      </w:r>
      <w:r>
        <w:rPr>
          <w:rFonts w:hint="eastAsia" w:ascii="仿宋_GB2312" w:hAnsi="仿宋_GB2312" w:eastAsia="仿宋_GB2312" w:cs="仿宋_GB2312"/>
          <w:color w:val="auto"/>
          <w:sz w:val="32"/>
          <w:szCs w:val="32"/>
          <w:lang w:eastAsia="zh-CN"/>
        </w:rPr>
        <w:t>工作</w:t>
      </w:r>
      <w:r>
        <w:rPr>
          <w:rFonts w:hint="eastAsia" w:ascii="仿宋_GB2312" w:hAnsi="仿宋_GB2312" w:eastAsia="仿宋_GB2312" w:cs="仿宋_GB2312"/>
          <w:color w:val="auto"/>
          <w:sz w:val="32"/>
          <w:szCs w:val="32"/>
        </w:rPr>
        <w:t>作为首要任务，</w:t>
      </w:r>
      <w:r>
        <w:rPr>
          <w:rFonts w:hint="eastAsia" w:ascii="仿宋_GB2312" w:hAnsi="仿宋_GB2312" w:eastAsia="仿宋_GB2312" w:cs="仿宋_GB2312"/>
          <w:color w:val="000000"/>
          <w:sz w:val="32"/>
          <w:szCs w:val="32"/>
          <w:lang w:val="en-US" w:eastAsia="zh-CN"/>
        </w:rPr>
        <w:t>做到</w:t>
      </w:r>
      <w:r>
        <w:rPr>
          <w:rFonts w:hint="eastAsia" w:ascii="仿宋_GB2312" w:hAnsi="仿宋_GB2312" w:cs="仿宋_GB2312"/>
          <w:color w:val="000000"/>
          <w:sz w:val="32"/>
          <w:szCs w:val="32"/>
          <w:lang w:eastAsia="zh-CN"/>
        </w:rPr>
        <w:t>医院业务</w:t>
      </w:r>
      <w:r>
        <w:rPr>
          <w:rFonts w:hint="eastAsia" w:ascii="仿宋_GB2312" w:hAnsi="仿宋_GB2312" w:eastAsia="仿宋_GB2312" w:cs="仿宋_GB2312"/>
          <w:color w:val="000000"/>
          <w:sz w:val="32"/>
          <w:szCs w:val="32"/>
        </w:rPr>
        <w:t>服务</w:t>
      </w:r>
      <w:r>
        <w:rPr>
          <w:rFonts w:hint="eastAsia" w:ascii="仿宋_GB2312" w:hAnsi="仿宋_GB2312" w:eastAsia="仿宋_GB2312" w:cs="仿宋_GB2312"/>
          <w:color w:val="000000"/>
          <w:sz w:val="32"/>
          <w:szCs w:val="32"/>
          <w:lang w:val="en-US" w:eastAsia="zh-CN"/>
        </w:rPr>
        <w:t>不松懈</w:t>
      </w:r>
      <w:r>
        <w:rPr>
          <w:rFonts w:hint="eastAsia" w:ascii="仿宋_GB2312" w:hAnsi="仿宋_GB2312" w:eastAsia="仿宋_GB2312" w:cs="仿宋_GB2312"/>
          <w:color w:val="000000"/>
          <w:sz w:val="32"/>
          <w:szCs w:val="32"/>
        </w:rPr>
        <w:t>，同时在</w:t>
      </w:r>
      <w:r>
        <w:rPr>
          <w:rFonts w:hint="eastAsia" w:ascii="仿宋_GB2312" w:hAnsi="仿宋_GB2312" w:cs="仿宋_GB2312"/>
          <w:color w:val="000000"/>
          <w:sz w:val="32"/>
          <w:szCs w:val="32"/>
          <w:lang w:eastAsia="zh-CN"/>
        </w:rPr>
        <w:t>上级主管部门的领导下保运转，抗疫情，</w:t>
      </w:r>
      <w:r>
        <w:rPr>
          <w:rFonts w:hint="eastAsia" w:ascii="仿宋_GB2312" w:hAnsi="仿宋_GB2312" w:eastAsia="仿宋_GB2312" w:cs="仿宋_GB2312"/>
          <w:color w:val="000000"/>
          <w:sz w:val="32"/>
          <w:szCs w:val="32"/>
        </w:rPr>
        <w:t>严格按照</w:t>
      </w:r>
      <w:r>
        <w:rPr>
          <w:rFonts w:hint="eastAsia" w:ascii="仿宋_GB2312" w:hAnsi="仿宋_GB2312" w:cs="仿宋_GB2312"/>
          <w:color w:val="000000"/>
          <w:sz w:val="32"/>
          <w:szCs w:val="32"/>
          <w:lang w:eastAsia="zh-CN"/>
        </w:rPr>
        <w:t>医院</w:t>
      </w:r>
      <w:r>
        <w:rPr>
          <w:rFonts w:hint="eastAsia" w:ascii="仿宋_GB2312" w:hAnsi="仿宋_GB2312" w:eastAsia="仿宋_GB2312" w:cs="仿宋_GB2312"/>
          <w:color w:val="000000"/>
          <w:sz w:val="32"/>
          <w:szCs w:val="32"/>
        </w:rPr>
        <w:t>承担的重点工作任务，</w:t>
      </w:r>
      <w:r>
        <w:rPr>
          <w:rFonts w:hint="eastAsia" w:ascii="仿宋_GB2312" w:hAnsi="仿宋_GB2312" w:eastAsia="仿宋_GB2312" w:cs="仿宋_GB2312"/>
          <w:color w:val="000000"/>
          <w:sz w:val="32"/>
          <w:szCs w:val="32"/>
          <w:lang w:val="en-US" w:eastAsia="zh-CN"/>
        </w:rPr>
        <w:t>有序</w:t>
      </w:r>
      <w:r>
        <w:rPr>
          <w:rFonts w:hint="eastAsia" w:ascii="仿宋_GB2312" w:hAnsi="仿宋_GB2312" w:eastAsia="仿宋_GB2312" w:cs="仿宋_GB2312"/>
          <w:sz w:val="32"/>
          <w:szCs w:val="32"/>
          <w:lang w:eastAsia="zh-CN"/>
        </w:rPr>
        <w:t>推进</w:t>
      </w:r>
      <w:r>
        <w:rPr>
          <w:rFonts w:hint="eastAsia" w:ascii="仿宋_GB2312" w:hAnsi="仿宋_GB2312" w:eastAsia="仿宋_GB2312" w:cs="仿宋_GB2312"/>
          <w:color w:val="000000"/>
          <w:sz w:val="32"/>
          <w:szCs w:val="32"/>
          <w:lang w:val="en-US" w:eastAsia="zh-CN"/>
        </w:rPr>
        <w:t>各项工作</w:t>
      </w:r>
      <w:r>
        <w:rPr>
          <w:rFonts w:hint="eastAsia" w:ascii="仿宋_GB2312" w:hAnsi="仿宋_GB2312" w:cs="仿宋_GB2312"/>
          <w:color w:val="000000"/>
          <w:sz w:val="32"/>
          <w:szCs w:val="32"/>
          <w:lang w:val="en-US" w:eastAsia="zh-CN"/>
        </w:rPr>
        <w:t>，</w:t>
      </w:r>
      <w:r>
        <w:rPr>
          <w:rFonts w:hint="eastAsia" w:ascii="仿宋_GB2312" w:hAnsi="仿宋_GB2312" w:cs="仿宋_GB2312"/>
          <w:color w:val="000000"/>
          <w:sz w:val="32"/>
          <w:szCs w:val="32"/>
          <w:lang w:eastAsia="zh-CN"/>
        </w:rPr>
        <w:t>使新区老百姓在严峻的抗疫情况下享受到相对完善的医疗救治服务。</w:t>
      </w:r>
    </w:p>
    <w:p>
      <w:pPr>
        <w:pStyle w:val="3"/>
        <w:keepNext w:val="0"/>
        <w:keepLines w:val="0"/>
        <w:pageBreakBefore w:val="0"/>
        <w:widowControl/>
        <w:kinsoku/>
        <w:wordWrap/>
        <w:overflowPunct/>
        <w:topLinePunct w:val="0"/>
        <w:autoSpaceDE/>
        <w:autoSpaceDN/>
        <w:bidi w:val="0"/>
        <w:spacing w:line="540" w:lineRule="exact"/>
        <w:ind w:right="0" w:firstLine="643" w:firstLineChars="200"/>
        <w:jc w:val="both"/>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3、能力建设</w:t>
      </w:r>
    </w:p>
    <w:p>
      <w:pPr>
        <w:pStyle w:val="7"/>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根据科室业务发展，有计划的储备</w:t>
      </w:r>
      <w:r>
        <w:rPr>
          <w:rFonts w:hint="eastAsia" w:ascii="仿宋_GB2312" w:hAnsi="仿宋_GB2312" w:cs="仿宋_GB2312"/>
          <w:color w:val="000000"/>
          <w:sz w:val="32"/>
          <w:szCs w:val="32"/>
          <w:lang w:val="en-US" w:eastAsia="zh-CN"/>
        </w:rPr>
        <w:t>相关专业技术</w:t>
      </w:r>
      <w:r>
        <w:rPr>
          <w:rFonts w:hint="eastAsia" w:ascii="仿宋_GB2312" w:hAnsi="仿宋_GB2312" w:eastAsia="仿宋_GB2312" w:cs="仿宋_GB2312"/>
          <w:color w:val="000000"/>
          <w:sz w:val="32"/>
          <w:szCs w:val="32"/>
          <w:lang w:val="en-US" w:eastAsia="zh-CN"/>
        </w:rPr>
        <w:t>人才，派</w:t>
      </w:r>
      <w:r>
        <w:rPr>
          <w:rFonts w:hint="eastAsia" w:ascii="仿宋_GB2312" w:hAnsi="仿宋_GB2312" w:cs="仿宋_GB2312"/>
          <w:color w:val="000000"/>
          <w:sz w:val="32"/>
          <w:szCs w:val="32"/>
          <w:lang w:val="en-US" w:eastAsia="zh-CN"/>
        </w:rPr>
        <w:t>遣</w:t>
      </w:r>
      <w:r>
        <w:rPr>
          <w:rFonts w:hint="eastAsia" w:ascii="仿宋_GB2312" w:hAnsi="仿宋_GB2312" w:eastAsia="仿宋_GB2312" w:cs="仿宋_GB2312"/>
          <w:color w:val="000000"/>
          <w:sz w:val="32"/>
          <w:szCs w:val="32"/>
          <w:lang w:val="en-US" w:eastAsia="zh-CN"/>
        </w:rPr>
        <w:t>医务人员</w:t>
      </w:r>
      <w:r>
        <w:rPr>
          <w:rFonts w:hint="eastAsia" w:ascii="仿宋_GB2312" w:hAnsi="仿宋_GB2312" w:cs="仿宋_GB2312"/>
          <w:color w:val="000000"/>
          <w:sz w:val="32"/>
          <w:szCs w:val="32"/>
          <w:lang w:val="en-US" w:eastAsia="zh-CN"/>
        </w:rPr>
        <w:t>前往同级及以上医疗</w:t>
      </w:r>
      <w:r>
        <w:rPr>
          <w:rFonts w:hint="eastAsia" w:ascii="仿宋_GB2312" w:hAnsi="仿宋_GB2312" w:eastAsia="仿宋_GB2312" w:cs="仿宋_GB2312"/>
          <w:color w:val="000000"/>
          <w:sz w:val="32"/>
          <w:szCs w:val="32"/>
          <w:lang w:val="en-US" w:eastAsia="zh-CN"/>
        </w:rPr>
        <w:t>机构进修学习。在新入职</w:t>
      </w:r>
      <w:r>
        <w:rPr>
          <w:rFonts w:hint="eastAsia" w:ascii="仿宋_GB2312" w:hAnsi="仿宋_GB2312" w:cs="仿宋_GB2312"/>
          <w:color w:val="000000"/>
          <w:sz w:val="32"/>
          <w:szCs w:val="32"/>
          <w:lang w:val="en-US" w:eastAsia="zh-CN"/>
        </w:rPr>
        <w:t>人员</w:t>
      </w:r>
      <w:r>
        <w:rPr>
          <w:rFonts w:hint="eastAsia" w:ascii="仿宋_GB2312" w:hAnsi="仿宋_GB2312" w:eastAsia="仿宋_GB2312" w:cs="仿宋_GB2312"/>
          <w:color w:val="000000"/>
          <w:sz w:val="32"/>
          <w:szCs w:val="32"/>
          <w:lang w:val="en-US" w:eastAsia="zh-CN"/>
        </w:rPr>
        <w:t>培训</w:t>
      </w:r>
      <w:r>
        <w:rPr>
          <w:rFonts w:hint="eastAsia" w:ascii="仿宋_GB2312" w:hAnsi="仿宋_GB2312" w:cs="仿宋_GB2312"/>
          <w:color w:val="000000"/>
          <w:sz w:val="32"/>
          <w:szCs w:val="32"/>
          <w:lang w:val="en-US" w:eastAsia="zh-CN"/>
        </w:rPr>
        <w:t>中</w:t>
      </w:r>
      <w:r>
        <w:rPr>
          <w:rFonts w:hint="eastAsia" w:ascii="仿宋_GB2312" w:hAnsi="仿宋_GB2312" w:eastAsia="仿宋_GB2312" w:cs="仿宋_GB2312"/>
          <w:color w:val="000000"/>
          <w:sz w:val="32"/>
          <w:szCs w:val="32"/>
          <w:lang w:val="en-US" w:eastAsia="zh-CN"/>
        </w:rPr>
        <w:t>，随着业务逐渐开展的情况，培训制度</w:t>
      </w:r>
      <w:r>
        <w:rPr>
          <w:rFonts w:hint="eastAsia" w:ascii="仿宋_GB2312" w:hAnsi="仿宋_GB2312" w:cs="仿宋_GB2312"/>
          <w:color w:val="000000"/>
          <w:sz w:val="32"/>
          <w:szCs w:val="32"/>
          <w:lang w:val="en-US" w:eastAsia="zh-CN"/>
        </w:rPr>
        <w:t>及内容</w:t>
      </w:r>
      <w:r>
        <w:rPr>
          <w:rFonts w:hint="eastAsia" w:ascii="仿宋_GB2312" w:hAnsi="仿宋_GB2312" w:eastAsia="仿宋_GB2312" w:cs="仿宋_GB2312"/>
          <w:color w:val="000000"/>
          <w:sz w:val="32"/>
          <w:szCs w:val="32"/>
          <w:lang w:val="en-US" w:eastAsia="zh-CN"/>
        </w:rPr>
        <w:t>需与时俱进，</w:t>
      </w:r>
      <w:r>
        <w:rPr>
          <w:rFonts w:hint="eastAsia" w:ascii="仿宋_GB2312" w:hAnsi="仿宋_GB2312" w:cs="仿宋_GB2312"/>
          <w:color w:val="000000"/>
          <w:sz w:val="32"/>
          <w:szCs w:val="32"/>
          <w:lang w:val="en-US" w:eastAsia="zh-CN"/>
        </w:rPr>
        <w:t>除了及时更新</w:t>
      </w:r>
      <w:r>
        <w:rPr>
          <w:rFonts w:hint="eastAsia" w:ascii="仿宋_GB2312" w:hAnsi="仿宋_GB2312" w:eastAsia="仿宋_GB2312" w:cs="仿宋_GB2312"/>
          <w:color w:val="000000"/>
          <w:sz w:val="32"/>
          <w:szCs w:val="32"/>
          <w:lang w:val="en-US" w:eastAsia="zh-CN"/>
        </w:rPr>
        <w:t>国家</w:t>
      </w:r>
      <w:r>
        <w:rPr>
          <w:rFonts w:hint="eastAsia" w:ascii="仿宋_GB2312" w:hAnsi="仿宋_GB2312" w:cs="仿宋_GB2312"/>
          <w:color w:val="000000"/>
          <w:sz w:val="32"/>
          <w:szCs w:val="32"/>
          <w:lang w:val="en-US" w:eastAsia="zh-CN"/>
        </w:rPr>
        <w:t>相关</w:t>
      </w:r>
      <w:r>
        <w:rPr>
          <w:rFonts w:hint="eastAsia" w:ascii="仿宋_GB2312" w:hAnsi="仿宋_GB2312" w:eastAsia="仿宋_GB2312" w:cs="仿宋_GB2312"/>
          <w:color w:val="000000"/>
          <w:sz w:val="32"/>
          <w:szCs w:val="32"/>
          <w:lang w:val="en-US" w:eastAsia="zh-CN"/>
        </w:rPr>
        <w:t>政策</w:t>
      </w:r>
      <w:r>
        <w:rPr>
          <w:rFonts w:hint="eastAsia" w:ascii="仿宋_GB2312" w:hAnsi="仿宋_GB2312" w:cs="仿宋_GB2312"/>
          <w:color w:val="000000"/>
          <w:sz w:val="32"/>
          <w:szCs w:val="32"/>
          <w:lang w:val="en-US" w:eastAsia="zh-CN"/>
        </w:rPr>
        <w:t>及法律法规外</w:t>
      </w:r>
      <w:r>
        <w:rPr>
          <w:rFonts w:hint="eastAsia" w:ascii="仿宋_GB2312" w:hAnsi="仿宋_GB2312" w:eastAsia="仿宋_GB2312" w:cs="仿宋_GB2312"/>
          <w:color w:val="000000"/>
          <w:sz w:val="32"/>
          <w:szCs w:val="32"/>
          <w:lang w:val="en-US" w:eastAsia="zh-CN"/>
        </w:rPr>
        <w:t>，需要完善</w:t>
      </w:r>
      <w:r>
        <w:rPr>
          <w:rFonts w:hint="eastAsia" w:ascii="仿宋_GB2312" w:hAnsi="仿宋_GB2312" w:cs="仿宋_GB2312"/>
          <w:color w:val="000000"/>
          <w:sz w:val="32"/>
          <w:szCs w:val="32"/>
          <w:lang w:val="en-US" w:eastAsia="zh-CN"/>
        </w:rPr>
        <w:t>相关的基本临床技能操作培训</w:t>
      </w:r>
      <w:r>
        <w:rPr>
          <w:rFonts w:hint="eastAsia" w:ascii="仿宋_GB2312" w:hAnsi="仿宋_GB2312" w:eastAsia="仿宋_GB2312" w:cs="仿宋_GB2312"/>
          <w:color w:val="000000"/>
          <w:sz w:val="32"/>
          <w:szCs w:val="32"/>
          <w:lang w:val="en-US" w:eastAsia="zh-CN"/>
        </w:rPr>
        <w:t>。</w:t>
      </w:r>
    </w:p>
    <w:p>
      <w:pPr>
        <w:pStyle w:val="3"/>
        <w:keepNext w:val="0"/>
        <w:keepLines w:val="0"/>
        <w:pageBreakBefore w:val="0"/>
        <w:widowControl/>
        <w:numPr>
          <w:ilvl w:val="0"/>
          <w:numId w:val="0"/>
        </w:numPr>
        <w:kinsoku/>
        <w:wordWrap/>
        <w:overflowPunct/>
        <w:topLinePunct w:val="0"/>
        <w:autoSpaceDE/>
        <w:autoSpaceDN/>
        <w:bidi w:val="0"/>
        <w:spacing w:line="540" w:lineRule="exact"/>
        <w:ind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黑体" w:hAnsi="黑体" w:eastAsia="黑体" w:cs="黑体"/>
          <w:b w:val="0"/>
          <w:bCs w:val="0"/>
          <w:kern w:val="2"/>
          <w:sz w:val="32"/>
          <w:szCs w:val="32"/>
          <w:lang w:val="en-US" w:eastAsia="zh-CN" w:bidi="ar-SA"/>
        </w:rPr>
        <w:t>四、绩效自评结果拟应用和公开情况</w:t>
      </w:r>
    </w:p>
    <w:p>
      <w:pPr>
        <w:pStyle w:val="3"/>
        <w:keepNext w:val="0"/>
        <w:keepLines w:val="0"/>
        <w:pageBreakBefore w:val="0"/>
        <w:widowControl/>
        <w:numPr>
          <w:ilvl w:val="0"/>
          <w:numId w:val="0"/>
        </w:numPr>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本次绩效自评工作的要求及相关文件规定，对预算执行情况自评结果进行了分析总结，进一步了解了有关预算执行的内容，方便在以后能够详细规划下一年度的预算执行，在现有的基础上，对需要整改的内容提前进行整改。</w:t>
      </w:r>
    </w:p>
    <w:p>
      <w:pPr>
        <w:pStyle w:val="3"/>
        <w:keepNext w:val="0"/>
        <w:keepLines w:val="0"/>
        <w:pageBreakBefore w:val="0"/>
        <w:widowControl/>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sz w:val="32"/>
          <w:szCs w:val="32"/>
        </w:rPr>
      </w:pPr>
      <w:r>
        <w:rPr>
          <w:rFonts w:hint="eastAsia" w:ascii="黑体" w:hAnsi="黑体" w:eastAsia="黑体" w:cs="黑体"/>
          <w:b w:val="0"/>
          <w:bCs w:val="0"/>
          <w:kern w:val="2"/>
          <w:sz w:val="32"/>
          <w:szCs w:val="32"/>
          <w:lang w:val="en-US" w:eastAsia="zh-CN" w:bidi="ar-SA"/>
        </w:rPr>
        <w:t>五、其他需要说明的问题</w:t>
      </w:r>
    </w:p>
    <w:p>
      <w:pPr>
        <w:keepNext w:val="0"/>
        <w:keepLines w:val="0"/>
        <w:pageBreakBefore w:val="0"/>
        <w:kinsoku/>
        <w:wordWrap/>
        <w:overflowPunct/>
        <w:topLinePunct w:val="0"/>
        <w:autoSpaceDE/>
        <w:autoSpaceDN/>
        <w:bidi w:val="0"/>
        <w:spacing w:line="540" w:lineRule="exact"/>
        <w:ind w:right="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本次绩效自评无其他需要说明的问题。</w:t>
      </w:r>
    </w:p>
    <w:p>
      <w:pPr>
        <w:keepNext w:val="0"/>
        <w:keepLines w:val="0"/>
        <w:pageBreakBefore w:val="0"/>
        <w:numPr>
          <w:ilvl w:val="5"/>
          <w:numId w:val="0"/>
        </w:numPr>
        <w:kinsoku/>
        <w:wordWrap/>
        <w:overflowPunct/>
        <w:topLinePunct w:val="0"/>
        <w:autoSpaceDE/>
        <w:autoSpaceDN/>
        <w:bidi w:val="0"/>
        <w:spacing w:line="560" w:lineRule="exact"/>
        <w:ind w:right="0"/>
        <w:jc w:val="left"/>
        <w:textAlignment w:val="auto"/>
        <w:outlineLvl w:val="9"/>
        <w:rPr>
          <w:rFonts w:hint="eastAsia" w:ascii="仿宋_GB2312" w:hAnsi="仿宋_GB2312" w:eastAsia="仿宋_GB2312" w:cs="仿宋_GB2312"/>
          <w:sz w:val="32"/>
          <w:szCs w:val="32"/>
          <w:lang w:val="en-US" w:eastAsia="zh-CN"/>
        </w:rPr>
      </w:pPr>
    </w:p>
    <w:p>
      <w:pPr>
        <w:pStyle w:val="7"/>
        <w:rPr>
          <w:rFonts w:hint="eastAsia" w:ascii="仿宋_GB2312" w:hAnsi="仿宋_GB2312" w:eastAsia="仿宋_GB2312" w:cs="仿宋_GB2312"/>
          <w:sz w:val="32"/>
          <w:szCs w:val="32"/>
          <w:lang w:val="en-US" w:eastAsia="zh-CN"/>
        </w:rPr>
      </w:pPr>
    </w:p>
    <w:p>
      <w:pPr>
        <w:pStyle w:val="7"/>
        <w:rPr>
          <w:rFonts w:hint="eastAsia" w:ascii="仿宋_GB2312" w:hAnsi="仿宋_GB2312" w:eastAsia="仿宋_GB2312" w:cs="仿宋_GB2312"/>
          <w:sz w:val="32"/>
          <w:szCs w:val="32"/>
          <w:lang w:val="en-US" w:eastAsia="zh-CN"/>
        </w:rPr>
      </w:pPr>
    </w:p>
    <w:p>
      <w:pPr>
        <w:pStyle w:val="3"/>
        <w:keepNext w:val="0"/>
        <w:keepLines w:val="0"/>
        <w:pageBreakBefore w:val="0"/>
        <w:widowControl/>
        <w:kinsoku/>
        <w:wordWrap/>
        <w:overflowPunct/>
        <w:topLinePunct w:val="0"/>
        <w:autoSpaceDE/>
        <w:autoSpaceDN/>
        <w:bidi w:val="0"/>
        <w:spacing w:line="560" w:lineRule="exact"/>
        <w:ind w:right="0" w:firstLine="3200" w:firstLineChars="1000"/>
        <w:jc w:val="right"/>
        <w:textAlignment w:val="auto"/>
        <w:outlineLvl w:val="9"/>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rPr>
        <w:t>兰州新区</w:t>
      </w:r>
      <w:r>
        <w:rPr>
          <w:rFonts w:hint="eastAsia" w:ascii="仿宋_GB2312" w:hAnsi="仿宋_GB2312" w:eastAsia="仿宋_GB2312" w:cs="仿宋_GB2312"/>
          <w:sz w:val="32"/>
          <w:szCs w:val="32"/>
          <w:lang w:eastAsia="zh-CN"/>
        </w:rPr>
        <w:t>第一人民医院</w:t>
      </w:r>
    </w:p>
    <w:p>
      <w:pPr>
        <w:pStyle w:val="3"/>
        <w:keepNext w:val="0"/>
        <w:keepLines w:val="0"/>
        <w:pageBreakBefore w:val="0"/>
        <w:widowControl/>
        <w:kinsoku/>
        <w:wordWrap/>
        <w:overflowPunct/>
        <w:topLinePunct w:val="0"/>
        <w:autoSpaceDE/>
        <w:autoSpaceDN/>
        <w:bidi w:val="0"/>
        <w:spacing w:line="560" w:lineRule="exact"/>
        <w:ind w:right="0" w:firstLine="640" w:firstLineChars="200"/>
        <w:jc w:val="righ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spacing w:line="560" w:lineRule="exact"/>
        <w:textAlignment w:val="auto"/>
        <w:rPr>
          <w:rFonts w:hint="default"/>
          <w:lang w:val="en-US" w:eastAsia="zh-CN"/>
        </w:rPr>
      </w:pPr>
    </w:p>
    <w:p/>
    <w:sectPr>
      <w:footerReference r:id="rId4" w:type="default"/>
      <w:pgSz w:w="11906" w:h="16838"/>
      <w:pgMar w:top="1440" w:right="1800" w:bottom="1440" w:left="1800" w:header="851" w:footer="992"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仿宋_GB2312">
    <w:altName w:val="仿宋"/>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1083"/>
        <w:tab w:val="clear" w:pos="4153"/>
      </w:tabs>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1083"/>
        <w:tab w:val="clear" w:pos="4153"/>
      </w:tabs>
      <w:rPr>
        <w:rFonts w:hint="eastAsia" w:ascii="仿宋" w:hAnsi="仿宋" w:eastAsia="仿宋" w:cs="仿宋"/>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1774E6"/>
    <w:rsid w:val="15177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rPr>
      <w:sz w:val="24"/>
    </w:rPr>
  </w:style>
  <w:style w:type="character" w:styleId="5">
    <w:name w:val="Strong"/>
    <w:basedOn w:val="4"/>
    <w:qFormat/>
    <w:uiPriority w:val="0"/>
    <w:rPr>
      <w:b/>
    </w:rPr>
  </w:style>
  <w:style w:type="paragraph" w:customStyle="1" w:styleId="7">
    <w:name w:val="样式1"/>
    <w:basedOn w:val="1"/>
    <w:qFormat/>
    <w:uiPriority w:val="0"/>
    <w:rPr>
      <w:rFonts w:eastAsia="仿宋_GB2312"/>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2023-09-18T06:53:00Z</dcterms:created>
  <dc:creator>Administrator</dc:creator>
  <cp:lastModifiedBy>Administrator</cp:lastModifiedBy>
  <dcterms:modified xsi:type="dcterms:W3CDTF">2023-09-18T07:40:55Z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