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pPr>
        <w:pStyle w:val="7"/>
        <w:pageBreakBefore w:val="0"/>
        <w:widowControl/>
        <w:kinsoku/>
        <w:wordWrap/>
        <w:overflowPunct/>
        <w:topLinePunct w:val="0"/>
        <w:autoSpaceDE/>
        <w:autoSpaceDN/>
        <w:bidi w:val="0"/>
        <w:adjustRightInd/>
        <w:spacing w:line="560" w:lineRule="exact"/>
        <w:ind w:left="1760" w:hanging="1767" w:hangingChars="400"/>
        <w:jc w:val="center"/>
        <w:textAlignment w:val="auto"/>
        <w:rPr>
          <w:rFonts w:hint="eastAsia" w:asciiTheme="majorEastAsia" w:hAnsiTheme="majorEastAsia" w:eastAsiaTheme="majorEastAsia" w:cstheme="majorEastAsia"/>
          <w:b/>
          <w:bCs/>
          <w:sz w:val="44"/>
          <w:szCs w:val="44"/>
          <w:lang w:val="en-US" w:eastAsia="zh-CN" w:bidi="ar"/>
        </w:rPr>
      </w:pPr>
      <w:r>
        <w:rPr>
          <w:rFonts w:hint="eastAsia" w:asciiTheme="majorEastAsia" w:hAnsiTheme="majorEastAsia" w:eastAsiaTheme="majorEastAsia" w:cstheme="majorEastAsia"/>
          <w:b/>
          <w:bCs/>
          <w:sz w:val="44"/>
          <w:szCs w:val="44"/>
          <w:lang w:bidi="ar"/>
        </w:rPr>
        <w:t>兰州新区</w:t>
      </w:r>
      <w:r>
        <w:rPr>
          <w:rFonts w:hint="eastAsia" w:asciiTheme="majorEastAsia" w:hAnsiTheme="majorEastAsia" w:eastAsiaTheme="majorEastAsia" w:cstheme="majorEastAsia"/>
          <w:b/>
          <w:bCs/>
          <w:sz w:val="44"/>
          <w:szCs w:val="44"/>
          <w:lang w:val="en-US" w:eastAsia="zh-CN" w:bidi="ar"/>
        </w:rPr>
        <w:t>瑞岭雅苑社区卫生服中心</w:t>
      </w:r>
    </w:p>
    <w:p>
      <w:pPr>
        <w:pStyle w:val="7"/>
        <w:pageBreakBefore w:val="0"/>
        <w:widowControl/>
        <w:kinsoku/>
        <w:wordWrap/>
        <w:overflowPunct/>
        <w:topLinePunct w:val="0"/>
        <w:autoSpaceDE/>
        <w:autoSpaceDN/>
        <w:bidi w:val="0"/>
        <w:adjustRightInd/>
        <w:spacing w:line="560" w:lineRule="exact"/>
        <w:ind w:left="1760" w:hanging="1767" w:hangingChars="400"/>
        <w:jc w:val="center"/>
        <w:textAlignment w:val="auto"/>
        <w:rPr>
          <w:rFonts w:hint="eastAsia" w:asciiTheme="majorEastAsia" w:hAnsiTheme="majorEastAsia" w:eastAsiaTheme="majorEastAsia" w:cstheme="majorEastAsia"/>
          <w:b/>
          <w:bCs/>
          <w:sz w:val="44"/>
          <w:szCs w:val="44"/>
          <w:lang w:bidi="ar"/>
        </w:rPr>
      </w:pPr>
      <w:r>
        <w:rPr>
          <w:rFonts w:hint="eastAsia" w:asciiTheme="majorEastAsia" w:hAnsiTheme="majorEastAsia" w:eastAsiaTheme="majorEastAsia" w:cstheme="majorEastAsia"/>
          <w:b/>
          <w:bCs/>
          <w:sz w:val="44"/>
          <w:szCs w:val="44"/>
          <w:lang w:eastAsia="zh-CN" w:bidi="ar"/>
        </w:rPr>
        <w:t>202</w:t>
      </w:r>
      <w:r>
        <w:rPr>
          <w:rFonts w:hint="eastAsia" w:asciiTheme="majorEastAsia" w:hAnsiTheme="majorEastAsia" w:eastAsiaTheme="majorEastAsia" w:cstheme="majorEastAsia"/>
          <w:b/>
          <w:bCs/>
          <w:sz w:val="44"/>
          <w:szCs w:val="44"/>
          <w:lang w:val="en-US" w:eastAsia="zh-CN" w:bidi="ar"/>
        </w:rPr>
        <w:t>2</w:t>
      </w:r>
      <w:r>
        <w:rPr>
          <w:rFonts w:hint="eastAsia" w:asciiTheme="majorEastAsia" w:hAnsiTheme="majorEastAsia" w:eastAsiaTheme="majorEastAsia" w:cstheme="majorEastAsia"/>
          <w:b/>
          <w:bCs/>
          <w:sz w:val="44"/>
          <w:szCs w:val="44"/>
          <w:lang w:bidi="ar"/>
        </w:rPr>
        <w:t>年度</w:t>
      </w:r>
      <w:r>
        <w:rPr>
          <w:rFonts w:hint="eastAsia" w:asciiTheme="majorEastAsia" w:hAnsiTheme="majorEastAsia" w:eastAsiaTheme="majorEastAsia" w:cstheme="majorEastAsia"/>
          <w:b/>
          <w:bCs/>
          <w:sz w:val="44"/>
          <w:szCs w:val="44"/>
          <w:lang w:eastAsia="zh-CN" w:bidi="ar"/>
        </w:rPr>
        <w:t>整体支出绩效</w:t>
      </w:r>
      <w:r>
        <w:rPr>
          <w:rFonts w:hint="eastAsia" w:asciiTheme="majorEastAsia" w:hAnsiTheme="majorEastAsia" w:eastAsiaTheme="majorEastAsia" w:cstheme="majorEastAsia"/>
          <w:b/>
          <w:bCs/>
          <w:sz w:val="44"/>
          <w:szCs w:val="44"/>
          <w:lang w:bidi="ar"/>
        </w:rPr>
        <w:t>自评报告</w:t>
      </w:r>
    </w:p>
    <w:p>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p>
    <w:p>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val="en-US" w:eastAsia="zh-CN"/>
        </w:rPr>
        <w:t>单位</w:t>
      </w:r>
      <w:r>
        <w:rPr>
          <w:rFonts w:hint="eastAsia" w:ascii="黑体" w:hAnsi="黑体" w:eastAsia="黑体" w:cs="黑体"/>
          <w:sz w:val="32"/>
          <w:szCs w:val="32"/>
        </w:rPr>
        <w:t>基本情况</w:t>
      </w:r>
    </w:p>
    <w:p>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lang w:val="en-US" w:eastAsia="zh-CN"/>
        </w:rPr>
        <w:t>(一)主要</w:t>
      </w:r>
      <w:r>
        <w:rPr>
          <w:rFonts w:hint="eastAsia" w:ascii="楷体" w:hAnsi="楷体" w:eastAsia="楷体" w:cs="楷体"/>
          <w:b w:val="0"/>
          <w:bCs w:val="0"/>
          <w:sz w:val="32"/>
          <w:szCs w:val="32"/>
        </w:rPr>
        <w:t>职责</w:t>
      </w:r>
    </w:p>
    <w:p>
      <w:pPr>
        <w:pageBreakBefore w:val="0"/>
        <w:kinsoku/>
        <w:wordWrap/>
        <w:overflowPunct/>
        <w:topLinePunct w:val="0"/>
        <w:autoSpaceDE/>
        <w:autoSpaceDN/>
        <w:bidi w:val="0"/>
        <w:adjustRightInd/>
        <w:spacing w:line="560" w:lineRule="exact"/>
        <w:ind w:firstLine="640" w:firstLineChars="200"/>
        <w:textAlignment w:val="auto"/>
        <w:rPr>
          <w:rStyle w:val="10"/>
          <w:rFonts w:hint="eastAsia" w:ascii="仿宋_GB2312" w:hAnsi="仿宋_GB2312" w:eastAsia="仿宋_GB2312" w:cs="仿宋_GB2312"/>
          <w:b w:val="0"/>
          <w:bCs/>
          <w:i w:val="0"/>
          <w:caps w:val="0"/>
          <w:color w:val="333333"/>
          <w:spacing w:val="0"/>
          <w:sz w:val="32"/>
          <w:szCs w:val="32"/>
          <w:highlight w:val="none"/>
          <w:shd w:val="clear" w:fill="FFFFFF"/>
        </w:rPr>
      </w:pPr>
      <w:r>
        <w:rPr>
          <w:rStyle w:val="10"/>
          <w:rFonts w:hint="eastAsia" w:ascii="仿宋_GB2312" w:hAnsi="仿宋_GB2312" w:eastAsia="仿宋_GB2312" w:cs="仿宋_GB2312"/>
          <w:b w:val="0"/>
          <w:bCs/>
          <w:i w:val="0"/>
          <w:caps w:val="0"/>
          <w:color w:val="333333"/>
          <w:spacing w:val="0"/>
          <w:sz w:val="32"/>
          <w:szCs w:val="32"/>
          <w:highlight w:val="none"/>
          <w:shd w:val="clear" w:fill="FFFFFF"/>
          <w:lang w:eastAsia="zh-CN"/>
        </w:rPr>
        <w:t>兰州新区瑞岭雅苑社区卫生服务中心</w:t>
      </w:r>
      <w:r>
        <w:rPr>
          <w:rStyle w:val="10"/>
          <w:rFonts w:hint="eastAsia" w:ascii="仿宋_GB2312" w:hAnsi="仿宋_GB2312" w:eastAsia="仿宋_GB2312" w:cs="仿宋_GB2312"/>
          <w:b w:val="0"/>
          <w:bCs/>
          <w:i w:val="0"/>
          <w:caps w:val="0"/>
          <w:color w:val="333333"/>
          <w:spacing w:val="0"/>
          <w:sz w:val="32"/>
          <w:szCs w:val="32"/>
          <w:highlight w:val="none"/>
          <w:shd w:val="clear" w:fill="FFFFFF"/>
        </w:rPr>
        <w:t>为非营利性医疗机构，主要</w:t>
      </w:r>
      <w:r>
        <w:rPr>
          <w:rStyle w:val="10"/>
          <w:rFonts w:hint="eastAsia" w:ascii="仿宋_GB2312" w:hAnsi="仿宋_GB2312" w:eastAsia="仿宋_GB2312" w:cs="仿宋_GB2312"/>
          <w:b w:val="0"/>
          <w:bCs/>
          <w:i w:val="0"/>
          <w:caps w:val="0"/>
          <w:color w:val="333333"/>
          <w:spacing w:val="0"/>
          <w:sz w:val="32"/>
          <w:szCs w:val="32"/>
          <w:highlight w:val="none"/>
          <w:shd w:val="clear" w:fill="FFFFFF"/>
          <w:lang w:eastAsia="zh-CN"/>
        </w:rPr>
        <w:t>承担</w:t>
      </w:r>
      <w:r>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t>瑞岭雅苑、翠园、引大家园等1.7万</w:t>
      </w:r>
      <w:r>
        <w:rPr>
          <w:rStyle w:val="10"/>
          <w:rFonts w:hint="eastAsia" w:ascii="仿宋_GB2312" w:hAnsi="仿宋_GB2312" w:eastAsia="仿宋_GB2312" w:cs="仿宋_GB2312"/>
          <w:b w:val="0"/>
          <w:bCs/>
          <w:i w:val="0"/>
          <w:caps w:val="0"/>
          <w:color w:val="333333"/>
          <w:spacing w:val="0"/>
          <w:sz w:val="32"/>
          <w:szCs w:val="32"/>
          <w:highlight w:val="none"/>
          <w:shd w:val="clear" w:fill="FFFFFF"/>
          <w:lang w:eastAsia="zh-CN"/>
        </w:rPr>
        <w:t>居民的基本医疗服务和国家</w:t>
      </w:r>
      <w:r>
        <w:rPr>
          <w:rStyle w:val="10"/>
          <w:rFonts w:hint="eastAsia" w:ascii="仿宋_GB2312" w:hAnsi="仿宋_GB2312" w:eastAsia="仿宋_GB2312" w:cs="仿宋_GB2312"/>
          <w:b w:val="0"/>
          <w:bCs/>
          <w:i w:val="0"/>
          <w:caps w:val="0"/>
          <w:color w:val="333333"/>
          <w:spacing w:val="0"/>
          <w:sz w:val="32"/>
          <w:szCs w:val="32"/>
          <w:highlight w:val="none"/>
          <w:shd w:val="clear" w:fill="FFFFFF"/>
        </w:rPr>
        <w:t>基本公共卫生服务</w:t>
      </w:r>
      <w:r>
        <w:rPr>
          <w:rStyle w:val="10"/>
          <w:rFonts w:hint="eastAsia" w:ascii="仿宋_GB2312" w:hAnsi="仿宋_GB2312" w:eastAsia="仿宋_GB2312" w:cs="仿宋_GB2312"/>
          <w:b w:val="0"/>
          <w:bCs/>
          <w:i w:val="0"/>
          <w:caps w:val="0"/>
          <w:color w:val="333333"/>
          <w:spacing w:val="0"/>
          <w:sz w:val="32"/>
          <w:szCs w:val="32"/>
          <w:highlight w:val="none"/>
          <w:shd w:val="clear" w:fill="FFFFFF"/>
          <w:lang w:eastAsia="zh-CN"/>
        </w:rPr>
        <w:t>项目实施工作</w:t>
      </w:r>
      <w:r>
        <w:rPr>
          <w:rStyle w:val="10"/>
          <w:rFonts w:hint="eastAsia" w:ascii="仿宋_GB2312" w:hAnsi="仿宋_GB2312" w:eastAsia="仿宋_GB2312" w:cs="仿宋_GB2312"/>
          <w:b w:val="0"/>
          <w:bCs/>
          <w:i w:val="0"/>
          <w:caps w:val="0"/>
          <w:color w:val="333333"/>
          <w:spacing w:val="0"/>
          <w:sz w:val="32"/>
          <w:szCs w:val="32"/>
          <w:highlight w:val="none"/>
          <w:shd w:val="clear" w:fill="FFFFFF"/>
        </w:rPr>
        <w:t>，</w:t>
      </w:r>
      <w:r>
        <w:rPr>
          <w:rStyle w:val="10"/>
          <w:rFonts w:hint="eastAsia" w:ascii="仿宋_GB2312" w:hAnsi="仿宋_GB2312" w:eastAsia="仿宋_GB2312" w:cs="仿宋_GB2312"/>
          <w:b w:val="0"/>
          <w:bCs/>
          <w:i w:val="0"/>
          <w:caps w:val="0"/>
          <w:color w:val="333333"/>
          <w:spacing w:val="0"/>
          <w:sz w:val="32"/>
          <w:szCs w:val="32"/>
          <w:highlight w:val="none"/>
          <w:shd w:val="clear" w:fill="FFFFFF"/>
          <w:lang w:eastAsia="zh-CN"/>
        </w:rPr>
        <w:t>负责辖区人口的常见病、多发病的诊断治疗，并负责辖区内居民的传染预防控制和社区康复、预防接种，儿童、孕产妇、老年人等重点人群健康管理服务，公共场所卫生监督协管，</w:t>
      </w:r>
      <w:r>
        <w:rPr>
          <w:rStyle w:val="10"/>
          <w:rFonts w:hint="eastAsia" w:ascii="仿宋_GB2312" w:hAnsi="仿宋_GB2312" w:eastAsia="仿宋_GB2312" w:cs="仿宋_GB2312"/>
          <w:b w:val="0"/>
          <w:bCs/>
          <w:i w:val="0"/>
          <w:caps w:val="0"/>
          <w:color w:val="333333"/>
          <w:spacing w:val="0"/>
          <w:sz w:val="32"/>
          <w:szCs w:val="32"/>
          <w:highlight w:val="none"/>
          <w:shd w:val="clear" w:fill="FFFFFF"/>
        </w:rPr>
        <w:t>计划生育技术指导与</w:t>
      </w:r>
      <w:r>
        <w:rPr>
          <w:rStyle w:val="10"/>
          <w:rFonts w:hint="eastAsia" w:ascii="仿宋_GB2312" w:hAnsi="仿宋_GB2312" w:eastAsia="仿宋_GB2312" w:cs="仿宋_GB2312"/>
          <w:b w:val="0"/>
          <w:bCs/>
          <w:i w:val="0"/>
          <w:caps w:val="0"/>
          <w:color w:val="333333"/>
          <w:spacing w:val="0"/>
          <w:sz w:val="32"/>
          <w:szCs w:val="32"/>
          <w:highlight w:val="none"/>
          <w:shd w:val="clear" w:fill="FFFFFF"/>
          <w:lang w:eastAsia="zh-CN"/>
        </w:rPr>
        <w:t>协助处置辖区内的突发公共卫生事件等基本职能</w:t>
      </w:r>
      <w:r>
        <w:rPr>
          <w:rStyle w:val="10"/>
          <w:rFonts w:hint="eastAsia" w:ascii="仿宋_GB2312" w:hAnsi="仿宋_GB2312" w:eastAsia="仿宋_GB2312" w:cs="仿宋_GB2312"/>
          <w:b w:val="0"/>
          <w:bCs/>
          <w:i w:val="0"/>
          <w:caps w:val="0"/>
          <w:color w:val="333333"/>
          <w:spacing w:val="0"/>
          <w:sz w:val="32"/>
          <w:szCs w:val="32"/>
          <w:highlight w:val="none"/>
          <w:shd w:val="clear" w:fill="FFFFFF"/>
        </w:rPr>
        <w:t>。</w:t>
      </w:r>
    </w:p>
    <w:p>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二</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机构设置及人员情况</w:t>
      </w:r>
    </w:p>
    <w:p>
      <w:pPr>
        <w:pStyle w:val="7"/>
        <w:pageBreakBefore w:val="0"/>
        <w:shd w:val="clear" w:color="auto" w:fill="FFFFFF"/>
        <w:kinsoku/>
        <w:wordWrap/>
        <w:overflowPunct/>
        <w:topLinePunct w:val="0"/>
        <w:autoSpaceDE/>
        <w:autoSpaceDN/>
        <w:bidi w:val="0"/>
        <w:adjustRightInd/>
        <w:spacing w:beforeAutospacing="0" w:afterAutospacing="0" w:line="560" w:lineRule="exact"/>
        <w:ind w:firstLine="640" w:firstLineChars="200"/>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kern w:val="2"/>
          <w:sz w:val="32"/>
          <w:szCs w:val="32"/>
        </w:rPr>
        <w:t>兰州新区</w:t>
      </w:r>
      <w:r>
        <w:rPr>
          <w:rFonts w:hint="eastAsia" w:ascii="仿宋_GB2312" w:hAnsi="仿宋_GB2312" w:eastAsia="仿宋_GB2312" w:cs="仿宋_GB2312"/>
          <w:kern w:val="2"/>
          <w:sz w:val="32"/>
          <w:szCs w:val="32"/>
          <w:lang w:val="en-US" w:eastAsia="zh-CN"/>
        </w:rPr>
        <w:t>瑞岭雅苑社区卫生服务中心</w:t>
      </w:r>
      <w:r>
        <w:rPr>
          <w:rFonts w:hint="eastAsia" w:ascii="仿宋_GB2312" w:hAnsi="仿宋_GB2312" w:eastAsia="仿宋_GB2312" w:cs="仿宋_GB2312"/>
          <w:kern w:val="2"/>
          <w:sz w:val="32"/>
          <w:szCs w:val="32"/>
        </w:rPr>
        <w:t>内设</w:t>
      </w:r>
      <w:r>
        <w:rPr>
          <w:rFonts w:hint="eastAsia" w:ascii="仿宋_GB2312" w:hAnsi="仿宋_GB2312" w:eastAsia="仿宋_GB2312" w:cs="仿宋_GB2312"/>
          <w:kern w:val="2"/>
          <w:sz w:val="32"/>
          <w:szCs w:val="32"/>
          <w:lang w:val="en-US" w:eastAsia="zh-CN"/>
        </w:rPr>
        <w:t>15</w:t>
      </w:r>
      <w:r>
        <w:rPr>
          <w:rFonts w:hint="eastAsia" w:ascii="仿宋_GB2312" w:hAnsi="仿宋_GB2312" w:eastAsia="仿宋_GB2312" w:cs="仿宋_GB2312"/>
          <w:color w:val="000000"/>
          <w:sz w:val="32"/>
          <w:szCs w:val="32"/>
        </w:rPr>
        <w:t>个</w:t>
      </w:r>
      <w:r>
        <w:rPr>
          <w:rFonts w:hint="eastAsia" w:ascii="仿宋_GB2312" w:hAnsi="仿宋_GB2312" w:eastAsia="仿宋_GB2312" w:cs="仿宋_GB2312"/>
          <w:color w:val="000000"/>
          <w:sz w:val="32"/>
          <w:szCs w:val="32"/>
          <w:lang w:val="en-US" w:eastAsia="zh-CN"/>
        </w:rPr>
        <w:t>科</w:t>
      </w:r>
      <w:r>
        <w:rPr>
          <w:rFonts w:hint="eastAsia" w:ascii="仿宋_GB2312" w:hAnsi="仿宋_GB2312" w:eastAsia="仿宋_GB2312" w:cs="仿宋_GB2312"/>
          <w:color w:val="000000"/>
          <w:sz w:val="32"/>
          <w:szCs w:val="32"/>
        </w:rPr>
        <w:t>室</w:t>
      </w:r>
      <w:r>
        <w:rPr>
          <w:rFonts w:hint="eastAsia" w:ascii="仿宋_GB2312" w:hAnsi="仿宋_GB2312" w:eastAsia="仿宋_GB2312" w:cs="仿宋_GB2312"/>
          <w:kern w:val="2"/>
          <w:sz w:val="32"/>
          <w:szCs w:val="32"/>
          <w:lang w:val="en-US" w:eastAsia="zh-CN"/>
        </w:rPr>
        <w:t>，分别是办公室、财务科、医务科、护理部、内儿科、公卫科、妇科、中医科、预防接种科、放射科、B超室、检验科、口腔科、药房、收费室。2022年末兰州新区瑞岭雅苑社区卫生服务中心</w:t>
      </w:r>
      <w:r>
        <w:rPr>
          <w:rFonts w:hint="eastAsia" w:ascii="仿宋_GB2312" w:hAnsi="仿宋_GB2312" w:eastAsia="仿宋_GB2312" w:cs="仿宋_GB2312"/>
          <w:kern w:val="2"/>
          <w:sz w:val="32"/>
          <w:szCs w:val="32"/>
        </w:rPr>
        <w:t>实有</w:t>
      </w:r>
      <w:r>
        <w:rPr>
          <w:rFonts w:hint="eastAsia" w:ascii="仿宋_GB2312" w:hAnsi="仿宋_GB2312" w:eastAsia="仿宋_GB2312" w:cs="仿宋_GB2312"/>
          <w:kern w:val="2"/>
          <w:sz w:val="32"/>
          <w:szCs w:val="32"/>
          <w:lang w:eastAsia="zh-CN"/>
        </w:rPr>
        <w:t>人数为</w:t>
      </w:r>
      <w:r>
        <w:rPr>
          <w:rFonts w:hint="eastAsia" w:ascii="仿宋_GB2312" w:hAnsi="仿宋_GB2312" w:eastAsia="仿宋_GB2312" w:cs="仿宋_GB2312"/>
          <w:kern w:val="2"/>
          <w:sz w:val="32"/>
          <w:szCs w:val="32"/>
          <w:lang w:val="en-US" w:eastAsia="zh-CN"/>
        </w:rPr>
        <w:t>73</w:t>
      </w:r>
      <w:r>
        <w:rPr>
          <w:rFonts w:hint="eastAsia" w:ascii="仿宋_GB2312" w:hAnsi="仿宋_GB2312" w:eastAsia="仿宋_GB2312" w:cs="仿宋_GB2312"/>
          <w:kern w:val="2"/>
          <w:sz w:val="32"/>
          <w:szCs w:val="32"/>
        </w:rPr>
        <w:t>人，其中在编事业人</w:t>
      </w:r>
      <w:r>
        <w:rPr>
          <w:rFonts w:hint="eastAsia" w:ascii="仿宋_GB2312" w:hAnsi="仿宋_GB2312" w:eastAsia="仿宋_GB2312" w:cs="仿宋_GB2312"/>
          <w:kern w:val="2"/>
          <w:sz w:val="32"/>
          <w:szCs w:val="32"/>
          <w:lang w:eastAsia="zh-CN"/>
        </w:rPr>
        <w:t>数为</w:t>
      </w:r>
      <w:r>
        <w:rPr>
          <w:rFonts w:hint="eastAsia" w:ascii="仿宋_GB2312" w:hAnsi="仿宋_GB2312" w:eastAsia="仿宋_GB2312" w:cs="仿宋_GB2312"/>
          <w:kern w:val="2"/>
          <w:sz w:val="32"/>
          <w:szCs w:val="32"/>
          <w:lang w:val="en-US" w:eastAsia="zh-CN"/>
        </w:rPr>
        <w:t>41</w:t>
      </w:r>
      <w:r>
        <w:rPr>
          <w:rFonts w:hint="eastAsia" w:ascii="仿宋_GB2312" w:hAnsi="仿宋_GB2312" w:eastAsia="仿宋_GB2312" w:cs="仿宋_GB2312"/>
          <w:kern w:val="2"/>
          <w:sz w:val="32"/>
          <w:szCs w:val="32"/>
        </w:rPr>
        <w:t>人</w:t>
      </w:r>
      <w:r>
        <w:rPr>
          <w:rFonts w:hint="eastAsia" w:ascii="仿宋_GB2312" w:hAnsi="仿宋_GB2312" w:eastAsia="仿宋_GB2312" w:cs="仿宋_GB2312"/>
          <w:kern w:val="2"/>
          <w:sz w:val="32"/>
          <w:szCs w:val="32"/>
          <w:lang w:eastAsia="zh-CN"/>
        </w:rPr>
        <w:t>，</w:t>
      </w:r>
      <w:r>
        <w:rPr>
          <w:rFonts w:hint="eastAsia" w:ascii="仿宋_GB2312" w:hAnsi="仿宋_GB2312" w:eastAsia="仿宋_GB2312" w:cs="仿宋_GB2312"/>
          <w:kern w:val="2"/>
          <w:sz w:val="32"/>
          <w:szCs w:val="32"/>
          <w:lang w:val="en-US" w:eastAsia="zh-CN"/>
        </w:rPr>
        <w:t>单位自聘人数为32</w:t>
      </w:r>
      <w:r>
        <w:rPr>
          <w:rFonts w:hint="eastAsia" w:ascii="仿宋_GB2312" w:hAnsi="仿宋_GB2312" w:eastAsia="仿宋_GB2312" w:cs="仿宋_GB2312"/>
          <w:kern w:val="2"/>
          <w:sz w:val="32"/>
          <w:szCs w:val="32"/>
        </w:rPr>
        <w:t>人</w:t>
      </w:r>
      <w:r>
        <w:rPr>
          <w:rFonts w:hint="eastAsia" w:ascii="仿宋_GB2312" w:hAnsi="仿宋_GB2312" w:eastAsia="仿宋_GB2312" w:cs="仿宋_GB2312"/>
          <w:kern w:val="2"/>
          <w:sz w:val="32"/>
          <w:szCs w:val="32"/>
          <w:lang w:eastAsia="zh-CN"/>
        </w:rPr>
        <w:t>。</w:t>
      </w:r>
    </w:p>
    <w:p>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二、绩效自评工作组织开展情况</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确实做好2022年度部门整体绩效自评工作，提高财政资金使用效益，根据《兰州新区财政局（国资局）关于开展2022年度预算执行情况绩效单位自评工作的通知》（兰新财发【2023】36号）文件精神，结合实际，我单位组织成立了绩效评价工作小组，检查支出相关资料，并根据绩效自评材料进行分析、总结。</w:t>
      </w:r>
    </w:p>
    <w:p>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部门整体支出绩效自评情况分析</w:t>
      </w:r>
    </w:p>
    <w:p>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（一）部门决算情况</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1.2022年度收入决算情况</w:t>
      </w:r>
    </w:p>
    <w:p>
      <w:pPr>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2022年度总收入1570.38万元，其中一般公共预算财政收入834.83万元，占总收入的53.16%；上级补助收入201.08万元，占总收入的12.80%；事业收入533.01万元，占总收入的33.94%；其他收入1.45万元，占总收入的0.09%。</w:t>
      </w:r>
    </w:p>
    <w:p>
      <w:pPr>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2.2022年度支出决算情况</w:t>
      </w:r>
    </w:p>
    <w:p>
      <w:pPr>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度总支出1642.14万元，基本支出1341.33万元，占总支出的81.68%（其中人员经费支出860.19万元，占总支出的52.38%；公用经费支出31.91万元，占总支出的1.94%；其他支出449.23万元，占总支出的27.36%）；项目支出300.81万元（业务以费租赁费74.64万元），占总支出的18.32%。</w:t>
      </w:r>
    </w:p>
    <w:p>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（二）总体绩效目标完成情况分析</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1.总体绩效目标</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目标1：发放医护人员工资，缴纳五险一金；公用经费开支；</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目标2：加强基层医疗机构管理及医护人员队伍建设；</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3：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推进医学科学进步发展；</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目标4：为在岗公卫专干的五险一金支付单位缴纳部分。</w:t>
      </w:r>
    </w:p>
    <w:p>
      <w:pPr>
        <w:pStyle w:val="2"/>
        <w:numPr>
          <w:ilvl w:val="5"/>
          <w:numId w:val="0"/>
        </w:numPr>
        <w:ind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目标5：为社区卫生服务机构提供良好的医疗环境，为辖区内居民提供公共卫生服务和基本医疗服务，保障单位医疗业务正常开展。</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2.完成情况分析</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目标1完成情况：</w:t>
      </w:r>
      <w:r>
        <w:rPr>
          <w:rFonts w:hint="default" w:ascii="仿宋_GB2312" w:hAnsi="仿宋_GB2312" w:eastAsia="仿宋_GB2312" w:cs="仿宋_GB2312"/>
          <w:b w:val="0"/>
          <w:bCs w:val="0"/>
          <w:sz w:val="32"/>
          <w:szCs w:val="32"/>
          <w:lang w:val="en-US" w:eastAsia="zh-CN"/>
        </w:rPr>
        <w:t>人员经费支出860.19万元；公用经费支出31.91万元</w:t>
      </w:r>
      <w:r>
        <w:rPr>
          <w:rFonts w:hint="eastAsia" w:ascii="仿宋_GB2312" w:hAnsi="仿宋_GB2312" w:eastAsia="仿宋_GB2312" w:cs="仿宋_GB2312"/>
          <w:b w:val="0"/>
          <w:bCs w:val="0"/>
          <w:sz w:val="32"/>
          <w:szCs w:val="32"/>
          <w:lang w:val="en-US" w:eastAsia="zh-CN"/>
        </w:rPr>
        <w:t>；</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目标2完成情况：建立健全各项规章制度，单位班子及医护队伍，团结务实，职责分明，能够相互配合，协调一致；</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3完成情况：管理居民健康档案12740份，建档率75%，新增档案2914份，其中高血压管理档案820份，新增152份，体检541人；糖尿病管理档案204份，新增25份，体检143人；0-6岁儿童健康管理档案1786份；新建孕产妇管理档案186份；严重精神障碍患者健康档案26份（死亡3人），新增3份；老年人健康管理档案1067份，新增225份，体检705人。；</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目标4完成情况：完成缴纳单位公卫专干五险一金单位部分，为职工解决后顾之忧，提高基层医疗机构服务能力。</w:t>
      </w:r>
    </w:p>
    <w:p>
      <w:pPr>
        <w:pageBreakBefore w:val="0"/>
        <w:kinsoku/>
        <w:wordWrap/>
        <w:overflowPunct/>
        <w:topLinePunct w:val="0"/>
        <w:autoSpaceDE/>
        <w:autoSpaceDN/>
        <w:bidi w:val="0"/>
        <w:adjustRightInd/>
        <w:spacing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目标5完成情况：完成单位业务用房租赁费的缴纳，为患者提供了良好的就医环境，为职工创造了良好的办公环境，保障了本单位业务的正常开展。</w:t>
      </w:r>
    </w:p>
    <w:p>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（三）各项指标完成情况分析</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本次自评工作要求，我单位结合2022年度履职工作实际，从部门整体支出、部门管理、履职效果、能力建设及服务对象满意度五个方面开展部门整体支出绩效自评。经对各项履职工作相关资料的整理、汇总分析，综合评分为97.5分。各项指标完成情况分析如下：</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1.部门整体支出</w:t>
      </w:r>
    </w:p>
    <w:p>
      <w:pPr>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部门整体支出指标分值10分，2022年度我单位整体支出年初预算数为1376.64万元，全年预算数为1570.38万元，调整预算数为71.76万元，实际支出数为1642.14万元，执行率为100%，指标得分为10分。单位整体实际支出数大于整体预算数的原因是：1.医疗结余有上年结转结余数；2.我单位2022年由于正式职工正常晋升人员经费增加。</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2.部门管理</w:t>
      </w:r>
    </w:p>
    <w:p>
      <w:pPr>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部门管理指标分值20分，从资金投入、财务管理、采购管理、资产管理、人员管理及重点工作管理六方面对我单位2022年度部门管理情况进行自评分析，得分为19.5分。资产管理指标分值为2分，得1.5分。原因是我单位成立于2018年11月初，单位的固定资产由上级主管部门兰州新区卫生健康委员会进行调拨使用，账面上的部分固定资产外借于其他卫生院，我单位今后严格加强固定资产使用管理。</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3.履职效果</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部门履职指标分值59分，目标指标根据我单位工作职责及年度工作安排，从疫情防控完成情况、卫生健康知识普及情况、患者就医情况、卫生监督覆盖率、家庭医生签约服务完成率、健康档案建立覆盖率、维护基本公卫安全、提升医疗服务水平等方面分对我单位2022年度部门履职工作完成情况进行分析说明，得分为57分。</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家庭医生签约服务完成率指标分值为5分，得分4分。我单位2022年家庭医生签约率目标值为5500份，完成5351份，占比97.29%。由于我单位辖区无行政村，居民人口年轻化，缺乏老年人以及慢病人群，人群流动性大，摸排到的部分特殊人群档案无法迁入管理；今后我单位继续推进家庭医生签约服务。</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健康档案建立覆盖率指标分值为5分，得分4分。原因是辖区内居民居住不固定，担心档案迁移后影响拆迁补偿；健康意识不强，对建立健康档案的重要性理解不到位；新入住小区对公卫专干的不熟悉，沟通欠缺；原居住地档案管理者政策宣传有误导，担心健康档案迁出后影响公卫经费补助；并且2022年我单位公卫专干长期承担疫情防控工作，未能很好的为周边居民提供基本公共卫生服务，2023年继续大力摸排建档，推动基本公共卫生工作，在新区卫健委的指导下，努力完成全省“争三保五”的目标，加大单位间联动机制，充分发挥公共卫生委员会作用，争取建立居民健康档案17000份，争取建档率达到98%以上。</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根据本次绩效自评工作的要求及相关文件规定，对各项指标完成情况进行分析总结，明确改进措施。将相关结果与进度安排及时反馈各实施部门，明确整改时限并上报相关整改情况，接受监督检查。</w:t>
      </w:r>
    </w:p>
    <w:p>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四、其他需要说明的问题</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本次绩效自评无其他需要说明的问题。</w:t>
      </w:r>
    </w:p>
    <w:p>
      <w:pPr>
        <w:pageBreakBefore w:val="0"/>
        <w:kinsoku/>
        <w:wordWrap/>
        <w:overflowPunct/>
        <w:topLinePunct w:val="0"/>
        <w:autoSpaceDE/>
        <w:autoSpaceDN/>
        <w:bidi w:val="0"/>
        <w:adjustRightInd/>
        <w:spacing w:line="560" w:lineRule="exact"/>
        <w:ind w:left="1918" w:leftChars="304" w:hanging="1280" w:hangingChars="400"/>
        <w:textAlignment w:val="auto"/>
        <w:rPr>
          <w:rFonts w:hint="eastAsia" w:ascii="仿宋_GB2312" w:hAnsi="仿宋_GB2312" w:eastAsia="仿宋_GB2312" w:cs="仿宋_GB2312"/>
          <w:b w:val="0"/>
          <w:bCs w:val="0"/>
          <w:sz w:val="32"/>
          <w:szCs w:val="32"/>
          <w:lang w:val="en-US" w:eastAsia="zh-CN"/>
        </w:rPr>
      </w:pPr>
    </w:p>
    <w:p>
      <w:pPr>
        <w:pStyle w:val="2"/>
        <w:numPr>
          <w:ilvl w:val="5"/>
          <w:numId w:val="0"/>
        </w:numPr>
        <w:ind w:left="402" w:leftChars="0"/>
        <w:rPr>
          <w:rFonts w:hint="eastAsia"/>
          <w:lang w:val="en-US" w:eastAsia="zh-CN"/>
        </w:rPr>
      </w:pPr>
    </w:p>
    <w:p>
      <w:pPr>
        <w:pageBreakBefore w:val="0"/>
        <w:kinsoku/>
        <w:wordWrap/>
        <w:overflowPunct/>
        <w:topLinePunct w:val="0"/>
        <w:autoSpaceDE/>
        <w:autoSpaceDN/>
        <w:bidi w:val="0"/>
        <w:adjustRightInd/>
        <w:spacing w:line="560" w:lineRule="exact"/>
        <w:ind w:firstLine="3520" w:firstLineChars="11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兰州新区瑞岭雅苑社区卫生服务中心</w:t>
      </w:r>
    </w:p>
    <w:p>
      <w:pPr>
        <w:pageBreakBefore w:val="0"/>
        <w:kinsoku/>
        <w:wordWrap/>
        <w:overflowPunct/>
        <w:topLinePunct w:val="0"/>
        <w:autoSpaceDE/>
        <w:autoSpaceDN/>
        <w:bidi w:val="0"/>
        <w:adjustRightInd/>
        <w:spacing w:line="560" w:lineRule="exact"/>
        <w:ind w:firstLine="4480" w:firstLineChars="14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2023年9月14日</w:t>
      </w:r>
      <w:bookmarkStart w:id="0" w:name="_GoBack"/>
      <w:bookmarkEnd w:id="0"/>
    </w:p>
    <w:sectPr>
      <w:footerReference r:id="rId3" w:type="default"/>
      <w:pgSz w:w="11906" w:h="16838"/>
      <w:pgMar w:top="1701" w:right="1417" w:bottom="1701" w:left="1417" w:header="964"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65064"/>
    <w:multiLevelType w:val="multilevel"/>
    <w:tmpl w:val="59A65064"/>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pStyle w:val="2"/>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ZmFmMmJlY2MwZjAyMzJhYWZlOTdlNDUxYjk3ZTgifQ=="/>
  </w:docVars>
  <w:rsids>
    <w:rsidRoot w:val="57764F14"/>
    <w:rsid w:val="000049D8"/>
    <w:rsid w:val="000E5DF2"/>
    <w:rsid w:val="0022685A"/>
    <w:rsid w:val="002B42F1"/>
    <w:rsid w:val="002F0A30"/>
    <w:rsid w:val="004306E3"/>
    <w:rsid w:val="004E0E53"/>
    <w:rsid w:val="00500157"/>
    <w:rsid w:val="00600035"/>
    <w:rsid w:val="00736C3E"/>
    <w:rsid w:val="00745A5A"/>
    <w:rsid w:val="007D54CB"/>
    <w:rsid w:val="007F6879"/>
    <w:rsid w:val="009B4203"/>
    <w:rsid w:val="00AD4832"/>
    <w:rsid w:val="00BE409E"/>
    <w:rsid w:val="00BE60B3"/>
    <w:rsid w:val="00DE687B"/>
    <w:rsid w:val="00E2538C"/>
    <w:rsid w:val="00E679A0"/>
    <w:rsid w:val="00ED6B80"/>
    <w:rsid w:val="00F04304"/>
    <w:rsid w:val="025C79C4"/>
    <w:rsid w:val="030E31E0"/>
    <w:rsid w:val="049F7F22"/>
    <w:rsid w:val="0AA7129C"/>
    <w:rsid w:val="0C6D2CB3"/>
    <w:rsid w:val="0DB56175"/>
    <w:rsid w:val="0E9D13DC"/>
    <w:rsid w:val="173D5982"/>
    <w:rsid w:val="199B7DBD"/>
    <w:rsid w:val="1C2A4806"/>
    <w:rsid w:val="1CCC06EE"/>
    <w:rsid w:val="1E6A5362"/>
    <w:rsid w:val="27BB3C8C"/>
    <w:rsid w:val="2948594C"/>
    <w:rsid w:val="2F193C67"/>
    <w:rsid w:val="30D065A7"/>
    <w:rsid w:val="31C23E0E"/>
    <w:rsid w:val="3298689E"/>
    <w:rsid w:val="33641498"/>
    <w:rsid w:val="33767FA4"/>
    <w:rsid w:val="33D378E6"/>
    <w:rsid w:val="37A662B4"/>
    <w:rsid w:val="3938734E"/>
    <w:rsid w:val="3E785B47"/>
    <w:rsid w:val="42A64645"/>
    <w:rsid w:val="434F77FF"/>
    <w:rsid w:val="4F0A0A7E"/>
    <w:rsid w:val="54907728"/>
    <w:rsid w:val="57764F14"/>
    <w:rsid w:val="5B33135D"/>
    <w:rsid w:val="5F16521D"/>
    <w:rsid w:val="61F656FB"/>
    <w:rsid w:val="62143C96"/>
    <w:rsid w:val="626C5880"/>
    <w:rsid w:val="69870C3F"/>
    <w:rsid w:val="6B680BAF"/>
    <w:rsid w:val="6E29772C"/>
    <w:rsid w:val="6FCD38F6"/>
    <w:rsid w:val="7107638D"/>
    <w:rsid w:val="74E96658"/>
    <w:rsid w:val="75440CCF"/>
    <w:rsid w:val="75AF0683"/>
    <w:rsid w:val="7A0C25B9"/>
    <w:rsid w:val="7C1B6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0"/>
    <w:pPr>
      <w:keepNext/>
      <w:keepLines/>
      <w:numPr>
        <w:ilvl w:val="5"/>
        <w:numId w:val="1"/>
      </w:numPr>
      <w:spacing w:line="317" w:lineRule="auto"/>
      <w:outlineLvl w:val="5"/>
    </w:pPr>
    <w:rPr>
      <w:rFonts w:ascii="Arial" w:hAnsi="Arial" w:eastAsia="宋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35"/>
    <w:qFormat/>
    <w:uiPriority w:val="0"/>
    <w:rPr>
      <w:sz w:val="18"/>
      <w:szCs w:val="18"/>
    </w:rPr>
  </w:style>
  <w:style w:type="paragraph" w:styleId="4">
    <w:name w:val="footer"/>
    <w:basedOn w:val="1"/>
    <w:link w:val="34"/>
    <w:qFormat/>
    <w:uiPriority w:val="0"/>
    <w:pPr>
      <w:tabs>
        <w:tab w:val="center" w:pos="4153"/>
        <w:tab w:val="right" w:pos="8306"/>
      </w:tabs>
      <w:snapToGrid w:val="0"/>
      <w:jc w:val="left"/>
    </w:pPr>
    <w:rPr>
      <w:sz w:val="18"/>
      <w:szCs w:val="18"/>
    </w:rPr>
  </w:style>
  <w:style w:type="paragraph" w:styleId="5">
    <w:name w:val="header"/>
    <w:basedOn w:val="1"/>
    <w:next w:val="1"/>
    <w:link w:val="33"/>
    <w:qFormat/>
    <w:uiPriority w:val="0"/>
    <w:pPr>
      <w:pBdr>
        <w:bottom w:val="single" w:color="auto" w:sz="6" w:space="1"/>
      </w:pBdr>
      <w:tabs>
        <w:tab w:val="center" w:pos="4153"/>
        <w:tab w:val="right" w:pos="8306"/>
      </w:tabs>
      <w:snapToGrid w:val="0"/>
      <w:jc w:val="center"/>
    </w:pPr>
    <w:rPr>
      <w:sz w:val="18"/>
      <w:szCs w:val="18"/>
    </w:rPr>
  </w:style>
  <w:style w:type="paragraph" w:styleId="6">
    <w:name w:val="index 9"/>
    <w:basedOn w:val="1"/>
    <w:next w:val="1"/>
    <w:qFormat/>
    <w:uiPriority w:val="0"/>
    <w:pPr>
      <w:ind w:left="1600" w:leftChars="1600"/>
    </w:pPr>
  </w:style>
  <w:style w:type="paragraph" w:styleId="7">
    <w:name w:val="Normal (Web)"/>
    <w:basedOn w:val="1"/>
    <w:qFormat/>
    <w:uiPriority w:val="0"/>
    <w:pPr>
      <w:jc w:val="left"/>
    </w:pPr>
    <w:rPr>
      <w:rFonts w:ascii="微软雅黑" w:hAnsi="微软雅黑" w:eastAsia="微软雅黑" w:cs="Times New Roman"/>
      <w:kern w:val="0"/>
      <w:sz w:val="24"/>
    </w:rPr>
  </w:style>
  <w:style w:type="character" w:styleId="10">
    <w:name w:val="Strong"/>
    <w:basedOn w:val="9"/>
    <w:qFormat/>
    <w:uiPriority w:val="0"/>
    <w:rPr>
      <w:b/>
    </w:rPr>
  </w:style>
  <w:style w:type="character" w:styleId="11">
    <w:name w:val="FollowedHyperlink"/>
    <w:basedOn w:val="9"/>
    <w:qFormat/>
    <w:uiPriority w:val="0"/>
    <w:rPr>
      <w:color w:val="333333"/>
      <w:u w:val="none"/>
    </w:rPr>
  </w:style>
  <w:style w:type="character" w:styleId="12">
    <w:name w:val="Emphasis"/>
    <w:basedOn w:val="9"/>
    <w:qFormat/>
    <w:uiPriority w:val="0"/>
    <w:rPr>
      <w:rFonts w:hint="eastAsia" w:ascii="微软雅黑" w:hAnsi="微软雅黑" w:eastAsia="微软雅黑" w:cs="微软雅黑"/>
    </w:rPr>
  </w:style>
  <w:style w:type="character" w:styleId="13">
    <w:name w:val="Hyperlink"/>
    <w:basedOn w:val="9"/>
    <w:qFormat/>
    <w:uiPriority w:val="0"/>
    <w:rPr>
      <w:color w:val="333333"/>
      <w:u w:val="none"/>
    </w:rPr>
  </w:style>
  <w:style w:type="character" w:customStyle="1" w:styleId="14">
    <w:name w:val="after"/>
    <w:basedOn w:val="9"/>
    <w:qFormat/>
    <w:uiPriority w:val="0"/>
    <w:rPr>
      <w:shd w:val="clear" w:color="auto" w:fill="FFFFFF"/>
    </w:rPr>
  </w:style>
  <w:style w:type="character" w:customStyle="1" w:styleId="15">
    <w:name w:val="text"/>
    <w:basedOn w:val="9"/>
    <w:qFormat/>
    <w:uiPriority w:val="0"/>
    <w:rPr>
      <w:color w:val="666666"/>
    </w:rPr>
  </w:style>
  <w:style w:type="character" w:customStyle="1" w:styleId="16">
    <w:name w:val="bsharetext"/>
    <w:basedOn w:val="9"/>
    <w:qFormat/>
    <w:uiPriority w:val="0"/>
  </w:style>
  <w:style w:type="character" w:customStyle="1" w:styleId="17">
    <w:name w:val="last"/>
    <w:basedOn w:val="9"/>
    <w:qFormat/>
    <w:uiPriority w:val="0"/>
  </w:style>
  <w:style w:type="character" w:customStyle="1" w:styleId="18">
    <w:name w:val="wx-space"/>
    <w:basedOn w:val="9"/>
    <w:qFormat/>
    <w:uiPriority w:val="0"/>
  </w:style>
  <w:style w:type="character" w:customStyle="1" w:styleId="19">
    <w:name w:val="wx-space1"/>
    <w:basedOn w:val="9"/>
    <w:qFormat/>
    <w:uiPriority w:val="0"/>
  </w:style>
  <w:style w:type="character" w:customStyle="1" w:styleId="20">
    <w:name w:val="hover20"/>
    <w:basedOn w:val="9"/>
    <w:qFormat/>
    <w:uiPriority w:val="0"/>
    <w:rPr>
      <w:color w:val="000000"/>
      <w:shd w:val="clear" w:color="auto" w:fill="FFFFFF"/>
    </w:rPr>
  </w:style>
  <w:style w:type="character" w:customStyle="1" w:styleId="21">
    <w:name w:val="line"/>
    <w:basedOn w:val="9"/>
    <w:qFormat/>
    <w:uiPriority w:val="0"/>
  </w:style>
  <w:style w:type="character" w:customStyle="1" w:styleId="22">
    <w:name w:val="line1"/>
    <w:basedOn w:val="9"/>
    <w:qFormat/>
    <w:uiPriority w:val="0"/>
  </w:style>
  <w:style w:type="character" w:customStyle="1" w:styleId="23">
    <w:name w:val="hover29"/>
    <w:basedOn w:val="9"/>
    <w:qFormat/>
    <w:uiPriority w:val="0"/>
    <w:rPr>
      <w:color w:val="000000"/>
      <w:shd w:val="clear" w:color="auto" w:fill="FFFFFF"/>
    </w:rPr>
  </w:style>
  <w:style w:type="character" w:customStyle="1" w:styleId="24">
    <w:name w:val="n3"/>
    <w:basedOn w:val="9"/>
    <w:qFormat/>
    <w:uiPriority w:val="0"/>
  </w:style>
  <w:style w:type="character" w:customStyle="1" w:styleId="25">
    <w:name w:val="a1"/>
    <w:basedOn w:val="9"/>
    <w:qFormat/>
    <w:uiPriority w:val="0"/>
  </w:style>
  <w:style w:type="character" w:customStyle="1" w:styleId="26">
    <w:name w:val="a2"/>
    <w:basedOn w:val="9"/>
    <w:qFormat/>
    <w:uiPriority w:val="0"/>
  </w:style>
  <w:style w:type="character" w:customStyle="1" w:styleId="27">
    <w:name w:val="a3"/>
    <w:basedOn w:val="9"/>
    <w:qFormat/>
    <w:uiPriority w:val="0"/>
  </w:style>
  <w:style w:type="character" w:customStyle="1" w:styleId="28">
    <w:name w:val="a4"/>
    <w:basedOn w:val="9"/>
    <w:qFormat/>
    <w:uiPriority w:val="0"/>
  </w:style>
  <w:style w:type="character" w:customStyle="1" w:styleId="29">
    <w:name w:val="n1"/>
    <w:basedOn w:val="9"/>
    <w:qFormat/>
    <w:uiPriority w:val="0"/>
  </w:style>
  <w:style w:type="character" w:customStyle="1" w:styleId="30">
    <w:name w:val="n2"/>
    <w:basedOn w:val="9"/>
    <w:qFormat/>
    <w:uiPriority w:val="0"/>
  </w:style>
  <w:style w:type="character" w:customStyle="1" w:styleId="31">
    <w:name w:val="n4"/>
    <w:basedOn w:val="9"/>
    <w:qFormat/>
    <w:uiPriority w:val="0"/>
  </w:style>
  <w:style w:type="character" w:customStyle="1" w:styleId="32">
    <w:name w:val="n5"/>
    <w:basedOn w:val="9"/>
    <w:qFormat/>
    <w:uiPriority w:val="0"/>
  </w:style>
  <w:style w:type="character" w:customStyle="1" w:styleId="33">
    <w:name w:val="页眉 字符"/>
    <w:basedOn w:val="9"/>
    <w:link w:val="5"/>
    <w:qFormat/>
    <w:uiPriority w:val="0"/>
    <w:rPr>
      <w:rFonts w:asciiTheme="minorHAnsi" w:hAnsiTheme="minorHAnsi" w:eastAsiaTheme="minorEastAsia" w:cstheme="minorBidi"/>
      <w:kern w:val="2"/>
      <w:sz w:val="18"/>
      <w:szCs w:val="18"/>
    </w:rPr>
  </w:style>
  <w:style w:type="character" w:customStyle="1" w:styleId="34">
    <w:name w:val="页脚 字符"/>
    <w:basedOn w:val="9"/>
    <w:link w:val="4"/>
    <w:qFormat/>
    <w:uiPriority w:val="0"/>
    <w:rPr>
      <w:rFonts w:asciiTheme="minorHAnsi" w:hAnsiTheme="minorHAnsi" w:eastAsiaTheme="minorEastAsia" w:cstheme="minorBidi"/>
      <w:kern w:val="2"/>
      <w:sz w:val="18"/>
      <w:szCs w:val="18"/>
    </w:rPr>
  </w:style>
  <w:style w:type="character" w:customStyle="1" w:styleId="35">
    <w:name w:val="批注框文本 字符"/>
    <w:basedOn w:val="9"/>
    <w:link w:val="3"/>
    <w:qFormat/>
    <w:uiPriority w:val="0"/>
    <w:rPr>
      <w:rFonts w:asciiTheme="minorHAnsi" w:hAnsiTheme="minorHAnsi" w:eastAsiaTheme="minorEastAsia" w:cstheme="minorBidi"/>
      <w:kern w:val="2"/>
      <w:sz w:val="18"/>
      <w:szCs w:val="18"/>
    </w:rPr>
  </w:style>
  <w:style w:type="paragraph" w:customStyle="1" w:styleId="36">
    <w:name w:val="样式1"/>
    <w:basedOn w:val="5"/>
    <w:next w:val="6"/>
    <w:qFormat/>
    <w:uiPriority w:val="0"/>
    <w:rPr>
      <w:rFonts w:ascii="Calibri" w:hAnsi="Calibri" w:eastAsia="仿宋_GB2312" w:cs="Times New Roman"/>
      <w:sz w:val="3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2561</Words>
  <Characters>2847</Characters>
  <Lines>9</Lines>
  <Paragraphs>2</Paragraphs>
  <TotalTime>16</TotalTime>
  <ScaleCrop>false</ScaleCrop>
  <LinksUpToDate>false</LinksUpToDate>
  <CharactersWithSpaces>2847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NN</cp:lastModifiedBy>
  <cp:lastPrinted>2023-03-16T00:37:00Z</cp:lastPrinted>
  <dcterms:modified xsi:type="dcterms:W3CDTF">2023-09-19T06:15:08Z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8FA2F2D9B30047798BF85EBB72537FFA</vt:lpwstr>
  </property>
</Properties>
</file>