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39" w:line="295" w:lineRule="auto"/>
        <w:ind w:left="2105" w:right="422" w:hanging="1864"/>
        <w:jc w:val="center"/>
        <w:rPr>
          <w:rFonts w:ascii="宋体" w:hAnsi="宋体" w:eastAsia="宋体" w:cs="宋体"/>
          <w:spacing w:val="-2"/>
          <w:sz w:val="43"/>
          <w:szCs w:val="43"/>
        </w:rPr>
      </w:pPr>
      <w:r>
        <w:rPr>
          <w:rFonts w:hint="eastAsia" w:ascii="宋体" w:hAnsi="宋体" w:eastAsia="宋体" w:cs="宋体"/>
          <w:spacing w:val="-4"/>
          <w:sz w:val="43"/>
          <w:szCs w:val="43"/>
          <w:lang w:eastAsia="zh-CN"/>
        </w:rPr>
        <w:t>兰州新区第</w:t>
      </w:r>
      <w:r>
        <w:rPr>
          <w:rFonts w:hint="eastAsia" w:ascii="宋体" w:hAnsi="宋体" w:eastAsia="宋体" w:cs="宋体"/>
          <w:spacing w:val="-4"/>
          <w:sz w:val="43"/>
          <w:szCs w:val="43"/>
          <w:lang w:val="en-US" w:eastAsia="zh-CN"/>
        </w:rPr>
        <w:t>三</w:t>
      </w:r>
      <w:r>
        <w:rPr>
          <w:rFonts w:hint="eastAsia" w:ascii="宋体" w:hAnsi="宋体" w:eastAsia="宋体" w:cs="宋体"/>
          <w:spacing w:val="-4"/>
          <w:sz w:val="43"/>
          <w:szCs w:val="43"/>
          <w:lang w:eastAsia="zh-CN"/>
        </w:rPr>
        <w:t>小学</w:t>
      </w:r>
      <w:r>
        <w:rPr>
          <w:rFonts w:ascii="宋体" w:hAnsi="宋体" w:eastAsia="宋体" w:cs="宋体"/>
          <w:spacing w:val="-2"/>
          <w:sz w:val="43"/>
          <w:szCs w:val="43"/>
        </w:rPr>
        <w:t xml:space="preserve"> 202</w:t>
      </w:r>
      <w:r>
        <w:rPr>
          <w:rFonts w:hint="eastAsia" w:ascii="宋体" w:hAnsi="宋体" w:eastAsia="宋体" w:cs="宋体"/>
          <w:spacing w:val="-2"/>
          <w:sz w:val="43"/>
          <w:szCs w:val="43"/>
          <w:lang w:val="en-US" w:eastAsia="zh-CN"/>
        </w:rPr>
        <w:t>2</w:t>
      </w:r>
      <w:r>
        <w:rPr>
          <w:rFonts w:ascii="宋体" w:hAnsi="宋体" w:eastAsia="宋体" w:cs="宋体"/>
          <w:spacing w:val="-2"/>
          <w:sz w:val="43"/>
          <w:szCs w:val="43"/>
        </w:rPr>
        <w:t xml:space="preserve"> 年度</w:t>
      </w:r>
    </w:p>
    <w:p>
      <w:pPr>
        <w:spacing w:before="139" w:line="295" w:lineRule="auto"/>
        <w:ind w:left="2105" w:right="422" w:hanging="1864"/>
        <w:jc w:val="center"/>
        <w:rPr>
          <w:rFonts w:ascii="宋体" w:hAnsi="宋体" w:eastAsia="宋体" w:cs="宋体"/>
          <w:sz w:val="43"/>
          <w:szCs w:val="43"/>
        </w:rPr>
      </w:pPr>
      <w:r>
        <w:rPr>
          <w:rFonts w:ascii="宋体" w:hAnsi="宋体" w:eastAsia="宋体" w:cs="宋体"/>
          <w:spacing w:val="9"/>
          <w:sz w:val="43"/>
          <w:szCs w:val="43"/>
        </w:rPr>
        <w:t>项目绩效评价报告</w:t>
      </w:r>
    </w:p>
    <w:p/>
    <w:p/>
    <w:p/>
    <w:p/>
    <w:p/>
    <w:p/>
    <w:p/>
    <w:p/>
    <w:p>
      <w:pPr>
        <w:spacing w:line="68" w:lineRule="exact"/>
      </w:pPr>
    </w:p>
    <w:p>
      <w:pPr>
        <w:sectPr>
          <w:pgSz w:w="11907" w:h="16839"/>
          <w:pgMar w:top="1431" w:right="1464" w:bottom="0" w:left="1654" w:header="0" w:footer="0" w:gutter="0"/>
          <w:cols w:equalWidth="0" w:num="1">
            <w:col w:w="8789"/>
          </w:cols>
        </w:sectPr>
      </w:pPr>
    </w:p>
    <w:p>
      <w:pPr>
        <w:spacing w:before="59" w:line="439" w:lineRule="auto"/>
        <w:ind w:right="128"/>
        <w:rPr>
          <w:rFonts w:ascii="仿宋" w:hAnsi="仿宋" w:eastAsia="仿宋" w:cs="仿宋"/>
          <w:sz w:val="28"/>
          <w:szCs w:val="28"/>
        </w:rPr>
      </w:pPr>
      <w:r>
        <w:rPr>
          <w:rFonts w:ascii="仿宋" w:hAnsi="仿宋" w:eastAsia="仿宋" w:cs="仿宋"/>
          <w:spacing w:val="-18"/>
          <w:sz w:val="28"/>
          <w:szCs w:val="28"/>
        </w:rPr>
        <w:t>评</w:t>
      </w:r>
      <w:r>
        <w:rPr>
          <w:rFonts w:ascii="仿宋" w:hAnsi="仿宋" w:eastAsia="仿宋" w:cs="仿宋"/>
          <w:spacing w:val="-16"/>
          <w:sz w:val="28"/>
          <w:szCs w:val="28"/>
        </w:rPr>
        <w:t>价类型：</w:t>
      </w:r>
      <w:r>
        <w:rPr>
          <w:rFonts w:ascii="仿宋" w:hAnsi="仿宋" w:eastAsia="仿宋" w:cs="仿宋"/>
          <w:sz w:val="28"/>
          <w:szCs w:val="28"/>
        </w:rPr>
        <w:t xml:space="preserve"> </w:t>
      </w:r>
      <w:r>
        <w:rPr>
          <w:rFonts w:ascii="仿宋" w:hAnsi="仿宋" w:eastAsia="仿宋" w:cs="仿宋"/>
          <w:spacing w:val="-18"/>
          <w:sz w:val="28"/>
          <w:szCs w:val="28"/>
        </w:rPr>
        <w:t>项</w:t>
      </w:r>
      <w:r>
        <w:rPr>
          <w:rFonts w:ascii="仿宋" w:hAnsi="仿宋" w:eastAsia="仿宋" w:cs="仿宋"/>
          <w:spacing w:val="-16"/>
          <w:sz w:val="28"/>
          <w:szCs w:val="28"/>
        </w:rPr>
        <w:t>目名称：</w:t>
      </w:r>
      <w:r>
        <w:rPr>
          <w:rFonts w:ascii="仿宋" w:hAnsi="仿宋" w:eastAsia="仿宋" w:cs="仿宋"/>
          <w:sz w:val="28"/>
          <w:szCs w:val="28"/>
        </w:rPr>
        <w:t xml:space="preserve"> </w:t>
      </w:r>
      <w:r>
        <w:rPr>
          <w:rFonts w:ascii="仿宋" w:hAnsi="仿宋" w:eastAsia="仿宋" w:cs="仿宋"/>
          <w:spacing w:val="-18"/>
          <w:sz w:val="28"/>
          <w:szCs w:val="28"/>
        </w:rPr>
        <w:t>主</w:t>
      </w:r>
      <w:r>
        <w:rPr>
          <w:rFonts w:ascii="仿宋" w:hAnsi="仿宋" w:eastAsia="仿宋" w:cs="仿宋"/>
          <w:spacing w:val="-16"/>
          <w:sz w:val="28"/>
          <w:szCs w:val="28"/>
        </w:rPr>
        <w:t>管部门：</w:t>
      </w:r>
      <w:r>
        <w:rPr>
          <w:rFonts w:ascii="仿宋" w:hAnsi="仿宋" w:eastAsia="仿宋" w:cs="仿宋"/>
          <w:sz w:val="28"/>
          <w:szCs w:val="28"/>
        </w:rPr>
        <w:t xml:space="preserve"> </w:t>
      </w:r>
      <w:r>
        <w:rPr>
          <w:rFonts w:ascii="仿宋" w:hAnsi="仿宋" w:eastAsia="仿宋" w:cs="仿宋"/>
          <w:spacing w:val="-18"/>
          <w:sz w:val="28"/>
          <w:szCs w:val="28"/>
        </w:rPr>
        <w:t>评</w:t>
      </w:r>
      <w:r>
        <w:rPr>
          <w:rFonts w:ascii="仿宋" w:hAnsi="仿宋" w:eastAsia="仿宋" w:cs="仿宋"/>
          <w:spacing w:val="-16"/>
          <w:sz w:val="28"/>
          <w:szCs w:val="28"/>
        </w:rPr>
        <w:t>价时间：</w:t>
      </w:r>
      <w:r>
        <w:rPr>
          <w:rFonts w:ascii="仿宋" w:hAnsi="仿宋" w:eastAsia="仿宋" w:cs="仿宋"/>
          <w:sz w:val="28"/>
          <w:szCs w:val="28"/>
        </w:rPr>
        <w:t xml:space="preserve"> </w:t>
      </w:r>
      <w:r>
        <w:rPr>
          <w:rFonts w:ascii="仿宋" w:hAnsi="仿宋" w:eastAsia="仿宋" w:cs="仿宋"/>
          <w:spacing w:val="-18"/>
          <w:sz w:val="28"/>
          <w:szCs w:val="28"/>
        </w:rPr>
        <w:t>组</w:t>
      </w:r>
      <w:r>
        <w:rPr>
          <w:rFonts w:ascii="仿宋" w:hAnsi="仿宋" w:eastAsia="仿宋" w:cs="仿宋"/>
          <w:spacing w:val="-16"/>
          <w:sz w:val="28"/>
          <w:szCs w:val="28"/>
        </w:rPr>
        <w:t>织方式：</w:t>
      </w:r>
    </w:p>
    <w:p>
      <w:pPr>
        <w:spacing w:before="1" w:line="189" w:lineRule="auto"/>
        <w:rPr>
          <w:rFonts w:ascii="仿宋" w:hAnsi="仿宋" w:eastAsia="仿宋" w:cs="仿宋"/>
          <w:sz w:val="28"/>
          <w:szCs w:val="28"/>
        </w:rPr>
      </w:pPr>
      <w:r>
        <w:rPr>
          <w:rFonts w:ascii="仿宋" w:hAnsi="仿宋" w:eastAsia="仿宋" w:cs="仿宋"/>
          <w:spacing w:val="-5"/>
          <w:sz w:val="28"/>
          <w:szCs w:val="28"/>
        </w:rPr>
        <w:t>评</w:t>
      </w:r>
      <w:r>
        <w:rPr>
          <w:rFonts w:ascii="仿宋" w:hAnsi="仿宋" w:eastAsia="仿宋" w:cs="仿宋"/>
          <w:spacing w:val="-3"/>
          <w:sz w:val="28"/>
          <w:szCs w:val="28"/>
        </w:rPr>
        <w:t>价机构：</w:t>
      </w:r>
    </w:p>
    <w:p>
      <w:pPr>
        <w:spacing w:line="14" w:lineRule="auto"/>
        <w:rPr>
          <w:rFonts w:ascii="Arial"/>
          <w:sz w:val="2"/>
        </w:rPr>
      </w:pPr>
      <w:r>
        <w:rPr>
          <w:rFonts w:ascii="Arial" w:hAnsi="Arial" w:eastAsia="Arial" w:cs="Arial"/>
          <w:sz w:val="2"/>
          <w:szCs w:val="2"/>
        </w:rPr>
        <w:br w:type="column"/>
      </w:r>
    </w:p>
    <w:p>
      <w:pPr>
        <w:spacing w:before="58" w:line="330" w:lineRule="auto"/>
        <w:ind w:left="664"/>
        <w:rPr>
          <w:rFonts w:ascii="仿宋" w:hAnsi="仿宋" w:eastAsia="仿宋" w:cs="仿宋"/>
          <w:sz w:val="28"/>
          <w:szCs w:val="28"/>
        </w:rPr>
      </w:pPr>
      <w:r>
        <w:rPr>
          <w:rFonts w:ascii="仿宋" w:hAnsi="仿宋" w:eastAsia="仿宋" w:cs="仿宋"/>
          <w:position w:val="-5"/>
          <w:sz w:val="28"/>
          <w:szCs w:val="28"/>
          <w:u w:val="single" w:color="auto"/>
        </w:rPr>
        <w:drawing>
          <wp:inline distT="0" distB="0" distL="0" distR="0">
            <wp:extent cx="128905" cy="187325"/>
            <wp:effectExtent l="0" t="0" r="4445" b="3175"/>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4"/>
                    <a:stretch>
                      <a:fillRect/>
                    </a:stretch>
                  </pic:blipFill>
                  <pic:spPr>
                    <a:xfrm>
                      <a:off x="0" y="0"/>
                      <a:ext cx="128916" cy="187936"/>
                    </a:xfrm>
                    <a:prstGeom prst="rect">
                      <a:avLst/>
                    </a:prstGeom>
                  </pic:spPr>
                </pic:pic>
              </a:graphicData>
            </a:graphic>
          </wp:inline>
        </w:drawing>
      </w:r>
      <w:r>
        <w:rPr>
          <w:rFonts w:ascii="仿宋" w:hAnsi="仿宋" w:eastAsia="仿宋" w:cs="仿宋"/>
          <w:spacing w:val="2"/>
          <w:sz w:val="28"/>
          <w:szCs w:val="28"/>
          <w:u w:val="single" w:color="auto"/>
        </w:rPr>
        <w:t>实施过程评价</w:t>
      </w:r>
      <w:r>
        <w:rPr>
          <w:rFonts w:ascii="仿宋" w:hAnsi="仿宋" w:eastAsia="仿宋" w:cs="仿宋"/>
          <w:spacing w:val="2"/>
          <w:sz w:val="28"/>
          <w:szCs w:val="28"/>
        </w:rPr>
        <w:t xml:space="preserve">          </w:t>
      </w:r>
      <w:r>
        <w:rPr>
          <w:rFonts w:ascii="仿宋" w:hAnsi="仿宋" w:eastAsia="仿宋" w:cs="仿宋"/>
          <w:spacing w:val="1"/>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FE"/>
      </w:r>
      <w:r>
        <w:rPr>
          <w:rFonts w:ascii="微软雅黑" w:hAnsi="微软雅黑" w:eastAsia="微软雅黑" w:cs="微软雅黑"/>
          <w:spacing w:val="1"/>
          <w:sz w:val="28"/>
          <w:szCs w:val="28"/>
          <w:u w:val="none" w:color="auto"/>
        </w:rPr>
        <w:t xml:space="preserve"> </w:t>
      </w:r>
      <w:r>
        <w:rPr>
          <w:rFonts w:ascii="仿宋" w:hAnsi="仿宋" w:eastAsia="仿宋" w:cs="仿宋"/>
          <w:spacing w:val="1"/>
          <w:sz w:val="28"/>
          <w:szCs w:val="28"/>
          <w:u w:val="single" w:color="auto"/>
        </w:rPr>
        <w:t>完成结果评价</w:t>
      </w:r>
    </w:p>
    <w:p>
      <w:pPr>
        <w:spacing w:line="221" w:lineRule="auto"/>
        <w:jc w:val="center"/>
        <w:rPr>
          <w:rFonts w:ascii="仿宋" w:hAnsi="仿宋" w:eastAsia="仿宋" w:cs="仿宋"/>
          <w:sz w:val="28"/>
          <w:szCs w:val="28"/>
        </w:rPr>
      </w:pPr>
      <w:r>
        <w:rPr>
          <w:rFonts w:hint="eastAsia" w:ascii="仿宋" w:hAnsi="仿宋" w:eastAsia="仿宋" w:cs="仿宋"/>
          <w:spacing w:val="-2"/>
          <w:sz w:val="28"/>
          <w:szCs w:val="28"/>
        </w:rPr>
        <w:t>集中供暖学校暖气费</w:t>
      </w:r>
    </w:p>
    <w:p>
      <w:pPr>
        <w:spacing w:line="37" w:lineRule="exact"/>
      </w:pPr>
    </w:p>
    <w:tbl>
      <w:tblPr>
        <w:tblStyle w:val="4"/>
        <w:tblW w:w="7240" w:type="dxa"/>
        <w:tblInd w:w="0" w:type="dxa"/>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Layout w:type="fixed"/>
        <w:tblCellMar>
          <w:top w:w="0" w:type="dxa"/>
          <w:left w:w="0" w:type="dxa"/>
          <w:bottom w:w="0" w:type="dxa"/>
          <w:right w:w="0" w:type="dxa"/>
        </w:tblCellMar>
      </w:tblPr>
      <w:tblGrid>
        <w:gridCol w:w="7240"/>
      </w:tblGrid>
      <w:tr>
        <w:tblPrEx>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CellMar>
            <w:top w:w="0" w:type="dxa"/>
            <w:left w:w="0" w:type="dxa"/>
            <w:bottom w:w="0" w:type="dxa"/>
            <w:right w:w="0" w:type="dxa"/>
          </w:tblCellMar>
        </w:tblPrEx>
        <w:trPr>
          <w:trHeight w:val="667" w:hRule="atLeast"/>
        </w:trPr>
        <w:tc>
          <w:tcPr>
            <w:tcW w:w="7240" w:type="dxa"/>
            <w:tcBorders>
              <w:top w:val="single" w:color="000000" w:sz="2" w:space="0"/>
              <w:bottom w:val="single" w:color="000000" w:sz="2" w:space="0"/>
            </w:tcBorders>
            <w:vAlign w:val="top"/>
          </w:tcPr>
          <w:p>
            <w:pPr>
              <w:spacing w:before="291" w:line="223" w:lineRule="auto"/>
              <w:jc w:val="center"/>
              <w:rPr>
                <w:rFonts w:ascii="仿宋" w:hAnsi="仿宋" w:eastAsia="仿宋" w:cs="仿宋"/>
                <w:sz w:val="28"/>
                <w:szCs w:val="28"/>
              </w:rPr>
            </w:pPr>
            <w:r>
              <w:rPr>
                <w:rFonts w:hint="eastAsia" w:ascii="仿宋" w:hAnsi="仿宋" w:eastAsia="仿宋" w:cs="仿宋"/>
                <w:spacing w:val="-3"/>
                <w:sz w:val="28"/>
                <w:szCs w:val="28"/>
              </w:rPr>
              <w:t>兰州新区教育体育局（教育考试院）</w:t>
            </w:r>
          </w:p>
        </w:tc>
      </w:tr>
      <w:tr>
        <w:tblPrEx>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CellMar>
            <w:top w:w="0" w:type="dxa"/>
            <w:left w:w="0" w:type="dxa"/>
            <w:bottom w:w="0" w:type="dxa"/>
            <w:right w:w="0" w:type="dxa"/>
          </w:tblCellMar>
        </w:tblPrEx>
        <w:trPr>
          <w:trHeight w:val="666" w:hRule="atLeast"/>
        </w:trPr>
        <w:tc>
          <w:tcPr>
            <w:tcW w:w="7240" w:type="dxa"/>
            <w:tcBorders>
              <w:top w:val="single" w:color="000000" w:sz="2" w:space="0"/>
              <w:bottom w:val="single" w:color="000000" w:sz="2" w:space="0"/>
            </w:tcBorders>
            <w:vAlign w:val="top"/>
          </w:tcPr>
          <w:p>
            <w:pPr>
              <w:spacing w:before="288" w:line="223" w:lineRule="auto"/>
              <w:ind w:left="1287"/>
              <w:rPr>
                <w:rFonts w:ascii="仿宋" w:hAnsi="仿宋" w:eastAsia="仿宋" w:cs="仿宋"/>
                <w:sz w:val="28"/>
                <w:szCs w:val="28"/>
              </w:rPr>
            </w:pPr>
            <w:r>
              <w:rPr>
                <w:rFonts w:ascii="仿宋" w:hAnsi="仿宋" w:eastAsia="仿宋" w:cs="仿宋"/>
                <w:spacing w:val="-25"/>
                <w:sz w:val="28"/>
                <w:szCs w:val="28"/>
              </w:rPr>
              <w:t>2</w:t>
            </w:r>
            <w:r>
              <w:rPr>
                <w:rFonts w:ascii="仿宋" w:hAnsi="仿宋" w:eastAsia="仿宋" w:cs="仿宋"/>
                <w:spacing w:val="-22"/>
                <w:sz w:val="28"/>
                <w:szCs w:val="28"/>
              </w:rPr>
              <w:t xml:space="preserve">022 年 </w:t>
            </w:r>
            <w:r>
              <w:rPr>
                <w:rFonts w:hint="eastAsia" w:ascii="仿宋" w:hAnsi="仿宋" w:eastAsia="仿宋" w:cs="仿宋"/>
                <w:spacing w:val="-22"/>
                <w:sz w:val="28"/>
                <w:szCs w:val="28"/>
                <w:lang w:val="en-US" w:eastAsia="zh-CN"/>
              </w:rPr>
              <w:t>1</w:t>
            </w:r>
            <w:r>
              <w:rPr>
                <w:rFonts w:ascii="仿宋" w:hAnsi="仿宋" w:eastAsia="仿宋" w:cs="仿宋"/>
                <w:spacing w:val="-22"/>
                <w:sz w:val="28"/>
                <w:szCs w:val="28"/>
              </w:rPr>
              <w:t xml:space="preserve"> 月 </w:t>
            </w:r>
            <w:r>
              <w:rPr>
                <w:rFonts w:hint="eastAsia" w:ascii="仿宋" w:hAnsi="仿宋" w:eastAsia="仿宋" w:cs="仿宋"/>
                <w:spacing w:val="-22"/>
                <w:sz w:val="28"/>
                <w:szCs w:val="28"/>
                <w:lang w:val="en-US" w:eastAsia="zh-CN"/>
              </w:rPr>
              <w:t>1</w:t>
            </w:r>
            <w:r>
              <w:rPr>
                <w:rFonts w:ascii="仿宋" w:hAnsi="仿宋" w:eastAsia="仿宋" w:cs="仿宋"/>
                <w:spacing w:val="-22"/>
                <w:sz w:val="28"/>
                <w:szCs w:val="28"/>
              </w:rPr>
              <w:t xml:space="preserve"> 日至 2022 年 </w:t>
            </w:r>
            <w:r>
              <w:rPr>
                <w:rFonts w:hint="eastAsia" w:ascii="仿宋" w:hAnsi="仿宋" w:eastAsia="仿宋" w:cs="仿宋"/>
                <w:spacing w:val="-22"/>
                <w:sz w:val="28"/>
                <w:szCs w:val="28"/>
                <w:lang w:val="en-US" w:eastAsia="zh-CN"/>
              </w:rPr>
              <w:t>12</w:t>
            </w:r>
            <w:r>
              <w:rPr>
                <w:rFonts w:ascii="仿宋" w:hAnsi="仿宋" w:eastAsia="仿宋" w:cs="仿宋"/>
                <w:spacing w:val="-22"/>
                <w:sz w:val="28"/>
                <w:szCs w:val="28"/>
              </w:rPr>
              <w:t xml:space="preserve"> 月 3</w:t>
            </w:r>
            <w:r>
              <w:rPr>
                <w:rFonts w:hint="eastAsia" w:ascii="仿宋" w:hAnsi="仿宋" w:eastAsia="仿宋" w:cs="仿宋"/>
                <w:spacing w:val="-22"/>
                <w:sz w:val="28"/>
                <w:szCs w:val="28"/>
                <w:lang w:val="en-US" w:eastAsia="zh-CN"/>
              </w:rPr>
              <w:t>1</w:t>
            </w:r>
            <w:r>
              <w:rPr>
                <w:rFonts w:ascii="仿宋" w:hAnsi="仿宋" w:eastAsia="仿宋" w:cs="仿宋"/>
                <w:spacing w:val="-22"/>
                <w:sz w:val="28"/>
                <w:szCs w:val="28"/>
              </w:rPr>
              <w:t xml:space="preserve"> 日</w:t>
            </w:r>
          </w:p>
        </w:tc>
      </w:tr>
    </w:tbl>
    <w:p>
      <w:pPr>
        <w:spacing w:before="288" w:line="189" w:lineRule="auto"/>
        <w:ind w:left="421"/>
        <w:rPr>
          <w:rFonts w:ascii="仿宋" w:hAnsi="仿宋" w:eastAsia="仿宋" w:cs="仿宋"/>
          <w:sz w:val="28"/>
          <w:szCs w:val="28"/>
        </w:rPr>
      </w:pP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A8"/>
      </w:r>
      <w:r>
        <w:rPr>
          <w:rFonts w:ascii="微软雅黑" w:hAnsi="微软雅黑" w:eastAsia="微软雅黑" w:cs="微软雅黑"/>
          <w:spacing w:val="1"/>
          <w:sz w:val="28"/>
          <w:szCs w:val="28"/>
          <w:u w:val="single" w:color="auto"/>
        </w:rPr>
        <w:t xml:space="preserve"> </w:t>
      </w:r>
      <w:r>
        <w:rPr>
          <w:rFonts w:ascii="仿宋" w:hAnsi="仿宋" w:eastAsia="仿宋" w:cs="仿宋"/>
          <w:sz w:val="28"/>
          <w:szCs w:val="28"/>
          <w:u w:val="single" w:color="auto"/>
        </w:rPr>
        <w:t>财政部门</w:t>
      </w:r>
      <w:r>
        <w:rPr>
          <w:rFonts w:ascii="仿宋" w:hAnsi="仿宋" w:eastAsia="仿宋" w:cs="仿宋"/>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A8"/>
      </w:r>
      <w:r>
        <w:rPr>
          <w:rFonts w:ascii="仿宋" w:hAnsi="仿宋" w:eastAsia="仿宋" w:cs="仿宋"/>
          <w:sz w:val="28"/>
          <w:szCs w:val="28"/>
          <w:u w:val="single" w:color="auto"/>
        </w:rPr>
        <w:t>主管部门</w:t>
      </w:r>
      <w:r>
        <w:rPr>
          <w:rFonts w:ascii="仿宋" w:hAnsi="仿宋" w:eastAsia="仿宋" w:cs="仿宋"/>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FE"/>
      </w:r>
      <w:r>
        <w:rPr>
          <w:rFonts w:ascii="仿宋" w:hAnsi="仿宋" w:eastAsia="仿宋" w:cs="仿宋"/>
          <w:sz w:val="28"/>
          <w:szCs w:val="28"/>
          <w:u w:val="single" w:color="auto"/>
        </w:rPr>
        <w:t>项目单位</w:t>
      </w:r>
    </w:p>
    <w:p>
      <w:pPr>
        <w:spacing w:before="280" w:line="144" w:lineRule="auto"/>
        <w:ind w:left="282"/>
        <w:rPr>
          <w:rFonts w:ascii="仿宋" w:hAnsi="仿宋" w:eastAsia="仿宋" w:cs="仿宋"/>
          <w:sz w:val="28"/>
          <w:szCs w:val="28"/>
        </w:rPr>
      </w:pP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A8"/>
      </w:r>
      <w:r>
        <w:rPr>
          <w:rFonts w:ascii="微软雅黑" w:hAnsi="微软雅黑" w:eastAsia="微软雅黑" w:cs="微软雅黑"/>
          <w:spacing w:val="-8"/>
          <w:sz w:val="28"/>
          <w:szCs w:val="28"/>
          <w:u w:val="single" w:color="auto"/>
        </w:rPr>
        <w:t xml:space="preserve"> </w:t>
      </w:r>
      <w:r>
        <w:rPr>
          <w:rFonts w:ascii="仿宋" w:hAnsi="仿宋" w:eastAsia="仿宋" w:cs="仿宋"/>
          <w:spacing w:val="-8"/>
          <w:sz w:val="28"/>
          <w:szCs w:val="28"/>
          <w:u w:val="single" w:color="auto"/>
        </w:rPr>
        <w:t>第</w:t>
      </w:r>
      <w:r>
        <w:rPr>
          <w:rFonts w:ascii="仿宋" w:hAnsi="仿宋" w:eastAsia="仿宋" w:cs="仿宋"/>
          <w:spacing w:val="-4"/>
          <w:sz w:val="28"/>
          <w:szCs w:val="28"/>
          <w:u w:val="single" w:color="auto"/>
        </w:rPr>
        <w:t>三方机构</w:t>
      </w:r>
      <w:r>
        <w:rPr>
          <w:rFonts w:ascii="仿宋" w:hAnsi="仿宋" w:eastAsia="仿宋" w:cs="仿宋"/>
          <w:spacing w:val="-4"/>
          <w:sz w:val="28"/>
          <w:szCs w:val="28"/>
        </w:rPr>
        <w:t xml:space="preserve">    </w:t>
      </w:r>
      <w:r>
        <w:rPr>
          <w:rFonts w:hint="eastAsia" w:ascii="仿宋" w:hAnsi="仿宋" w:eastAsia="仿宋" w:cs="仿宋"/>
          <w:spacing w:val="-4"/>
          <w:sz w:val="28"/>
          <w:szCs w:val="28"/>
          <w:lang w:val="en-US" w:eastAsia="zh-CN"/>
        </w:rPr>
        <w:t xml:space="preserve"> </w:t>
      </w:r>
      <w:r>
        <w:rPr>
          <w:rFonts w:ascii="微软雅黑" w:hAnsi="微软雅黑" w:eastAsia="微软雅黑" w:cs="微软雅黑"/>
          <w:spacing w:val="1"/>
          <w:sz w:val="28"/>
          <w:szCs w:val="28"/>
          <w:u w:val="none" w:color="auto"/>
        </w:rPr>
        <w:sym w:font="Wingdings" w:char="00A8"/>
      </w:r>
      <w:r>
        <w:rPr>
          <w:rFonts w:ascii="仿宋" w:hAnsi="仿宋" w:eastAsia="仿宋" w:cs="仿宋"/>
          <w:spacing w:val="-4"/>
          <w:sz w:val="28"/>
          <w:szCs w:val="28"/>
          <w:u w:val="single" w:color="auto"/>
        </w:rPr>
        <w:t>专 家 组</w:t>
      </w:r>
      <w:r>
        <w:rPr>
          <w:rFonts w:ascii="仿宋" w:hAnsi="仿宋" w:eastAsia="仿宋" w:cs="仿宋"/>
          <w:spacing w:val="-4"/>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FE"/>
      </w:r>
      <w:r>
        <w:rPr>
          <w:rFonts w:ascii="仿宋" w:hAnsi="仿宋" w:eastAsia="仿宋" w:cs="仿宋"/>
          <w:spacing w:val="-4"/>
          <w:sz w:val="28"/>
          <w:szCs w:val="28"/>
          <w:u w:val="single" w:color="auto"/>
        </w:rPr>
        <w:t>项目单位评价组</w:t>
      </w:r>
    </w:p>
    <w:p>
      <w:pPr>
        <w:sectPr>
          <w:type w:val="continuous"/>
          <w:pgSz w:w="11907" w:h="16839"/>
          <w:pgMar w:top="1431" w:right="1464" w:bottom="0" w:left="1654" w:header="0" w:footer="0" w:gutter="0"/>
          <w:cols w:equalWidth="0" w:num="2">
            <w:col w:w="1448" w:space="100"/>
            <w:col w:w="7241"/>
          </w:cols>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92" w:line="660" w:lineRule="exact"/>
        <w:ind w:left="1401"/>
        <w:rPr>
          <w:rFonts w:hint="eastAsia" w:ascii="仿宋" w:hAnsi="仿宋" w:eastAsia="仿宋" w:cs="仿宋"/>
          <w:sz w:val="28"/>
          <w:szCs w:val="28"/>
          <w:lang w:eastAsia="zh-CN"/>
        </w:rPr>
      </w:pPr>
      <w:r>
        <w:rPr>
          <w:rFonts w:ascii="仿宋" w:hAnsi="仿宋" w:eastAsia="仿宋" w:cs="仿宋"/>
          <w:spacing w:val="1"/>
          <w:position w:val="29"/>
          <w:sz w:val="28"/>
          <w:szCs w:val="28"/>
        </w:rPr>
        <w:t>评价单位(盖章) ：</w:t>
      </w:r>
      <w:r>
        <w:rPr>
          <w:rFonts w:hint="eastAsia" w:ascii="仿宋" w:hAnsi="仿宋" w:eastAsia="仿宋" w:cs="仿宋"/>
          <w:spacing w:val="1"/>
          <w:position w:val="29"/>
          <w:sz w:val="28"/>
          <w:szCs w:val="28"/>
          <w:lang w:eastAsia="zh-CN"/>
        </w:rPr>
        <w:t>兰州新区第</w:t>
      </w:r>
      <w:r>
        <w:rPr>
          <w:rFonts w:hint="eastAsia" w:ascii="仿宋" w:hAnsi="仿宋" w:eastAsia="仿宋" w:cs="仿宋"/>
          <w:spacing w:val="1"/>
          <w:position w:val="29"/>
          <w:sz w:val="28"/>
          <w:szCs w:val="28"/>
          <w:lang w:val="en-US" w:eastAsia="zh-CN"/>
        </w:rPr>
        <w:t>三</w:t>
      </w:r>
      <w:r>
        <w:rPr>
          <w:rFonts w:hint="eastAsia" w:ascii="仿宋" w:hAnsi="仿宋" w:eastAsia="仿宋" w:cs="仿宋"/>
          <w:spacing w:val="1"/>
          <w:position w:val="29"/>
          <w:sz w:val="28"/>
          <w:szCs w:val="28"/>
          <w:lang w:eastAsia="zh-CN"/>
        </w:rPr>
        <w:t>小学</w:t>
      </w:r>
    </w:p>
    <w:p>
      <w:pPr>
        <w:spacing w:line="189" w:lineRule="auto"/>
        <w:ind w:left="2523"/>
        <w:sectPr>
          <w:type w:val="continuous"/>
          <w:pgSz w:w="11907" w:h="16839"/>
          <w:pgMar w:top="1431" w:right="1464" w:bottom="0" w:left="1654" w:header="0" w:footer="0" w:gutter="0"/>
          <w:cols w:equalWidth="0" w:num="1">
            <w:col w:w="8789"/>
          </w:cols>
        </w:sectPr>
      </w:pPr>
      <w:r>
        <w:rPr>
          <w:rFonts w:ascii="仿宋" w:hAnsi="仿宋" w:eastAsia="仿宋" w:cs="仿宋"/>
          <w:spacing w:val="-35"/>
          <w:sz w:val="28"/>
          <w:szCs w:val="28"/>
        </w:rPr>
        <w:t>上</w:t>
      </w:r>
      <w:r>
        <w:rPr>
          <w:rFonts w:ascii="仿宋" w:hAnsi="仿宋" w:eastAsia="仿宋" w:cs="仿宋"/>
          <w:spacing w:val="-19"/>
          <w:sz w:val="28"/>
          <w:szCs w:val="28"/>
        </w:rPr>
        <w:t xml:space="preserve">报时间：2022 年 </w:t>
      </w:r>
      <w:r>
        <w:rPr>
          <w:rFonts w:hint="eastAsia" w:ascii="仿宋" w:hAnsi="仿宋" w:eastAsia="仿宋" w:cs="仿宋"/>
          <w:spacing w:val="-19"/>
          <w:sz w:val="28"/>
          <w:szCs w:val="28"/>
          <w:lang w:val="en-US" w:eastAsia="zh-CN"/>
        </w:rPr>
        <w:t>12</w:t>
      </w:r>
      <w:r>
        <w:rPr>
          <w:rFonts w:ascii="仿宋" w:hAnsi="仿宋" w:eastAsia="仿宋" w:cs="仿宋"/>
          <w:spacing w:val="-19"/>
          <w:sz w:val="28"/>
          <w:szCs w:val="28"/>
        </w:rPr>
        <w:t xml:space="preserve"> 月 3</w:t>
      </w:r>
      <w:r>
        <w:rPr>
          <w:rFonts w:hint="eastAsia" w:ascii="仿宋" w:hAnsi="仿宋" w:eastAsia="仿宋" w:cs="仿宋"/>
          <w:spacing w:val="-19"/>
          <w:sz w:val="28"/>
          <w:szCs w:val="28"/>
          <w:lang w:val="en-US" w:eastAsia="zh-CN"/>
        </w:rPr>
        <w:t>1</w:t>
      </w:r>
      <w:r>
        <w:rPr>
          <w:rFonts w:ascii="仿宋" w:hAnsi="仿宋" w:eastAsia="仿宋" w:cs="仿宋"/>
          <w:spacing w:val="-19"/>
          <w:sz w:val="28"/>
          <w:szCs w:val="28"/>
        </w:rPr>
        <w:t xml:space="preserve"> 日</w:t>
      </w:r>
    </w:p>
    <w:p>
      <w:pPr>
        <w:jc w:val="center"/>
        <w:rPr>
          <w:rFonts w:hint="eastAsia" w:ascii="宋体" w:hAnsi="宋体" w:eastAsia="宋体" w:cs="宋体"/>
          <w:b/>
          <w:bCs/>
          <w:sz w:val="44"/>
          <w:szCs w:val="52"/>
        </w:rPr>
      </w:pPr>
    </w:p>
    <w:p>
      <w:pPr>
        <w:jc w:val="center"/>
        <w:rPr>
          <w:rFonts w:hint="eastAsia" w:ascii="宋体" w:hAnsi="宋体" w:eastAsia="宋体" w:cs="宋体"/>
          <w:b/>
          <w:bCs/>
          <w:sz w:val="44"/>
          <w:szCs w:val="52"/>
        </w:rPr>
      </w:pPr>
      <w:r>
        <w:rPr>
          <w:rFonts w:hint="eastAsia" w:ascii="宋体" w:hAnsi="宋体" w:eastAsia="宋体" w:cs="宋体"/>
          <w:b/>
          <w:bCs/>
          <w:sz w:val="44"/>
          <w:szCs w:val="52"/>
        </w:rPr>
        <w:t>兰州新区第</w:t>
      </w:r>
      <w:r>
        <w:rPr>
          <w:rFonts w:hint="eastAsia" w:ascii="宋体" w:hAnsi="宋体" w:eastAsia="宋体" w:cs="宋体"/>
          <w:b/>
          <w:bCs/>
          <w:sz w:val="44"/>
          <w:szCs w:val="52"/>
          <w:lang w:val="en-US" w:eastAsia="zh-CN"/>
        </w:rPr>
        <w:t>三</w:t>
      </w:r>
      <w:r>
        <w:rPr>
          <w:rFonts w:hint="eastAsia" w:ascii="宋体" w:hAnsi="宋体" w:eastAsia="宋体" w:cs="宋体"/>
          <w:b/>
          <w:bCs/>
          <w:sz w:val="44"/>
          <w:szCs w:val="52"/>
        </w:rPr>
        <w:t>小学2022年集中供暖学校</w:t>
      </w:r>
    </w:p>
    <w:p>
      <w:pPr>
        <w:jc w:val="center"/>
        <w:rPr>
          <w:rFonts w:hint="eastAsia" w:ascii="宋体" w:hAnsi="宋体" w:eastAsia="宋体" w:cs="宋体"/>
          <w:b/>
          <w:bCs/>
          <w:sz w:val="44"/>
          <w:szCs w:val="52"/>
        </w:rPr>
      </w:pPr>
      <w:r>
        <w:rPr>
          <w:rFonts w:hint="eastAsia" w:ascii="宋体" w:hAnsi="宋体" w:eastAsia="宋体" w:cs="宋体"/>
          <w:b/>
          <w:bCs/>
          <w:sz w:val="44"/>
          <w:szCs w:val="52"/>
        </w:rPr>
        <w:t>暖气费项目绩效评价报告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为贯彻落实《中共中央国务院关于全面实施预算绩效管理的意见》(中发〔2018〕34 号)、《中共甘肃省委甘肃省人民政府关于全面实施预算绩效管理的实施意见》(甘发〔2018〕32 号) 等文件精神，全面推进预算绩效管理工作，加强财政预算支出管理水平，强化财政预算支出责任，提高财政资金使用效益，根据2018年兰州新区管委会会议纪要，新区核心区学校集体取暖费由财政列支，于 2022年1月1日至2022年12月31日对兰州新区第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小学2022年集中供暖学校暖气费项目开展了绩效评价，现就评价情况报告如下：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rPr>
      </w:pPr>
      <w:r>
        <w:rPr>
          <w:rFonts w:hint="eastAsia" w:ascii="黑体" w:hAnsi="黑体" w:eastAsia="黑体" w:cs="黑体"/>
          <w:sz w:val="32"/>
          <w:szCs w:val="40"/>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 项目立项背景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通过申报取暖费，保质保量完成兰州新区第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小学2022年供暖工作，使在校师生工作、生活正常运行，提升社会满意度。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(二) 项目预算安排及使用情况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2022 年，兰州新区第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小学集中供暖学校暖气费</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万元，共计批复预算</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万元。截至2021年12月31日，实际到位</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万元，资金到位率100%，累计支出</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 xml:space="preserve"> 万元，预算执行率为100%。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(三) 项目主要内容和实施情况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2022年申报取暖费</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万元，以保质保量完成兰州新区第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供暖工作，使在校师生工作、生活正常运行，提升社会满意度。学校后勤保障部配合供暖公司做好设备的检修和维护，供暖期间随时监测水压水温并及时通知供暖公司进行改善。2022年10月配合供暖公司对供暖设备进行维护和检修，按时供暖并按照合同要求足额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rPr>
      </w:pPr>
      <w:r>
        <w:rPr>
          <w:rFonts w:hint="eastAsia" w:ascii="黑体" w:hAnsi="黑体" w:eastAsia="黑体" w:cs="黑体"/>
          <w:sz w:val="32"/>
          <w:szCs w:val="40"/>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 总体绩效目标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2022年10月配合供暖公司对供暖设备进行维护和检修，按时供暖并按照合同要求足额拨付资金。保障学校冬季正常供暖，师生教育教学工作正常运行。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40"/>
        </w:rPr>
        <w:t>(二) 2022年度绩效目标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pacing w:val="8"/>
          <w:sz w:val="31"/>
          <w:szCs w:val="31"/>
        </w:rPr>
      </w:pPr>
      <w:r>
        <w:rPr>
          <w:rFonts w:hint="eastAsia" w:ascii="仿宋_GB2312" w:hAnsi="仿宋_GB2312" w:eastAsia="仿宋_GB2312" w:cs="仿宋_GB2312"/>
          <w:sz w:val="32"/>
          <w:szCs w:val="40"/>
        </w:rPr>
        <w:t>通过申报取暖费，保质保量完成兰州新区第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小学2022年供暖工作，使在校师生工作、生活正常运行，提升社会满意度。</w:t>
      </w:r>
    </w:p>
    <w:p>
      <w:pPr>
        <w:spacing w:before="1" w:line="226" w:lineRule="auto"/>
        <w:ind w:firstLine="652" w:firstLineChars="200"/>
        <w:rPr>
          <w:rFonts w:ascii="黑体" w:hAnsi="黑体" w:eastAsia="黑体" w:cs="黑体"/>
          <w:spacing w:val="-2"/>
          <w:sz w:val="24"/>
          <w:szCs w:val="24"/>
        </w:rPr>
      </w:pPr>
      <w:r>
        <w:rPr>
          <w:rFonts w:ascii="仿宋" w:hAnsi="仿宋" w:eastAsia="仿宋" w:cs="仿宋"/>
          <w:spacing w:val="8"/>
          <w:sz w:val="31"/>
          <w:szCs w:val="31"/>
        </w:rPr>
        <w:t>具</w:t>
      </w:r>
      <w:r>
        <w:rPr>
          <w:rFonts w:ascii="仿宋" w:hAnsi="仿宋" w:eastAsia="仿宋" w:cs="仿宋"/>
          <w:spacing w:val="6"/>
          <w:sz w:val="31"/>
          <w:szCs w:val="31"/>
        </w:rPr>
        <w:t>体绩效指标详见表 2-1：</w:t>
      </w:r>
    </w:p>
    <w:p>
      <w:pPr>
        <w:spacing w:before="79" w:line="221" w:lineRule="auto"/>
        <w:ind w:firstLine="708" w:firstLineChars="300"/>
        <w:rPr>
          <w:rFonts w:ascii="黑体" w:hAnsi="黑体" w:eastAsia="黑体" w:cs="黑体"/>
          <w:spacing w:val="-1"/>
          <w:sz w:val="24"/>
          <w:szCs w:val="24"/>
        </w:rPr>
      </w:pPr>
      <w:r>
        <w:rPr>
          <w:rFonts w:ascii="黑体" w:hAnsi="黑体" w:eastAsia="黑体" w:cs="黑体"/>
          <w:spacing w:val="-2"/>
          <w:sz w:val="24"/>
          <w:szCs w:val="24"/>
        </w:rPr>
        <w:t>表 2-1  202</w:t>
      </w:r>
      <w:r>
        <w:rPr>
          <w:rFonts w:hint="eastAsia" w:ascii="黑体" w:hAnsi="黑体" w:eastAsia="黑体" w:cs="黑体"/>
          <w:spacing w:val="-2"/>
          <w:sz w:val="24"/>
          <w:szCs w:val="24"/>
          <w:lang w:val="en-US" w:eastAsia="zh-CN"/>
        </w:rPr>
        <w:t>2</w:t>
      </w:r>
      <w:r>
        <w:rPr>
          <w:rFonts w:ascii="黑体" w:hAnsi="黑体" w:eastAsia="黑体" w:cs="黑体"/>
          <w:spacing w:val="-2"/>
          <w:sz w:val="24"/>
          <w:szCs w:val="24"/>
        </w:rPr>
        <w:t>年</w:t>
      </w:r>
      <w:r>
        <w:rPr>
          <w:rFonts w:hint="eastAsia" w:ascii="黑体" w:hAnsi="黑体" w:eastAsia="黑体" w:cs="黑体"/>
          <w:spacing w:val="-2"/>
          <w:sz w:val="24"/>
          <w:szCs w:val="24"/>
        </w:rPr>
        <w:t>集中供暖学校暖气费</w:t>
      </w:r>
      <w:r>
        <w:rPr>
          <w:rFonts w:ascii="黑体" w:hAnsi="黑体" w:eastAsia="黑体" w:cs="黑体"/>
          <w:spacing w:val="-1"/>
          <w:sz w:val="24"/>
          <w:szCs w:val="24"/>
        </w:rPr>
        <w:t>项目年度绩效指标</w:t>
      </w:r>
    </w:p>
    <w:tbl>
      <w:tblPr>
        <w:tblStyle w:val="2"/>
        <w:tblW w:w="82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32"/>
        <w:gridCol w:w="1296"/>
        <w:gridCol w:w="2721"/>
        <w:gridCol w:w="1307"/>
        <w:gridCol w:w="12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 w:hRule="atLeast"/>
        </w:trPr>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一级指标</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二级指标</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三级指标</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指标目标值</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中期指标值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trPr>
        <w:tc>
          <w:tcPr>
            <w:tcW w:w="1732"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产出指标</w:t>
            </w: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供暖学校数</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5"/>
                <w:snapToGrid w:val="0"/>
                <w:color w:val="000000"/>
                <w:lang w:val="en-US" w:eastAsia="zh-CN" w:bidi="ar"/>
              </w:rPr>
              <w:t>所</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trPr>
        <w:tc>
          <w:tcPr>
            <w:tcW w:w="1732"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333333"/>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质量指标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供暖水压水温达标情况</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达标</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达标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trPr>
        <w:tc>
          <w:tcPr>
            <w:tcW w:w="1732"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333333"/>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时效指标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供暖及时性</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及时</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及时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trPr>
        <w:tc>
          <w:tcPr>
            <w:tcW w:w="1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效益指标</w:t>
            </w: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社会效益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指标</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改善学校整体运转水平</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改善</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得到改善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trPr>
        <w:tc>
          <w:tcPr>
            <w:tcW w:w="1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可持续影响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保障学校正常运转</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保障</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保障运转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trPr>
        <w:tc>
          <w:tcPr>
            <w:tcW w:w="1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满意度指标</w:t>
            </w: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服务对象1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满意度指标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教职工满意度</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1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服务对象2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满意度指标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学生满意度</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黑体" w:hAnsi="黑体" w:eastAsia="黑体" w:cs="黑体"/>
          <w:sz w:val="32"/>
          <w:szCs w:val="40"/>
        </w:rPr>
        <w:t>三、评价基本情况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(一)绩效评价目的、对象和范围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本次绩效评价对象是兰州新区第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小学2022年集中供暖学校暖气费</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万元，项目主管部门为兰州新区教育体育局（教育考试院），资金评价年度为2022年。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评价目的是通过申报取暖费，保质保量完成兰州新区第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小学2022年供暖工作，使在校师生工作、生活正常运行，提升社会满意度。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40"/>
        </w:rPr>
        <w:t>(二)评价依据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1.预算绩效管理及专项资金相关文件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(1)《中华人民共和国预算法》；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(2)《中共中央国务院关于全面实施预算绩效管理的意见》(中发〔2018〕34 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(3)《财政部关于印发〈项目支出绩效评价管理办法〉的通知》(财预〔2020〕10 号)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(4)《中共甘肃省委甘肃省人民政府关于全面实施预算绩效管理的实施意见》(甘发〔2018〕32 号)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(5)《甘肃省财政厅关于印发甘肃省省级预算绩效管理 办法等6个办法和规程的通知》(甘财绩〔2020〕5 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2.法律法规及相关政策文件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(1)《财政部财政信息化建设管理办法》；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(2)《国务院办公厅关于印发国家政务信息化项目建设管理办法的通知》(国办发〔2019〕57 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(3)《甘肃省人民政府关于加强数字政府建设的意见》 (甘政发〔2021〕69 号)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(4)《甘肃省人民政府办公厅关于印发甘肃省数字政府 建设总体规划 (2021-2025)的通知》(甘政办发〔2021〕113 号)等。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3.其他涉及专项资金及项目的相关依据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项目概况，包括项目实施方案、专项资金管理办法等； 项目预算绩效目标批复表、会计记账凭证(资金入账凭证和支出记账凭证)、采购公示、合同。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(三)评价原则、评价方法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本次评价遵循“客观、公正、科学、规范”的原则，采用“以结果为导向、基于证据”的评价思路，制定出本项目绩效 评价方法体系，并以此为基础，采用目标管理法、层次分析法、因素分析法、公众评判法等方法。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主要采用以下方法：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 目标管理法。本项目在评价体系设计、评估过程、 评价结论形成等环节中主要采用了目标管理法的思路。一方面， 在项目决策方面，项目绩效目标设立的合理性和明确性本身就是本次评价重要的内容；另一方面，在评估过程中“以结果为导向”，考察项目实施过程和结果对其前期设定“绩效目标”的指导性任务的实现程度，最终形成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(2)层次分析法。层次分析法主要是将本次绩效评价按总目标、各层子目标(一级指标)、评价准则(二级指标) 直至具体的评价方案(三级指标)的顺序分解为不同的层次结构，通过特征向量求得每一层次的各元素对上一层次某元素的优先权重，最终形成本次绩效评价的指标体系。在评价过程中，从最低层次依权重顺次归纳总结，形成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(3)因素分析法。因素分析法是依据分析指标与其影</w:t>
      </w:r>
      <w:bookmarkStart w:id="0" w:name="_GoBack"/>
      <w:bookmarkEnd w:id="0"/>
      <w:r>
        <w:rPr>
          <w:rFonts w:hint="eastAsia" w:ascii="仿宋_GB2312" w:hAnsi="仿宋_GB2312" w:eastAsia="仿宋_GB2312" w:cs="仿宋_GB2312"/>
          <w:sz w:val="32"/>
          <w:szCs w:val="40"/>
        </w:rPr>
        <w:t>响因素的关系，从数量上确定各因素对分析指标影响方向和 影响程度的一种方法，本次绩效评价通过综合分析影响绩效 目标实现、实施效果的内外因素，评价绩效目标实现程度； 通过列举所有影响成本、进度和收益的因素，进行全面、综 合的分析，从而得出评价结果的方法。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3.评定方法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依据《财政部关于印发〈项目支出绩效评价管理办法〉的通知》(财预〔2020〕10 号)，绩效评价等级划分为四档，分别为“优、良、中、差”。绩效评价结果评分分值与评价等级的对应关系详见表3-1。</w:t>
      </w:r>
    </w:p>
    <w:p>
      <w:pPr>
        <w:spacing w:before="47" w:line="221" w:lineRule="auto"/>
        <w:ind w:left="1940"/>
        <w:rPr>
          <w:rFonts w:ascii="黑体" w:hAnsi="黑体" w:eastAsia="黑体" w:cs="黑体"/>
          <w:color w:val="000000" w:themeColor="text1"/>
          <w:sz w:val="24"/>
          <w:szCs w:val="24"/>
          <w14:textFill>
            <w14:solidFill>
              <w14:schemeClr w14:val="tx1"/>
            </w14:solidFill>
          </w14:textFill>
        </w:rPr>
      </w:pPr>
      <w:r>
        <w:rPr>
          <w:rFonts w:ascii="黑体" w:hAnsi="黑体" w:eastAsia="黑体" w:cs="黑体"/>
          <w:color w:val="000000" w:themeColor="text1"/>
          <w:spacing w:val="-12"/>
          <w:sz w:val="24"/>
          <w:szCs w:val="24"/>
          <w14:textFill>
            <w14:solidFill>
              <w14:schemeClr w14:val="tx1"/>
            </w14:solidFill>
          </w14:textFill>
        </w:rPr>
        <w:t>表</w:t>
      </w:r>
      <w:r>
        <w:rPr>
          <w:rFonts w:ascii="黑体" w:hAnsi="黑体" w:eastAsia="黑体" w:cs="黑体"/>
          <w:color w:val="000000" w:themeColor="text1"/>
          <w:spacing w:val="-9"/>
          <w:sz w:val="24"/>
          <w:szCs w:val="24"/>
          <w14:textFill>
            <w14:solidFill>
              <w14:schemeClr w14:val="tx1"/>
            </w14:solidFill>
          </w14:textFill>
        </w:rPr>
        <w:t xml:space="preserve"> </w:t>
      </w:r>
      <w:r>
        <w:rPr>
          <w:rFonts w:ascii="黑体" w:hAnsi="黑体" w:eastAsia="黑体" w:cs="黑体"/>
          <w:color w:val="000000" w:themeColor="text1"/>
          <w:spacing w:val="-6"/>
          <w:sz w:val="24"/>
          <w:szCs w:val="24"/>
          <w14:textFill>
            <w14:solidFill>
              <w14:schemeClr w14:val="tx1"/>
            </w14:solidFill>
          </w14:textFill>
        </w:rPr>
        <w:t>3-1  绩效评价结果评分分值与评价等级表</w:t>
      </w:r>
    </w:p>
    <w:p>
      <w:pPr>
        <w:spacing w:line="51" w:lineRule="exact"/>
        <w:rPr>
          <w:color w:val="000000" w:themeColor="text1"/>
          <w14:textFill>
            <w14:solidFill>
              <w14:schemeClr w14:val="tx1"/>
            </w14:solidFill>
          </w14:textFill>
        </w:rPr>
      </w:pPr>
    </w:p>
    <w:tbl>
      <w:tblPr>
        <w:tblStyle w:val="4"/>
        <w:tblW w:w="851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5"/>
        <w:gridCol w:w="1701"/>
        <w:gridCol w:w="1701"/>
        <w:gridCol w:w="1698"/>
        <w:gridCol w:w="170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705" w:type="dxa"/>
            <w:vAlign w:val="top"/>
          </w:tcPr>
          <w:p>
            <w:pPr>
              <w:spacing w:before="238" w:line="223" w:lineRule="auto"/>
              <w:ind w:left="451"/>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7"/>
                <w:sz w:val="21"/>
                <w:szCs w:val="21"/>
                <w14:textOutline w14:w="3835" w14:cap="flat" w14:cmpd="sng">
                  <w14:solidFill>
                    <w14:srgbClr w14:val="000000"/>
                  </w14:solidFill>
                  <w14:prstDash w14:val="solid"/>
                  <w14:miter w14:val="0"/>
                </w14:textOutline>
                <w14:textFill>
                  <w14:solidFill>
                    <w14:schemeClr w14:val="tx1"/>
                  </w14:solidFill>
                </w14:textFill>
              </w:rPr>
              <w:t>评</w:t>
            </w:r>
            <w:r>
              <w:rPr>
                <w:rFonts w:ascii="仿宋" w:hAnsi="仿宋" w:eastAsia="仿宋" w:cs="仿宋"/>
                <w:color w:val="000000" w:themeColor="text1"/>
                <w:spacing w:val="-4"/>
                <w:sz w:val="21"/>
                <w:szCs w:val="21"/>
                <w14:textOutline w14:w="3835" w14:cap="flat" w14:cmpd="sng">
                  <w14:solidFill>
                    <w14:srgbClr w14:val="000000"/>
                  </w14:solidFill>
                  <w14:prstDash w14:val="solid"/>
                  <w14:miter w14:val="0"/>
                </w14:textOutline>
                <w14:textFill>
                  <w14:solidFill>
                    <w14:schemeClr w14:val="tx1"/>
                  </w14:solidFill>
                </w14:textFill>
              </w:rPr>
              <w:t>价等级</w:t>
            </w:r>
          </w:p>
        </w:tc>
        <w:tc>
          <w:tcPr>
            <w:tcW w:w="1701" w:type="dxa"/>
            <w:vAlign w:val="top"/>
          </w:tcPr>
          <w:p>
            <w:pPr>
              <w:spacing w:before="238" w:line="223" w:lineRule="auto"/>
              <w:ind w:left="756"/>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优</w:t>
            </w:r>
          </w:p>
        </w:tc>
        <w:tc>
          <w:tcPr>
            <w:tcW w:w="1701" w:type="dxa"/>
            <w:vAlign w:val="top"/>
          </w:tcPr>
          <w:p>
            <w:pPr>
              <w:spacing w:before="238" w:line="225" w:lineRule="auto"/>
              <w:ind w:left="788"/>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良</w:t>
            </w:r>
          </w:p>
        </w:tc>
        <w:tc>
          <w:tcPr>
            <w:tcW w:w="1698" w:type="dxa"/>
            <w:vAlign w:val="top"/>
          </w:tcPr>
          <w:p>
            <w:pPr>
              <w:spacing w:before="238" w:line="223" w:lineRule="auto"/>
              <w:ind w:left="782"/>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中</w:t>
            </w:r>
          </w:p>
        </w:tc>
        <w:tc>
          <w:tcPr>
            <w:tcW w:w="1705" w:type="dxa"/>
            <w:vAlign w:val="top"/>
          </w:tcPr>
          <w:p>
            <w:pPr>
              <w:spacing w:before="237" w:line="231" w:lineRule="auto"/>
              <w:ind w:left="761"/>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1705" w:type="dxa"/>
            <w:vAlign w:val="top"/>
          </w:tcPr>
          <w:p>
            <w:pPr>
              <w:spacing w:before="236" w:line="223" w:lineRule="auto"/>
              <w:ind w:left="194"/>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12"/>
                <w:sz w:val="21"/>
                <w:szCs w:val="21"/>
                <w14:textFill>
                  <w14:solidFill>
                    <w14:schemeClr w14:val="tx1"/>
                  </w14:solidFill>
                </w14:textFill>
              </w:rPr>
              <w:t>评价得分(</w:t>
            </w:r>
            <w:r>
              <w:rPr>
                <w:rFonts w:ascii="仿宋" w:hAnsi="仿宋" w:eastAsia="仿宋" w:cs="仿宋"/>
                <w:color w:val="000000" w:themeColor="text1"/>
                <w:sz w:val="21"/>
                <w:szCs w:val="21"/>
                <w14:textFill>
                  <w14:solidFill>
                    <w14:schemeClr w14:val="tx1"/>
                  </w14:solidFill>
                </w14:textFill>
              </w:rPr>
              <w:t>S</w:t>
            </w:r>
            <w:r>
              <w:rPr>
                <w:rFonts w:ascii="仿宋" w:hAnsi="仿宋" w:eastAsia="仿宋" w:cs="仿宋"/>
                <w:color w:val="000000" w:themeColor="text1"/>
                <w:spacing w:val="12"/>
                <w:sz w:val="21"/>
                <w:szCs w:val="21"/>
                <w14:textFill>
                  <w14:solidFill>
                    <w14:schemeClr w14:val="tx1"/>
                  </w14:solidFill>
                </w14:textFill>
              </w:rPr>
              <w:t>)</w:t>
            </w:r>
          </w:p>
        </w:tc>
        <w:tc>
          <w:tcPr>
            <w:tcW w:w="1701" w:type="dxa"/>
            <w:vAlign w:val="top"/>
          </w:tcPr>
          <w:p>
            <w:pPr>
              <w:spacing w:before="236" w:line="242" w:lineRule="auto"/>
              <w:ind w:left="597"/>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3"/>
                <w:sz w:val="21"/>
                <w:szCs w:val="21"/>
                <w14:textFill>
                  <w14:solidFill>
                    <w14:schemeClr w14:val="tx1"/>
                  </w14:solidFill>
                </w14:textFill>
              </w:rPr>
              <w:t>S≥90</w:t>
            </w:r>
          </w:p>
        </w:tc>
        <w:tc>
          <w:tcPr>
            <w:tcW w:w="1701" w:type="dxa"/>
            <w:vAlign w:val="top"/>
          </w:tcPr>
          <w:p>
            <w:pPr>
              <w:spacing w:before="236" w:line="241" w:lineRule="auto"/>
              <w:ind w:left="391"/>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3"/>
                <w:sz w:val="21"/>
                <w:szCs w:val="21"/>
                <w14:textFill>
                  <w14:solidFill>
                    <w14:schemeClr w14:val="tx1"/>
                  </w14:solidFill>
                </w14:textFill>
              </w:rPr>
              <w:t>80≤S＜90</w:t>
            </w:r>
          </w:p>
        </w:tc>
        <w:tc>
          <w:tcPr>
            <w:tcW w:w="1698" w:type="dxa"/>
            <w:vAlign w:val="top"/>
          </w:tcPr>
          <w:p>
            <w:pPr>
              <w:spacing w:before="236" w:line="241" w:lineRule="auto"/>
              <w:ind w:left="390"/>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5"/>
                <w:sz w:val="21"/>
                <w:szCs w:val="21"/>
                <w14:textFill>
                  <w14:solidFill>
                    <w14:schemeClr w14:val="tx1"/>
                  </w14:solidFill>
                </w14:textFill>
              </w:rPr>
              <w:t>6</w:t>
            </w:r>
            <w:r>
              <w:rPr>
                <w:rFonts w:ascii="仿宋" w:hAnsi="仿宋" w:eastAsia="仿宋" w:cs="仿宋"/>
                <w:color w:val="000000" w:themeColor="text1"/>
                <w:spacing w:val="-3"/>
                <w:sz w:val="21"/>
                <w:szCs w:val="21"/>
                <w14:textFill>
                  <w14:solidFill>
                    <w14:schemeClr w14:val="tx1"/>
                  </w14:solidFill>
                </w14:textFill>
              </w:rPr>
              <w:t>0≤S＜80</w:t>
            </w:r>
          </w:p>
        </w:tc>
        <w:tc>
          <w:tcPr>
            <w:tcW w:w="1705" w:type="dxa"/>
            <w:vAlign w:val="top"/>
          </w:tcPr>
          <w:p>
            <w:pPr>
              <w:spacing w:before="236" w:line="242" w:lineRule="auto"/>
              <w:ind w:left="600"/>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2"/>
                <w:sz w:val="21"/>
                <w:szCs w:val="21"/>
                <w14:textFill>
                  <w14:solidFill>
                    <w14:schemeClr w14:val="tx1"/>
                  </w14:solidFill>
                </w14:textFill>
              </w:rPr>
              <w:t>S</w:t>
            </w:r>
            <w:r>
              <w:rPr>
                <w:rFonts w:ascii="仿宋" w:hAnsi="仿宋" w:eastAsia="仿宋" w:cs="仿宋"/>
                <w:color w:val="000000" w:themeColor="text1"/>
                <w:spacing w:val="-4"/>
                <w:sz w:val="21"/>
                <w:szCs w:val="21"/>
                <w14:textFill>
                  <w14:solidFill>
                    <w14:schemeClr w14:val="tx1"/>
                  </w14:solidFill>
                </w14:textFill>
              </w:rPr>
              <w:t>＜</w:t>
            </w:r>
            <w:r>
              <w:rPr>
                <w:rFonts w:ascii="仿宋" w:hAnsi="仿宋" w:eastAsia="仿宋" w:cs="仿宋"/>
                <w:color w:val="000000" w:themeColor="text1"/>
                <w:spacing w:val="-3"/>
                <w:sz w:val="21"/>
                <w:szCs w:val="21"/>
                <w14:textFill>
                  <w14:solidFill>
                    <w14:schemeClr w14:val="tx1"/>
                  </w14:solidFill>
                </w14:textFill>
              </w:rPr>
              <w:t>6</w:t>
            </w:r>
            <w:r>
              <w:rPr>
                <w:rFonts w:ascii="仿宋" w:hAnsi="仿宋" w:eastAsia="仿宋" w:cs="仿宋"/>
                <w:color w:val="000000" w:themeColor="text1"/>
                <w:spacing w:val="-2"/>
                <w:sz w:val="21"/>
                <w:szCs w:val="21"/>
                <w14:textFill>
                  <w14:solidFill>
                    <w14:schemeClr w14:val="tx1"/>
                  </w14:solidFill>
                </w14:textFill>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(四)绩效评价指标体系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根据《财政部关于印发〈项目支出绩效评价管理办法〉的通知》(财预〔2020〕10号)及预算绩效管理办法、政 策性法规等。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本次绩效评价指标体系为三级指标体系，共含 3 个一级指标、7个二级指标、7个三级指标。评价工作主要从产出、效益、满意度三个方面进行考核和评价，</w:t>
      </w:r>
      <w:r>
        <w:rPr>
          <w:rFonts w:hint="eastAsia" w:ascii="仿宋_GB2312" w:hAnsi="仿宋_GB2312" w:eastAsia="仿宋_GB2312" w:cs="仿宋_GB2312"/>
          <w:sz w:val="32"/>
          <w:szCs w:val="40"/>
          <w:lang w:eastAsia="zh-CN"/>
        </w:rPr>
        <w:t>三</w:t>
      </w:r>
      <w:r>
        <w:rPr>
          <w:rFonts w:hint="eastAsia" w:ascii="仿宋_GB2312" w:hAnsi="仿宋_GB2312" w:eastAsia="仿宋_GB2312" w:cs="仿宋_GB2312"/>
          <w:sz w:val="32"/>
          <w:szCs w:val="40"/>
        </w:rPr>
        <w:t>个方面之间的权重占比分别为30%、30%、40%。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rPr>
      </w:pPr>
      <w:r>
        <w:rPr>
          <w:rFonts w:hint="eastAsia" w:ascii="黑体" w:hAnsi="黑体" w:eastAsia="黑体" w:cs="黑体"/>
          <w:sz w:val="32"/>
          <w:szCs w:val="40"/>
        </w:rPr>
        <w:t>四、评价结论和绩效分析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通过运用由评价工作组设计确认的评 价指标体系及评分标准，评价工作组对兰州新区第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小学2022年集中供暖学校暖气费项目进行客观评价，综合评价得分为 98 分，评价等级为“优”。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兰州新区第</w:t>
      </w:r>
      <w:r>
        <w:rPr>
          <w:rFonts w:hint="eastAsia" w:ascii="仿宋_GB2312" w:hAnsi="仿宋_GB2312" w:eastAsia="仿宋_GB2312" w:cs="仿宋_GB2312"/>
          <w:sz w:val="32"/>
          <w:szCs w:val="40"/>
          <w:lang w:val="en-US" w:eastAsia="zh-CN"/>
        </w:rPr>
        <w:t>三</w:t>
      </w:r>
      <w:r>
        <w:rPr>
          <w:rFonts w:hint="eastAsia" w:ascii="仿宋_GB2312" w:hAnsi="仿宋_GB2312" w:eastAsia="仿宋_GB2312" w:cs="仿宋_GB2312"/>
          <w:sz w:val="32"/>
          <w:szCs w:val="40"/>
        </w:rPr>
        <w:t>小学2022年集中供暖学校暖气费</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万元，项目主管部门为兰州新区教育体育局（教育考试院）。2022年下达集中供暖学校暖气费</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万元，资金到位率100%。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集中供暖学校暖气费截至评价日期，项目累计支出</w:t>
      </w:r>
      <w:r>
        <w:rPr>
          <w:rFonts w:hint="eastAsia" w:ascii="仿宋_GB2312" w:hAnsi="仿宋_GB2312" w:eastAsia="仿宋_GB2312" w:cs="仿宋_GB2312"/>
          <w:sz w:val="32"/>
          <w:szCs w:val="40"/>
          <w:lang w:val="en-US" w:eastAsia="zh-CN"/>
        </w:rPr>
        <w:t>100.19</w:t>
      </w:r>
      <w:r>
        <w:rPr>
          <w:rFonts w:hint="eastAsia" w:ascii="仿宋_GB2312" w:hAnsi="仿宋_GB2312" w:eastAsia="仿宋_GB2312" w:cs="仿宋_GB2312"/>
          <w:sz w:val="32"/>
          <w:szCs w:val="40"/>
        </w:rPr>
        <w:t>万元，预算执行率为100%。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项目执行资金严格按照国家财经法规、财务管理制度的规定使用；资金的拨付有完整的申报、审批程序，符合项目预算批复的用途，评价组在核查资金明细账及相关记账凭证、附件时未发现资金挪用、截留、挤占及虚列支出等情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jMzI4OTM4NjM0NmZiNDM2ZTFjOWFkMzRjY2I2NGEifQ=="/>
  </w:docVars>
  <w:rsids>
    <w:rsidRoot w:val="4106642B"/>
    <w:rsid w:val="089472A2"/>
    <w:rsid w:val="1C7D3242"/>
    <w:rsid w:val="1D893503"/>
    <w:rsid w:val="2E1B29A4"/>
    <w:rsid w:val="41066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character" w:customStyle="1" w:styleId="5">
    <w:name w:val="font11"/>
    <w:basedOn w:val="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2805</Words>
  <Characters>3060</Characters>
  <Lines>0</Lines>
  <Paragraphs>0</Paragraphs>
  <TotalTime>9</TotalTime>
  <ScaleCrop>false</ScaleCrop>
  <LinksUpToDate>false</LinksUpToDate>
  <CharactersWithSpaces>3180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2023-09-18T10:04:00Z</dcterms:created>
  <dc:creator>海帆</dc:creator>
  <cp:lastModifiedBy>小蜜蜂</cp:lastModifiedBy>
  <dcterms:modified xsi:type="dcterms:W3CDTF">2023-09-19T00:40:45Z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230369A1720440EA8CCCE8063A3D8E90_11</vt:lpwstr>
  </property>
</Properties>
</file>