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560" w:lineRule="exact"/>
        <w:ind w:firstLine="880" w:firstLineChars="200"/>
        <w:jc w:val="both"/>
        <w:rPr>
          <w:rFonts w:ascii="方正小标宋简体" w:hAnsi="方正小标宋简体" w:eastAsia="方正小标宋简体" w:cs="方正小标宋简体"/>
          <w:sz w:val="44"/>
          <w:szCs w:val="44"/>
          <w:lang w:bidi="ar"/>
        </w:rPr>
      </w:pPr>
      <w:r>
        <w:rPr>
          <w:rFonts w:hint="eastAsia" w:ascii="方正小标宋简体" w:hAnsi="方正小标宋简体" w:eastAsia="方正小标宋简体" w:cs="方正小标宋简体"/>
          <w:sz w:val="44"/>
          <w:szCs w:val="44"/>
          <w:lang w:bidi="ar"/>
        </w:rPr>
        <w:t>2022年度兰州新区</w:t>
      </w:r>
      <w:bookmarkStart w:id="0" w:name="_Toc5851"/>
      <w:r>
        <w:rPr>
          <w:rFonts w:hint="eastAsia" w:ascii="方正小标宋简体" w:hAnsi="方正小标宋简体" w:eastAsia="方正小标宋简体" w:cs="方正小标宋简体"/>
          <w:sz w:val="44"/>
          <w:szCs w:val="44"/>
          <w:lang w:bidi="ar"/>
        </w:rPr>
        <w:t>疾病预防控制中心</w:t>
      </w:r>
    </w:p>
    <w:p>
      <w:pPr>
        <w:pStyle w:val="6"/>
        <w:widowControl/>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部门预算执行情况自评报告</w:t>
      </w:r>
      <w:bookmarkEnd w:id="0"/>
    </w:p>
    <w:p>
      <w:pPr>
        <w:pStyle w:val="6"/>
        <w:widowControl/>
        <w:spacing w:line="560" w:lineRule="exact"/>
        <w:jc w:val="center"/>
        <w:rPr>
          <w:rFonts w:ascii="方正小标宋简体" w:hAnsi="方正小标宋简体" w:eastAsia="方正小标宋简体" w:cs="方正小标宋简体"/>
          <w:sz w:val="44"/>
          <w:szCs w:val="44"/>
        </w:rPr>
      </w:pPr>
    </w:p>
    <w:p>
      <w:pPr>
        <w:pStyle w:val="6"/>
        <w:widowControl/>
        <w:spacing w:line="560" w:lineRule="exact"/>
        <w:ind w:firstLine="643" w:firstLineChars="200"/>
        <w:jc w:val="both"/>
        <w:rPr>
          <w:rFonts w:ascii="黑体" w:hAnsi="黑体" w:eastAsia="黑体" w:cs="黑体"/>
          <w:b/>
          <w:bCs/>
          <w:sz w:val="32"/>
          <w:szCs w:val="32"/>
        </w:rPr>
      </w:pPr>
      <w:r>
        <w:rPr>
          <w:rFonts w:hint="eastAsia" w:ascii="黑体" w:hAnsi="黑体" w:eastAsia="黑体" w:cs="黑体"/>
          <w:b/>
          <w:bCs/>
          <w:sz w:val="32"/>
          <w:szCs w:val="32"/>
        </w:rPr>
        <w:t>一、部门基本情况</w:t>
      </w:r>
    </w:p>
    <w:p>
      <w:pPr>
        <w:pStyle w:val="6"/>
        <w:widowControl/>
        <w:spacing w:line="560" w:lineRule="exact"/>
        <w:ind w:firstLine="640" w:firstLineChars="200"/>
        <w:jc w:val="both"/>
        <w:rPr>
          <w:rFonts w:hint="eastAsia" w:ascii="楷体_GB2312" w:hAnsi="楷体" w:eastAsia="楷体_GB2312" w:cs="楷体"/>
          <w:sz w:val="32"/>
          <w:szCs w:val="32"/>
        </w:rPr>
      </w:pPr>
      <w:r>
        <w:rPr>
          <w:rFonts w:hint="eastAsia" w:ascii="楷体_GB2312" w:hAnsi="楷体" w:eastAsia="楷体_GB2312" w:cs="楷体"/>
          <w:sz w:val="32"/>
          <w:szCs w:val="32"/>
        </w:rPr>
        <w:t>（一）单位主要职责</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织实施新区范围内疾病预防控制技术和措施，负责信息的收集整理、分析、评价、反馈及疫情报告，提供疾病预防控制的咨询和服务；传染病、非传染性疾病等疾病预防与控制及流行病学调查；突发公共卫生事件应急处置；疫情及健康相关因素信息管理；健康危害因素监测与控制；实验室检测分析与评价；健康教育与健康促进；技术指导与应用研究等。</w:t>
      </w:r>
    </w:p>
    <w:p>
      <w:pPr>
        <w:pStyle w:val="6"/>
        <w:widowControl/>
        <w:spacing w:line="560" w:lineRule="exact"/>
        <w:ind w:firstLine="640" w:firstLineChars="200"/>
        <w:jc w:val="both"/>
        <w:rPr>
          <w:rFonts w:ascii="楷体_GB2312" w:hAnsi="楷体" w:eastAsia="楷体_GB2312" w:cs="楷体"/>
          <w:sz w:val="32"/>
          <w:szCs w:val="32"/>
        </w:rPr>
      </w:pPr>
      <w:r>
        <w:rPr>
          <w:rFonts w:hint="eastAsia" w:ascii="楷体_GB2312" w:hAnsi="楷体" w:eastAsia="楷体_GB2312" w:cs="楷体"/>
          <w:sz w:val="32"/>
          <w:szCs w:val="32"/>
        </w:rPr>
        <w:t>(二</w:t>
      </w:r>
      <w:r>
        <w:rPr>
          <w:rFonts w:ascii="楷体_GB2312" w:hAnsi="楷体" w:eastAsia="楷体_GB2312" w:cs="楷体"/>
          <w:sz w:val="32"/>
          <w:szCs w:val="32"/>
        </w:rPr>
        <w:t>)</w:t>
      </w:r>
      <w:r>
        <w:rPr>
          <w:rFonts w:hint="eastAsia" w:ascii="楷体_GB2312" w:hAnsi="楷体" w:eastAsia="楷体_GB2312" w:cs="楷体"/>
          <w:sz w:val="32"/>
          <w:szCs w:val="32"/>
        </w:rPr>
        <w:t>内设机构及所属单位概况</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1.机构设置情况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中心为财政全额拨款事业单位，现内设科室5个，</w:t>
      </w:r>
      <w:r>
        <w:rPr>
          <w:rFonts w:hint="eastAsia" w:ascii="仿宋_GB2312" w:hAnsi="仿宋_GB2312" w:eastAsia="仿宋_GB2312" w:cs="仿宋_GB2312"/>
          <w:sz w:val="32"/>
          <w:szCs w:val="32"/>
          <w:lang w:val="en-US" w:eastAsia="zh-CN"/>
        </w:rPr>
        <w:t>综合</w:t>
      </w:r>
      <w:r>
        <w:rPr>
          <w:rFonts w:hint="eastAsia" w:ascii="仿宋_GB2312" w:hAnsi="仿宋_GB2312" w:eastAsia="仿宋_GB2312" w:cs="仿宋_GB2312"/>
          <w:sz w:val="32"/>
          <w:szCs w:val="32"/>
        </w:rPr>
        <w:t>办公室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传染病防控科、免疫规划科、公共卫生科</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rPr>
        <w:t>检验科。</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2.人员设置情况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2022年末编制人数7人，其中：参照公务员1人，事业单位人员6人；临时聘用人员1</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w:t>
      </w:r>
    </w:p>
    <w:p>
      <w:pPr>
        <w:pStyle w:val="6"/>
        <w:widowControl/>
        <w:spacing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二、绩效自评工作组织开展情况</w:t>
      </w:r>
    </w:p>
    <w:p>
      <w:pPr>
        <w:pStyle w:val="6"/>
        <w:widowControl/>
        <w:spacing w:line="560" w:lineRule="exact"/>
        <w:ind w:firstLine="640" w:firstLineChars="200"/>
        <w:jc w:val="both"/>
      </w:pPr>
      <w:r>
        <w:rPr>
          <w:rFonts w:hint="eastAsia" w:ascii="仿宋_GB2312" w:eastAsia="仿宋_GB2312" w:hAnsiTheme="minorEastAsia" w:cstheme="minorEastAsia"/>
          <w:sz w:val="32"/>
          <w:szCs w:val="32"/>
        </w:rPr>
        <w:t>为确实做好2022年度部门整体绩效自评工作，提高财政资金使用效益，根据《兰州新区财政局（国资局）关于开展2</w:t>
      </w:r>
      <w:r>
        <w:rPr>
          <w:rFonts w:ascii="仿宋_GB2312" w:eastAsia="仿宋_GB2312" w:hAnsiTheme="minorEastAsia" w:cstheme="minorEastAsia"/>
          <w:sz w:val="32"/>
          <w:szCs w:val="32"/>
        </w:rPr>
        <w:t>02</w:t>
      </w:r>
      <w:r>
        <w:rPr>
          <w:rFonts w:hint="eastAsia" w:ascii="仿宋_GB2312" w:eastAsia="仿宋_GB2312" w:hAnsiTheme="minorEastAsia" w:cstheme="minorEastAsia"/>
          <w:sz w:val="32"/>
          <w:szCs w:val="32"/>
        </w:rPr>
        <w:t>2年度预算执行情况绩效单位自评工作的通知》（兰新财发〔2023〕36号）文件精神，结合实际，我单位组织成立了绩效评价工作小组，检查支出相关资料，并根据绩效自评材料进行分析、总结。</w:t>
      </w:r>
    </w:p>
    <w:p>
      <w:pPr>
        <w:pStyle w:val="6"/>
        <w:widowControl/>
        <w:spacing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三、部门整体支出绩效自评情况分析</w:t>
      </w:r>
    </w:p>
    <w:p>
      <w:pPr>
        <w:pStyle w:val="6"/>
        <w:widowControl/>
        <w:spacing w:line="560" w:lineRule="exact"/>
        <w:ind w:firstLine="640" w:firstLineChars="200"/>
        <w:jc w:val="both"/>
        <w:rPr>
          <w:rFonts w:ascii="楷体_GB2312" w:hAnsi="楷体" w:eastAsia="楷体_GB2312" w:cs="楷体"/>
          <w:sz w:val="32"/>
          <w:szCs w:val="32"/>
        </w:rPr>
      </w:pPr>
      <w:r>
        <w:rPr>
          <w:rFonts w:hint="eastAsia" w:ascii="楷体_GB2312" w:hAnsi="楷体" w:eastAsia="楷体_GB2312" w:cs="楷体"/>
          <w:sz w:val="32"/>
          <w:szCs w:val="32"/>
        </w:rPr>
        <w:t>（一）部门决算情况</w:t>
      </w:r>
    </w:p>
    <w:p>
      <w:pPr>
        <w:spacing w:line="560" w:lineRule="exact"/>
        <w:ind w:firstLine="643" w:firstLineChars="200"/>
        <w:rPr>
          <w:rFonts w:ascii="仿宋_GB2312" w:hAnsi="仿宋_GB2312" w:eastAsia="仿宋_GB2312" w:cs="仿宋_GB2312"/>
          <w:b/>
          <w:bCs/>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202</w:t>
      </w:r>
      <w:r>
        <w:rPr>
          <w:rFonts w:hint="eastAsia" w:ascii="仿宋_GB2312" w:hAnsi="仿宋_GB2312" w:eastAsia="仿宋_GB2312" w:cs="仿宋_GB2312"/>
          <w:b/>
          <w:bCs/>
          <w:sz w:val="32"/>
          <w:szCs w:val="32"/>
        </w:rPr>
        <w:t>2年度收入决算情况</w:t>
      </w:r>
    </w:p>
    <w:p>
      <w:pPr>
        <w:snapToGrid w:val="0"/>
        <w:spacing w:line="560" w:lineRule="exact"/>
        <w:ind w:firstLine="640" w:firstLineChars="200"/>
        <w:rPr>
          <w:rFonts w:ascii="仿宋_GB2312" w:eastAsia="仿宋_GB2312" w:hAnsiTheme="minorEastAsia" w:cstheme="minorEastAsia"/>
          <w:kern w:val="0"/>
          <w:sz w:val="32"/>
          <w:szCs w:val="32"/>
        </w:rPr>
      </w:pPr>
      <w:r>
        <w:rPr>
          <w:rFonts w:hint="eastAsia" w:ascii="仿宋_GB2312" w:eastAsia="仿宋_GB2312" w:hAnsiTheme="minorEastAsia" w:cstheme="minorEastAsia"/>
          <w:kern w:val="0"/>
          <w:sz w:val="32"/>
          <w:szCs w:val="32"/>
        </w:rPr>
        <w:t>2022年度兰州新区疾病预防控制中心收入合计1819.42万元，其中一般公共预算财政收入1123.12万元；上级补助收入696.3万元。年初结转结余546.41万元，2022年度收入总计为2365.83万元。</w:t>
      </w:r>
    </w:p>
    <w:p>
      <w:pPr>
        <w:pStyle w:val="6"/>
        <w:widowControl/>
        <w:spacing w:line="560" w:lineRule="exact"/>
        <w:ind w:firstLine="643" w:firstLineChars="200"/>
        <w:jc w:val="both"/>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2.2022年度支出决算情况</w:t>
      </w:r>
    </w:p>
    <w:p>
      <w:pPr>
        <w:pStyle w:val="6"/>
        <w:widowControl/>
        <w:spacing w:line="560" w:lineRule="exact"/>
        <w:ind w:firstLine="640" w:firstLineChars="200"/>
        <w:jc w:val="both"/>
        <w:rPr>
          <w:rFonts w:ascii="仿宋_GB2312" w:eastAsia="仿宋_GB2312" w:hAnsiTheme="minorEastAsia" w:cstheme="minorEastAsia"/>
          <w:sz w:val="32"/>
          <w:szCs w:val="32"/>
        </w:rPr>
      </w:pPr>
      <w:r>
        <w:rPr>
          <w:rFonts w:ascii="仿宋_GB2312" w:eastAsia="仿宋_GB2312" w:hAnsiTheme="minorEastAsia" w:cstheme="minorEastAsia"/>
          <w:sz w:val="32"/>
          <w:szCs w:val="32"/>
        </w:rPr>
        <w:t>202</w:t>
      </w:r>
      <w:r>
        <w:rPr>
          <w:rFonts w:hint="eastAsia" w:ascii="仿宋_GB2312" w:eastAsia="仿宋_GB2312" w:hAnsiTheme="minorEastAsia" w:cstheme="minorEastAsia"/>
          <w:sz w:val="32"/>
          <w:szCs w:val="32"/>
        </w:rPr>
        <w:t>2年度我中心支出合计1999.51万元，其中人员经费支出142.02万元、公用经费支出3.01万元。项目支出1854.48万元。</w:t>
      </w:r>
    </w:p>
    <w:p>
      <w:pPr>
        <w:pStyle w:val="6"/>
        <w:widowControl/>
        <w:spacing w:line="560" w:lineRule="exact"/>
        <w:ind w:firstLine="640" w:firstLineChars="200"/>
        <w:jc w:val="both"/>
        <w:rPr>
          <w:rFonts w:ascii="楷体_GB2312" w:hAnsi="楷体" w:eastAsia="楷体_GB2312" w:cs="楷体"/>
          <w:sz w:val="32"/>
          <w:szCs w:val="32"/>
        </w:rPr>
      </w:pPr>
      <w:r>
        <w:rPr>
          <w:rFonts w:hint="eastAsia" w:ascii="楷体_GB2312" w:hAnsi="楷体" w:eastAsia="楷体_GB2312" w:cs="楷体"/>
          <w:sz w:val="32"/>
          <w:szCs w:val="32"/>
        </w:rPr>
        <w:t>（二）总体绩效目标完成情况分析</w:t>
      </w:r>
    </w:p>
    <w:p>
      <w:pPr>
        <w:pStyle w:val="6"/>
        <w:widowControl/>
        <w:spacing w:line="560" w:lineRule="exact"/>
        <w:ind w:firstLine="643" w:firstLineChars="200"/>
        <w:jc w:val="both"/>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1.总体绩效目标</w:t>
      </w:r>
    </w:p>
    <w:p>
      <w:pPr>
        <w:pStyle w:val="6"/>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楷体_GB2312" w:hAnsi="楷体" w:eastAsia="楷体_GB2312" w:cs="楷体"/>
          <w:sz w:val="32"/>
          <w:szCs w:val="32"/>
        </w:rPr>
      </w:pPr>
      <w:r>
        <w:rPr>
          <w:rFonts w:hint="eastAsia" w:ascii="仿宋_GB2312" w:hAnsi="仿宋_GB2312" w:eastAsia="仿宋_GB2312" w:cs="仿宋_GB2312"/>
          <w:sz w:val="32"/>
          <w:szCs w:val="32"/>
        </w:rPr>
        <w:t>目标1：根据省冷链运转的要求，加强全程温度监测，确保运转安全；继续提升疑似预防接种异常反应（AEFI）监测管理水平，确保接种安全；推动预防接种规范化门诊建设，加大对各疫苗针对传染病聚集性疫情的监测和防控，确保不发生突发公共卫生事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目标2：督促新建医疗机构开通传染病网络监测系统，扩大监测覆盖面，不断提升新区传染病监测和检测水平。落实《</w:t>
      </w:r>
      <w:r>
        <w:rPr>
          <w:rFonts w:hint="eastAsia" w:ascii="仿宋_GB2312" w:hAnsi="仿宋_GB2312" w:eastAsia="仿宋_GB2312" w:cs="仿宋_GB2312"/>
          <w:sz w:val="32"/>
          <w:szCs w:val="32"/>
          <w:lang w:val="en-US" w:eastAsia="zh-CN"/>
        </w:rPr>
        <w:t>兰</w:t>
      </w:r>
      <w:r>
        <w:rPr>
          <w:rFonts w:hint="eastAsia" w:ascii="仿宋_GB2312" w:hAnsi="仿宋_GB2312" w:eastAsia="仿宋_GB2312" w:cs="仿宋_GB2312"/>
          <w:sz w:val="32"/>
          <w:szCs w:val="32"/>
        </w:rPr>
        <w:t>州新区突发公共卫生事件应急处置方案》，提高重大传染病和突发公共卫生事件的处置能力；组建新区传染病应急处置队伍，定期组织开展应急演练，提高应急能力。强化应急响应机制，做到职责清晰、流程合理、科学规范、预警及时、反应快速。有效开展应急处置相关工作，有力维护公众健康安全</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目标3：定期监测、检测和评估饮用水水源、供水厂出水和用户水龙头水质等饮水安全状况，落实供水单位主体责任，提高饮用水卫生监督监测水平，有效保障城乡饮用水卫生安全，切实维护人民群众健康权益。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目标4：确保报告系统的有效运行，充分发挥网络直报作用，指导和规范各级各类医疗卫生机构的传染病信息报告管理工作，及时应对突发公共卫生事件及重大传染病防控工作。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目标5：及时处置突发公共卫生事件发生，有效控制疫情大范围爆发，保障新区经济社会高质量发展人民健康。</w:t>
      </w:r>
    </w:p>
    <w:p>
      <w:pPr>
        <w:pStyle w:val="6"/>
        <w:widowControl/>
        <w:spacing w:line="560" w:lineRule="exact"/>
        <w:ind w:firstLine="643" w:firstLineChars="200"/>
        <w:jc w:val="both"/>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2.完成情况分析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目标1完成情况：及时处置疫苗针对传染病突发公共卫生事件发生，有效控制传染病大范围爆发，保障人民健康。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目标2完成情况：各项疾病预防控制工作稳步推进，及时处置传染病等突发公共卫生事件，提升了慢性病综合管理、学校卫生、职业卫生、食品卫生、环境卫生监测的能力水平。</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目标3完成情况：按时完成兰州新区生活饮用水水质检测工作，每季度定期公示。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目标4完成情况：传染病报告率、完整率100%；系统正常运转率100%。</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目标5完成情况：常见突发疫情宣传到位、防控得力、处置有序。</w:t>
      </w:r>
    </w:p>
    <w:p>
      <w:pPr>
        <w:pStyle w:val="6"/>
        <w:widowControl/>
        <w:spacing w:line="560" w:lineRule="exact"/>
        <w:ind w:firstLine="640" w:firstLineChars="200"/>
        <w:jc w:val="both"/>
        <w:rPr>
          <w:rFonts w:ascii="楷体_GB2312" w:hAnsi="楷体" w:eastAsia="楷体_GB2312" w:cs="楷体"/>
          <w:sz w:val="32"/>
          <w:szCs w:val="32"/>
        </w:rPr>
      </w:pPr>
      <w:r>
        <w:rPr>
          <w:rFonts w:hint="eastAsia" w:ascii="楷体_GB2312" w:hAnsi="楷体" w:eastAsia="楷体_GB2312" w:cs="楷体"/>
          <w:sz w:val="32"/>
          <w:szCs w:val="32"/>
        </w:rPr>
        <w:t>（三）各项指标完成情况分析</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本次自评工作要求，我单位结合2022年度履职工作实际，从部门整体支出、部门管理、履职效果、能力建设及服务对象满意度五个方面开展部门整体支出绩效自评。经对各项履职工作相关资料的整理、汇总分析，综合评分为95.56分。各项指标完成情况分析如下：</w:t>
      </w:r>
    </w:p>
    <w:p>
      <w:pPr>
        <w:pStyle w:val="6"/>
        <w:widowControl/>
        <w:spacing w:line="560" w:lineRule="exact"/>
        <w:ind w:firstLine="643" w:firstLineChars="200"/>
        <w:jc w:val="both"/>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1.部门整体支出</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整体支出指标分值10分，2022年度我单位整体支出年初预算数为1819.41万元，全年预算数为2365.83万元，实际支出数为1999.51万元，执行率为84.52%，指标得分为8.39分。单位整体支出执行率偏低的原因是：1.部分资金为应急资金，未发生应急事件故部分项目资金未使用。2.单位人员离职，故人员经费实际支出减少。</w:t>
      </w:r>
    </w:p>
    <w:p>
      <w:pPr>
        <w:spacing w:line="560" w:lineRule="exact"/>
        <w:ind w:firstLine="643" w:firstLineChars="200"/>
        <w:rPr>
          <w:rFonts w:ascii="仿宋_GB2312" w:eastAsia="仿宋_GB2312" w:hAnsiTheme="minorEastAsia" w:cstheme="minorEastAsia"/>
          <w:b/>
          <w:bCs/>
          <w:sz w:val="32"/>
          <w:szCs w:val="32"/>
        </w:rPr>
      </w:pPr>
      <w:r>
        <w:rPr>
          <w:rFonts w:hint="eastAsia" w:ascii="仿宋_GB2312" w:eastAsia="仿宋_GB2312" w:hAnsiTheme="minorEastAsia" w:cstheme="minorEastAsia"/>
          <w:b/>
          <w:bCs/>
          <w:sz w:val="32"/>
          <w:szCs w:val="32"/>
        </w:rPr>
        <w:t>2.部门管理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部门管理指标分值20分，从资金投入、财务管理、采购管理、资产管理、人员管理及重点工作管理六方面对我单位2022年度部门管理情况进行自评分析，得分为19.17分。</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资产管理指标分值为2分，得</w:t>
      </w:r>
      <w:r>
        <w:rPr>
          <w:rFonts w:hint="eastAsia" w:ascii="仿宋_GB2312" w:hAnsi="仿宋_GB2312" w:eastAsia="仿宋_GB2312" w:cs="仿宋_GB2312"/>
          <w:sz w:val="32"/>
          <w:szCs w:val="32"/>
        </w:rPr>
        <w:t>1.5</w:t>
      </w:r>
      <w:r>
        <w:rPr>
          <w:rFonts w:ascii="仿宋_GB2312" w:hAnsi="仿宋_GB2312" w:eastAsia="仿宋_GB2312" w:cs="仿宋_GB2312"/>
          <w:sz w:val="32"/>
          <w:szCs w:val="32"/>
        </w:rPr>
        <w:t>分。</w:t>
      </w:r>
      <w:r>
        <w:rPr>
          <w:rFonts w:hint="eastAsia" w:ascii="仿宋_GB2312" w:hAnsi="仿宋_GB2312" w:eastAsia="仿宋_GB2312" w:cs="仿宋_GB2312"/>
          <w:sz w:val="32"/>
          <w:szCs w:val="32"/>
        </w:rPr>
        <w:t>固定资产管理制度不够全面，</w:t>
      </w:r>
      <w:r>
        <w:rPr>
          <w:rFonts w:ascii="仿宋_GB2312" w:hAnsi="仿宋_GB2312" w:eastAsia="仿宋_GB2312" w:cs="仿宋_GB2312"/>
          <w:sz w:val="32"/>
          <w:szCs w:val="32"/>
        </w:rPr>
        <w:t>为进一步规范和加强行政事业性国有资产管理，维护资产的安全和完整，提高资产使用效益</w:t>
      </w:r>
      <w:r>
        <w:rPr>
          <w:rFonts w:hint="eastAsia" w:ascii="仿宋_GB2312" w:hAnsi="仿宋_GB2312" w:eastAsia="仿宋_GB2312" w:cs="仿宋_GB2312"/>
          <w:sz w:val="32"/>
          <w:szCs w:val="32"/>
        </w:rPr>
        <w:t>，我中心将进一步完善资产配置、资产使用和管理、资产处置等内容进行明确及制定相关制度，并根据相关要求按期完成资产清查工作。</w:t>
      </w:r>
    </w:p>
    <w:p>
      <w:pPr>
        <w:pStyle w:val="2"/>
        <w:numPr>
          <w:ilvl w:val="5"/>
          <w:numId w:val="0"/>
        </w:numPr>
        <w:spacing w:line="560" w:lineRule="exact"/>
        <w:ind w:firstLine="643"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3.履职效果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部门履职目标指标根据我单位工作职责及年度工作安排，从疫情防控完成情况、卫生健康知识普及情况、党建工作完成情况、仪器设备实验室安全事故零发生、项目完成率、维护基本公卫安全、提升疾病预防控制水平、推进疾病预防控制体系、违法违纪情况、突发事件处置等方面对我单位2022年度部门履职工作完成情况进行分析说明，得分为49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卫生健康知识普及情况指标分值为5分，得分4分。2022年由于疫情影响故我中心对于卫生健康知识的普及不够到位。2023年我们将通过线上+线下并行的模式做好卫生健康知识普及工作。</w:t>
      </w:r>
    </w:p>
    <w:p>
      <w:pPr>
        <w:pStyle w:val="6"/>
        <w:widowControl/>
        <w:spacing w:line="560" w:lineRule="exact"/>
        <w:ind w:firstLine="643" w:firstLineChars="200"/>
        <w:jc w:val="both"/>
        <w:rPr>
          <w:rFonts w:ascii="仿宋" w:hAnsi="仿宋" w:eastAsia="仿宋" w:cs="仿宋"/>
          <w:b/>
          <w:bCs/>
          <w:sz w:val="32"/>
          <w:szCs w:val="32"/>
        </w:rPr>
      </w:pPr>
      <w:r>
        <w:rPr>
          <w:rFonts w:hint="eastAsia" w:ascii="仿宋" w:hAnsi="仿宋" w:eastAsia="仿宋" w:cs="仿宋"/>
          <w:b/>
          <w:bCs/>
          <w:sz w:val="32"/>
          <w:szCs w:val="32"/>
        </w:rPr>
        <w:t>4.能力建设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能力建设指标分值为10分，得9.5分。2022年度我单位坚持做好人力资源建设工作，强化人员工作能力，进一步加强各项档案资料的管理，为后续相关工作开展带来可持续影响。</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档案管理指标分值为2分，得1.5分，档案管理机制不够完善。由于单位临时租用办公用房，故没有专门用于档案存放的档案室。2023年我中心将</w:t>
      </w:r>
      <w:r>
        <w:rPr>
          <w:rFonts w:ascii="仿宋_GB2312" w:hAnsi="仿宋_GB2312" w:eastAsia="仿宋_GB2312" w:cs="仿宋_GB2312"/>
          <w:sz w:val="32"/>
          <w:szCs w:val="32"/>
        </w:rPr>
        <w:t>建立健全档案管理制度，建立综合性档案室。</w:t>
      </w:r>
    </w:p>
    <w:p>
      <w:pPr>
        <w:pStyle w:val="6"/>
        <w:widowControl/>
        <w:spacing w:line="560" w:lineRule="exact"/>
        <w:ind w:firstLine="643" w:firstLineChars="200"/>
        <w:jc w:val="both"/>
        <w:rPr>
          <w:rFonts w:ascii="仿宋" w:hAnsi="仿宋" w:eastAsia="仿宋" w:cs="仿宋"/>
          <w:b/>
          <w:bCs/>
          <w:sz w:val="32"/>
          <w:szCs w:val="32"/>
        </w:rPr>
      </w:pPr>
      <w:r>
        <w:rPr>
          <w:rFonts w:hint="eastAsia" w:ascii="仿宋" w:hAnsi="仿宋" w:eastAsia="仿宋" w:cs="仿宋"/>
          <w:b/>
          <w:bCs/>
          <w:sz w:val="32"/>
          <w:szCs w:val="32"/>
        </w:rPr>
        <w:t>5.服务对象满意度</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服务对象满意度指标分值为10分，从工作人员满意度、群众满意度对我单位2022年度服务对象满意度进行自评分析，得分为9.5分。工作人员满意度指标分值为2分，得1.5分，由于无固定业务用房均为临时租用，故造成部分活动及项目无法开展。</w:t>
      </w:r>
    </w:p>
    <w:p>
      <w:pPr>
        <w:pStyle w:val="6"/>
        <w:widowControl/>
        <w:spacing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四、部门预算项目支出绩效自评情况分析</w:t>
      </w:r>
    </w:p>
    <w:p>
      <w:pPr>
        <w:pStyle w:val="6"/>
        <w:widowControl/>
        <w:spacing w:line="560" w:lineRule="exact"/>
        <w:ind w:firstLine="640" w:firstLineChars="200"/>
        <w:jc w:val="both"/>
        <w:rPr>
          <w:rFonts w:ascii="楷体_GB2312" w:hAnsi="楷体" w:eastAsia="楷体_GB2312" w:cs="楷体"/>
          <w:sz w:val="32"/>
          <w:szCs w:val="32"/>
        </w:rPr>
      </w:pPr>
      <w:r>
        <w:rPr>
          <w:rFonts w:hint="eastAsia" w:ascii="楷体_GB2312" w:hAnsi="楷体" w:eastAsia="楷体_GB2312" w:cs="楷体"/>
          <w:sz w:val="32"/>
          <w:szCs w:val="32"/>
        </w:rPr>
        <w:t>（一）水质监测项目</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1.绩效目标分解下达情况</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（1）下达水质监测项目转移支付预算和绩效目标情况。</w:t>
      </w:r>
    </w:p>
    <w:p>
      <w:pPr>
        <w:spacing w:line="560" w:lineRule="exact"/>
        <w:ind w:firstLine="640" w:firstLineChars="200"/>
        <w:rPr>
          <w:rFonts w:ascii="仿宋_GB2312" w:hAnsi="宋体" w:eastAsia="仿宋_GB2312"/>
          <w:color w:val="000000"/>
          <w:kern w:val="0"/>
          <w:sz w:val="32"/>
          <w:szCs w:val="32"/>
        </w:rPr>
      </w:pPr>
      <w:r>
        <w:rPr>
          <w:rFonts w:hint="eastAsia" w:ascii="仿宋_GB2312" w:hAnsi="宋体" w:eastAsia="仿宋_GB2312"/>
          <w:color w:val="000000"/>
          <w:kern w:val="0"/>
          <w:sz w:val="32"/>
          <w:szCs w:val="32"/>
        </w:rPr>
        <w:t>为掌握兰州新区生活饮用水卫生状况，科学实施生活饮用水监测管理，系统掌握和分析饮用水卫生安全状况，及时发现和处置饮用水安全隐患，防范饮用水污染危害人群健康，为科学决策和有针对性地采取措施保障饮用水卫生安全提供支持。</w:t>
      </w:r>
    </w:p>
    <w:p>
      <w:pPr>
        <w:widowControl/>
        <w:spacing w:line="560" w:lineRule="exact"/>
        <w:ind w:firstLine="640" w:firstLineChars="200"/>
        <w:rPr>
          <w:rFonts w:ascii="仿宋_GB2312" w:hAnsi="仿宋" w:eastAsia="仿宋_GB2312"/>
          <w:sz w:val="32"/>
          <w:szCs w:val="32"/>
        </w:rPr>
      </w:pPr>
      <w:r>
        <w:rPr>
          <w:rFonts w:hint="eastAsia" w:ascii="仿宋_GB2312" w:hAnsi="Times New Roman" w:eastAsia="仿宋_GB2312"/>
          <w:sz w:val="32"/>
          <w:szCs w:val="32"/>
        </w:rPr>
        <w:t>根据甘财社、省卫健委《关于提前下达2022年基本公共卫生服务中央及省级补助资金预算的通知》（甘财社［2021］129号）和省卫健委《关于印发2022年基本公共卫生服务疾控类项目实施方案的通知》（甘卫疾控函［2022］46号）</w:t>
      </w:r>
      <w:r>
        <w:rPr>
          <w:rFonts w:hint="eastAsia" w:ascii="仿宋_GB2312" w:hAnsi="宋体" w:eastAsia="仿宋_GB2312" w:cs="仿宋_GB2312"/>
          <w:color w:val="000000"/>
          <w:kern w:val="0"/>
          <w:sz w:val="32"/>
          <w:szCs w:val="32"/>
        </w:rPr>
        <w:t>有关饮用水监测工作要求，对2022年新区城市集中式供水单位覆盖范围内的管网末梢水开展月、季、年监测，对水样类型为出厂水、末梢水和传统水箱式二次供水水样进行枯水期、丰水期监测</w:t>
      </w:r>
      <w:r>
        <w:rPr>
          <w:rFonts w:hint="eastAsia" w:ascii="仿宋_GB2312" w:hAnsi="仿宋" w:eastAsia="仿宋_GB2312"/>
          <w:sz w:val="32"/>
          <w:szCs w:val="32"/>
        </w:rPr>
        <w:t>。新区财政下达水质检测项目转移支付预算</w:t>
      </w:r>
      <w:r>
        <w:rPr>
          <w:rFonts w:hint="eastAsia" w:ascii="仿宋_GB2312" w:hAnsi="仿宋_GB2312" w:eastAsia="仿宋_GB2312" w:cs="仿宋_GB2312"/>
          <w:color w:val="000000"/>
          <w:sz w:val="32"/>
          <w:szCs w:val="32"/>
        </w:rPr>
        <w:t>15万元</w:t>
      </w:r>
      <w:r>
        <w:rPr>
          <w:rFonts w:hint="eastAsia" w:ascii="仿宋_GB2312" w:hAnsi="Times New Roman" w:eastAsia="仿宋_GB2312" w:cs="仿宋_GB2312"/>
          <w:color w:val="000000"/>
          <w:kern w:val="0"/>
          <w:sz w:val="32"/>
          <w:szCs w:val="32"/>
          <w:lang w:bidi="ar"/>
        </w:rPr>
        <w:t>，采取政府购买第三方服务方式，开展生活饮用水水质监测工作。</w:t>
      </w:r>
    </w:p>
    <w:p>
      <w:pPr>
        <w:spacing w:line="560" w:lineRule="exact"/>
        <w:ind w:left="420" w:leftChars="200" w:firstLine="200"/>
        <w:rPr>
          <w:rFonts w:ascii="楷体_GB2312" w:hAnsi="楷体_GB2312" w:eastAsia="楷体_GB2312" w:cs="楷体_GB2312"/>
          <w:sz w:val="32"/>
          <w:szCs w:val="32"/>
        </w:rPr>
      </w:pPr>
      <w:r>
        <w:rPr>
          <w:rFonts w:hint="eastAsia" w:ascii="楷体_GB2312" w:hAnsi="楷体_GB2312" w:eastAsia="楷体_GB2312" w:cs="楷体_GB2312"/>
          <w:sz w:val="32"/>
          <w:szCs w:val="32"/>
        </w:rPr>
        <w:t>（2）资金安排、分解下达预算和绩效目标情况。</w:t>
      </w:r>
    </w:p>
    <w:p>
      <w:pPr>
        <w:widowControl/>
        <w:spacing w:line="560" w:lineRule="exact"/>
        <w:ind w:firstLine="200"/>
        <w:rPr>
          <w:rFonts w:ascii="仿宋_GB2312" w:eastAsia="仿宋_GB2312"/>
          <w:b/>
          <w:bCs/>
          <w:sz w:val="32"/>
          <w:szCs w:val="32"/>
        </w:rPr>
      </w:pPr>
      <w:r>
        <w:rPr>
          <w:rFonts w:hint="eastAsia" w:ascii="仿宋_GB2312" w:hAnsi="仿宋_GB2312" w:eastAsia="仿宋_GB2312" w:cs="仿宋_GB2312"/>
          <w:color w:val="000000"/>
          <w:sz w:val="32"/>
          <w:szCs w:val="32"/>
        </w:rPr>
        <w:t>项目经费年初预算15万</w:t>
      </w:r>
      <w:r>
        <w:rPr>
          <w:rFonts w:hint="eastAsia" w:ascii="仿宋_GB2312" w:hAnsi="Times New Roman" w:eastAsia="仿宋_GB2312" w:cs="仿宋_GB2312"/>
          <w:color w:val="000000"/>
          <w:kern w:val="0"/>
          <w:sz w:val="32"/>
          <w:szCs w:val="32"/>
          <w:lang w:bidi="ar"/>
        </w:rPr>
        <w:t>，采取政府购买第三方服务方式，预算资金到位率100%。</w:t>
      </w:r>
    </w:p>
    <w:p>
      <w:pPr>
        <w:spacing w:line="560" w:lineRule="exact"/>
        <w:ind w:firstLine="627" w:firstLineChars="196"/>
        <w:outlineLvl w:val="0"/>
        <w:rPr>
          <w:rFonts w:ascii="楷体_GB2312" w:hAnsi="楷体_GB2312" w:eastAsia="楷体_GB2312" w:cs="楷体_GB2312"/>
          <w:sz w:val="32"/>
          <w:szCs w:val="32"/>
        </w:rPr>
      </w:pPr>
      <w:r>
        <w:rPr>
          <w:rFonts w:hint="eastAsia" w:ascii="仿宋_GB2312" w:hAnsi="仿宋_GB2312" w:eastAsia="仿宋_GB2312" w:cs="仿宋_GB2312"/>
          <w:color w:val="000000"/>
          <w:sz w:val="32"/>
          <w:szCs w:val="32"/>
        </w:rPr>
        <w:t>项目执行主体为兰州新区卫健委，项目覆盖新区所辖三个园区。各园区卫健局、</w:t>
      </w:r>
      <w:r>
        <w:rPr>
          <w:rFonts w:hint="eastAsia" w:ascii="仿宋_GB2312" w:hAnsi="仿宋_GB2312" w:eastAsia="仿宋_GB2312" w:cs="仿宋_GB2312"/>
          <w:kern w:val="0"/>
          <w:sz w:val="32"/>
          <w:szCs w:val="32"/>
          <w:lang w:bidi="ar"/>
        </w:rPr>
        <w:t>新区疾控中心依职责承担相应的监测项目和职责。</w:t>
      </w:r>
      <w:r>
        <w:rPr>
          <w:rFonts w:hint="eastAsia" w:ascii="仿宋_GB2312" w:hAnsi="宋体" w:eastAsia="仿宋_GB2312"/>
          <w:color w:val="000000"/>
          <w:kern w:val="0"/>
          <w:sz w:val="32"/>
          <w:szCs w:val="32"/>
        </w:rPr>
        <w:t>通过对城区集中式供水单位覆盖范围内的管网末梢水开展月、季、年、枯水期及丰水期监测，</w:t>
      </w:r>
      <w:r>
        <w:rPr>
          <w:rFonts w:hint="eastAsia" w:ascii="仿宋_GB2312" w:hAnsi="仿宋_GB2312" w:eastAsia="仿宋_GB2312" w:cs="仿宋_GB2312"/>
          <w:sz w:val="32"/>
          <w:szCs w:val="32"/>
        </w:rPr>
        <w:t>旨在</w:t>
      </w:r>
      <w:r>
        <w:rPr>
          <w:rFonts w:hint="eastAsia" w:ascii="仿宋_GB2312" w:hAnsi="宋体" w:eastAsia="仿宋_GB2312"/>
          <w:color w:val="000000"/>
          <w:kern w:val="0"/>
          <w:sz w:val="32"/>
          <w:szCs w:val="32"/>
        </w:rPr>
        <w:t>掌握兰州新区生活饮用水卫生状况，科学实施生活饮用水监测管理，及时发现和处置饮用水安全隐患，防范饮用水污染危害人群健康，为科学决策和有针对性地采取措施，保障饮用水卫生安全提供支持。</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2.绩效目标完成情况分析</w:t>
      </w:r>
    </w:p>
    <w:p>
      <w:pPr>
        <w:spacing w:line="560" w:lineRule="exact"/>
        <w:ind w:firstLine="640" w:firstLineChars="200"/>
        <w:rPr>
          <w:rFonts w:ascii="黑体" w:hAnsi="黑体" w:eastAsia="黑体" w:cs="黑体"/>
          <w:sz w:val="32"/>
          <w:szCs w:val="32"/>
        </w:rPr>
      </w:pPr>
      <w:r>
        <w:rPr>
          <w:rFonts w:hint="eastAsia" w:ascii="楷体_GB2312" w:hAnsi="楷体_GB2312" w:eastAsia="楷体_GB2312" w:cs="楷体_GB2312"/>
          <w:sz w:val="32"/>
          <w:szCs w:val="32"/>
        </w:rPr>
        <w:t>(1)资金投入情况分析。</w:t>
      </w:r>
    </w:p>
    <w:p>
      <w:pPr>
        <w:spacing w:line="560" w:lineRule="exact"/>
        <w:ind w:firstLine="640" w:firstLineChars="200"/>
        <w:rPr>
          <w:rFonts w:ascii="仿宋_GB2312" w:eastAsia="仿宋_GB2312"/>
          <w:b/>
          <w:bCs/>
          <w:sz w:val="32"/>
          <w:szCs w:val="32"/>
        </w:rPr>
      </w:pP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1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①</w:t>
      </w:r>
      <w:r>
        <w:rPr>
          <w:rFonts w:ascii="仿宋_GB2312" w:eastAsia="仿宋_GB2312"/>
          <w:sz w:val="32"/>
          <w:szCs w:val="32"/>
        </w:rPr>
        <w:fldChar w:fldCharType="end"/>
      </w:r>
      <w:r>
        <w:rPr>
          <w:rFonts w:hint="eastAsia" w:ascii="仿宋_GB2312" w:eastAsia="仿宋_GB2312"/>
          <w:sz w:val="32"/>
          <w:szCs w:val="32"/>
        </w:rPr>
        <w:t>项目资金到位情况分析</w:t>
      </w:r>
      <w:r>
        <w:rPr>
          <w:rFonts w:hint="eastAsia" w:ascii="仿宋_GB2312" w:eastAsia="仿宋_GB2312"/>
          <w:b/>
          <w:bCs/>
          <w:sz w:val="32"/>
          <w:szCs w:val="32"/>
        </w:rPr>
        <w:t>。</w:t>
      </w:r>
    </w:p>
    <w:p>
      <w:pPr>
        <w:widowControl/>
        <w:spacing w:line="560" w:lineRule="exact"/>
        <w:ind w:firstLine="640" w:firstLineChars="200"/>
        <w:rPr>
          <w:rFonts w:ascii="仿宋_GB2312" w:eastAsia="仿宋_GB2312"/>
          <w:b/>
          <w:bCs/>
          <w:sz w:val="32"/>
          <w:szCs w:val="32"/>
        </w:rPr>
      </w:pPr>
      <w:r>
        <w:rPr>
          <w:rFonts w:hint="eastAsia" w:ascii="仿宋_GB2312" w:hAnsi="仿宋_GB2312" w:eastAsia="仿宋_GB2312" w:cs="仿宋_GB2312"/>
          <w:color w:val="000000"/>
          <w:sz w:val="32"/>
          <w:szCs w:val="32"/>
        </w:rPr>
        <w:t>项目经费年初预算15万，</w:t>
      </w:r>
      <w:r>
        <w:rPr>
          <w:rFonts w:hint="eastAsia" w:ascii="仿宋_GB2312" w:hAnsi="Times New Roman" w:eastAsia="仿宋_GB2312" w:cs="仿宋_GB2312"/>
          <w:color w:val="000000"/>
          <w:kern w:val="0"/>
          <w:sz w:val="32"/>
          <w:szCs w:val="32"/>
          <w:lang w:bidi="ar"/>
        </w:rPr>
        <w:t>资金到位率100%</w:t>
      </w:r>
      <w:r>
        <w:rPr>
          <w:rFonts w:hint="eastAsia" w:ascii="仿宋_GB2312" w:hAnsi="仿宋_GB2312" w:eastAsia="仿宋_GB2312" w:cs="仿宋_GB2312"/>
          <w:color w:val="000000"/>
          <w:sz w:val="32"/>
          <w:szCs w:val="32"/>
        </w:rPr>
        <w:t>，采取</w:t>
      </w:r>
      <w:r>
        <w:rPr>
          <w:rFonts w:hint="eastAsia" w:ascii="仿宋_GB2312" w:hAnsi="Times New Roman" w:eastAsia="仿宋_GB2312" w:cs="仿宋_GB2312"/>
          <w:color w:val="000000"/>
          <w:kern w:val="0"/>
          <w:sz w:val="32"/>
          <w:szCs w:val="32"/>
          <w:lang w:bidi="ar"/>
        </w:rPr>
        <w:t>政府购买服务方式，招标确定</w:t>
      </w:r>
      <w:r>
        <w:rPr>
          <w:rFonts w:hint="eastAsia" w:ascii="仿宋_GB2312" w:hAnsi="仿宋_GB2312" w:eastAsia="仿宋_GB2312" w:cs="仿宋_GB2312"/>
          <w:color w:val="000000"/>
          <w:sz w:val="32"/>
          <w:szCs w:val="32"/>
        </w:rPr>
        <w:t>甘肃中商食品质量检验公司</w:t>
      </w:r>
      <w:r>
        <w:rPr>
          <w:rFonts w:hint="eastAsia" w:ascii="仿宋_GB2312" w:eastAsia="仿宋_GB2312"/>
          <w:sz w:val="32"/>
          <w:szCs w:val="32"/>
        </w:rPr>
        <w:t>对各</w:t>
      </w:r>
      <w:r>
        <w:rPr>
          <w:rFonts w:hint="eastAsia" w:ascii="仿宋_GB2312" w:hAnsi="宋体" w:eastAsia="仿宋_GB2312"/>
          <w:color w:val="000000"/>
          <w:kern w:val="0"/>
          <w:sz w:val="32"/>
          <w:szCs w:val="32"/>
        </w:rPr>
        <w:t>集中式供水单位覆盖范围内的管网末梢水开展监测</w:t>
      </w:r>
      <w:r>
        <w:rPr>
          <w:rFonts w:hint="eastAsia" w:ascii="仿宋_GB2312" w:hAnsi="仿宋_GB2312" w:eastAsia="仿宋_GB2312" w:cs="仿宋_GB2312"/>
          <w:color w:val="000000"/>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2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②</w:t>
      </w:r>
      <w:r>
        <w:rPr>
          <w:rFonts w:ascii="仿宋_GB2312" w:eastAsia="仿宋_GB2312"/>
          <w:sz w:val="32"/>
          <w:szCs w:val="32"/>
        </w:rPr>
        <w:fldChar w:fldCharType="end"/>
      </w:r>
      <w:r>
        <w:rPr>
          <w:rFonts w:hint="eastAsia" w:ascii="仿宋_GB2312" w:eastAsia="仿宋_GB2312"/>
          <w:sz w:val="32"/>
          <w:szCs w:val="32"/>
        </w:rPr>
        <w:t>项目资金执行情况分析。</w:t>
      </w:r>
    </w:p>
    <w:p>
      <w:pPr>
        <w:widowControl/>
        <w:spacing w:line="560" w:lineRule="exact"/>
        <w:ind w:firstLine="640" w:firstLineChars="200"/>
        <w:rPr>
          <w:rFonts w:ascii="仿宋_GB2312" w:hAnsi="Times New Roman" w:eastAsia="仿宋_GB2312" w:cs="仿宋_GB2312"/>
          <w:color w:val="000000"/>
          <w:kern w:val="0"/>
          <w:sz w:val="32"/>
          <w:szCs w:val="32"/>
          <w:lang w:bidi="ar"/>
        </w:rPr>
      </w:pPr>
      <w:r>
        <w:rPr>
          <w:rFonts w:hint="eastAsia" w:ascii="仿宋_GB2312" w:hAnsi="仿宋_GB2312" w:eastAsia="仿宋_GB2312" w:cs="仿宋_GB2312"/>
          <w:color w:val="000000"/>
          <w:sz w:val="32"/>
          <w:szCs w:val="32"/>
        </w:rPr>
        <w:t>项目经费年初预算15万</w:t>
      </w:r>
      <w:r>
        <w:rPr>
          <w:rFonts w:hint="eastAsia" w:ascii="仿宋_GB2312" w:hAnsi="Times New Roman" w:eastAsia="仿宋_GB2312" w:cs="仿宋_GB2312"/>
          <w:color w:val="000000"/>
          <w:kern w:val="0"/>
          <w:sz w:val="32"/>
          <w:szCs w:val="32"/>
          <w:lang w:bidi="ar"/>
        </w:rPr>
        <w:t>，截止2022年12月底，实际支出</w:t>
      </w:r>
      <w:r>
        <w:rPr>
          <w:rFonts w:ascii="仿宋_GB2312" w:hAnsi="仿宋_GB2312" w:eastAsia="仿宋_GB2312" w:cs="仿宋_GB2312"/>
          <w:color w:val="000000"/>
          <w:sz w:val="32"/>
          <w:szCs w:val="32"/>
        </w:rPr>
        <w:t>14</w:t>
      </w:r>
      <w:r>
        <w:rPr>
          <w:rFonts w:hint="eastAsia" w:ascii="仿宋_GB2312" w:hAnsi="仿宋_GB2312" w:eastAsia="仿宋_GB2312" w:cs="仿宋_GB2312"/>
          <w:color w:val="000000"/>
          <w:sz w:val="32"/>
          <w:szCs w:val="32"/>
        </w:rPr>
        <w:t>.4万，</w:t>
      </w:r>
      <w:r>
        <w:rPr>
          <w:rFonts w:hint="eastAsia" w:ascii="仿宋_GB2312" w:hAnsi="Times New Roman" w:eastAsia="仿宋_GB2312" w:cs="仿宋_GB2312"/>
          <w:color w:val="000000"/>
          <w:kern w:val="0"/>
          <w:sz w:val="32"/>
          <w:szCs w:val="32"/>
          <w:lang w:bidi="ar"/>
        </w:rPr>
        <w:t>项目资金执行率96%。</w:t>
      </w:r>
    </w:p>
    <w:p>
      <w:pPr>
        <w:spacing w:line="560" w:lineRule="exact"/>
        <w:ind w:firstLine="640" w:firstLineChars="200"/>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3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③</w:t>
      </w:r>
      <w:r>
        <w:rPr>
          <w:rFonts w:ascii="仿宋_GB2312" w:eastAsia="仿宋_GB2312"/>
          <w:sz w:val="32"/>
          <w:szCs w:val="32"/>
        </w:rPr>
        <w:fldChar w:fldCharType="end"/>
      </w:r>
      <w:r>
        <w:rPr>
          <w:rFonts w:hint="eastAsia" w:ascii="仿宋_GB2312" w:eastAsia="仿宋_GB2312"/>
          <w:sz w:val="32"/>
          <w:szCs w:val="32"/>
        </w:rPr>
        <w:t>项目资金管理情况分析。</w:t>
      </w:r>
    </w:p>
    <w:p>
      <w:pPr>
        <w:spacing w:line="560" w:lineRule="exact"/>
        <w:ind w:firstLine="640" w:firstLineChars="200"/>
        <w:rPr>
          <w:rFonts w:ascii="仿宋_GB2312" w:eastAsia="仿宋_GB2312"/>
          <w:b/>
          <w:bCs/>
          <w:sz w:val="32"/>
          <w:szCs w:val="32"/>
        </w:rPr>
      </w:pPr>
      <w:r>
        <w:rPr>
          <w:rFonts w:hint="eastAsia" w:ascii="仿宋_GB2312" w:hAnsi="仿宋_GB2312" w:eastAsia="仿宋_GB2312" w:cs="仿宋_GB2312"/>
          <w:color w:val="000000"/>
          <w:sz w:val="32"/>
          <w:szCs w:val="32"/>
        </w:rPr>
        <w:t>项目执行主体为兰州新区卫健委，项目覆盖新区所辖三个园区。各园区卫健局、</w:t>
      </w:r>
      <w:r>
        <w:rPr>
          <w:rFonts w:hint="eastAsia" w:ascii="仿宋_GB2312" w:hAnsi="仿宋_GB2312" w:eastAsia="仿宋_GB2312" w:cs="仿宋_GB2312"/>
          <w:kern w:val="0"/>
          <w:sz w:val="32"/>
          <w:szCs w:val="32"/>
          <w:lang w:bidi="ar"/>
        </w:rPr>
        <w:t>新区疾控中心依职责承担相应的监测项目和职责。</w:t>
      </w:r>
    </w:p>
    <w:p>
      <w:pPr>
        <w:numPr>
          <w:ilvl w:val="0"/>
          <w:numId w:val="2"/>
        </w:numPr>
        <w:spacing w:line="560" w:lineRule="exact"/>
        <w:ind w:firstLine="640" w:firstLineChars="200"/>
        <w:rPr>
          <w:rFonts w:hint="eastAsia" w:ascii="仿宋_GB2312" w:hAnsi="仿宋_GB2312" w:eastAsia="仿宋_GB2312" w:cs="仿宋_GB2312"/>
          <w:b w:val="0"/>
          <w:bCs/>
          <w:sz w:val="32"/>
          <w:szCs w:val="32"/>
        </w:rPr>
      </w:pPr>
      <w:r>
        <w:rPr>
          <w:rFonts w:hint="eastAsia" w:ascii="楷体_GB2312" w:hAnsi="楷体_GB2312" w:eastAsia="楷体_GB2312" w:cs="楷体_GB2312"/>
          <w:sz w:val="32"/>
          <w:szCs w:val="32"/>
        </w:rPr>
        <w:t>总体绩效目标完成情况分析。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①科学设置监测点，按期完成监测。新区共设置42个监测点，监测点的设置涵盖新区及各园区，水样类型包括出厂水、末梢水和二次供水。全年共完成120批次饮用水月监测，4批次季度监测、32批次枯水期、32批次丰水期监测，监测点覆盖率100%；水质检测结果达标率100%，数据录入和上报及时率为100%。系统了解新区饮用水卫生基本状况，为加强饮用水安全管理工作提供依据和技术支持。</w:t>
      </w:r>
    </w:p>
    <w:p>
      <w:pPr>
        <w:pStyle w:val="2"/>
        <w:keepNext/>
        <w:keepLines/>
        <w:pageBreakBefore w:val="0"/>
        <w:widowControl w:val="0"/>
        <w:numPr>
          <w:ilvl w:val="5"/>
          <w:numId w:val="0"/>
        </w:numPr>
        <w:kinsoku/>
        <w:wordWrap/>
        <w:overflowPunct/>
        <w:topLinePunct w:val="0"/>
        <w:autoSpaceDE/>
        <w:autoSpaceDN/>
        <w:bidi w:val="0"/>
        <w:adjustRightInd/>
        <w:snapToGrid/>
        <w:spacing w:line="317" w:lineRule="auto"/>
        <w:ind w:leftChars="0"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②及时反馈结果，公开水质信息。每月于政府门户网公示水质监测结果，确保群众知情权。检出不合格水样时，及时向卫生监督部门及供水单位通报结果，进行原因分析，为供水单位提供技术指导，及时排除饮水安全隐患。 </w:t>
      </w:r>
    </w:p>
    <w:p>
      <w:pPr>
        <w:pStyle w:val="2"/>
        <w:keepNext/>
        <w:keepLines/>
        <w:pageBreakBefore w:val="0"/>
        <w:widowControl w:val="0"/>
        <w:numPr>
          <w:ilvl w:val="5"/>
          <w:numId w:val="0"/>
        </w:numPr>
        <w:kinsoku/>
        <w:wordWrap/>
        <w:overflowPunct/>
        <w:topLinePunct w:val="0"/>
        <w:autoSpaceDE/>
        <w:autoSpaceDN/>
        <w:bidi w:val="0"/>
        <w:adjustRightInd/>
        <w:snapToGrid/>
        <w:spacing w:line="317" w:lineRule="auto"/>
        <w:ind w:leftChars="0" w:firstLine="640" w:firstLineChars="200"/>
        <w:textAlignment w:val="auto"/>
      </w:pPr>
      <w:r>
        <w:rPr>
          <w:rFonts w:hint="eastAsia" w:ascii="仿宋_GB2312" w:hAnsi="仿宋_GB2312" w:eastAsia="仿宋_GB2312" w:cs="仿宋_GB2312"/>
          <w:b w:val="0"/>
          <w:bCs/>
          <w:sz w:val="32"/>
          <w:szCs w:val="32"/>
        </w:rPr>
        <w:t>③提高质量控制，加强风险预警管理。要求甘肃中商食品质量检验监测公司严格按照质量手册及程序文件开展饮用水采样检测，对检测中出现的不合格项目及时复检，对可疑检验结果安排重新采样检测，以保证检测数据的客观公正、科学准确。根据水质检测数据，结合环境、气候变化等多方因素，提出针对性的预防控制措施，降低生活饮用水卫生突发事件的风险</w:t>
      </w:r>
      <w:r>
        <w:rPr>
          <w:rFonts w:hint="eastAsia"/>
        </w:rPr>
        <w:t>。</w:t>
      </w:r>
    </w:p>
    <w:p>
      <w:pPr>
        <w:spacing w:line="560" w:lineRule="exact"/>
        <w:ind w:firstLine="643" w:firstLineChars="200"/>
        <w:rPr>
          <w:rFonts w:hint="eastAsia" w:ascii="仿宋_GB2312" w:hAnsi="黑体" w:eastAsia="仿宋_GB2312" w:cs="黑体"/>
          <w:b/>
          <w:bCs/>
          <w:sz w:val="32"/>
          <w:szCs w:val="32"/>
        </w:rPr>
      </w:pPr>
      <w:r>
        <w:rPr>
          <w:rFonts w:hint="eastAsia" w:ascii="仿宋_GB2312" w:hAnsi="黑体" w:eastAsia="仿宋_GB2312" w:cs="黑体"/>
          <w:b/>
          <w:bCs/>
          <w:sz w:val="32"/>
          <w:szCs w:val="32"/>
        </w:rPr>
        <w:t>3.绩效目标完成情况分析。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(1)产出指标完成情况分析。</w:t>
      </w:r>
    </w:p>
    <w:p>
      <w:pPr>
        <w:spacing w:line="560" w:lineRule="exact"/>
        <w:ind w:firstLine="640" w:firstLineChars="200"/>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1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①</w:t>
      </w:r>
      <w:r>
        <w:rPr>
          <w:rFonts w:ascii="仿宋_GB2312" w:eastAsia="仿宋_GB2312"/>
          <w:sz w:val="32"/>
          <w:szCs w:val="32"/>
        </w:rPr>
        <w:fldChar w:fldCharType="end"/>
      </w:r>
      <w:r>
        <w:rPr>
          <w:rFonts w:hint="eastAsia" w:ascii="仿宋_GB2312" w:eastAsia="仿宋_GB2312"/>
          <w:sz w:val="32"/>
          <w:szCs w:val="32"/>
        </w:rPr>
        <w:t>数量指标。</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枯水期、丰水期生活饮用水监测覆盖32个监测点，月度监测覆盖10个监测点。</w:t>
      </w:r>
    </w:p>
    <w:p>
      <w:pPr>
        <w:spacing w:line="560" w:lineRule="exact"/>
        <w:ind w:left="400" w:firstLine="320" w:firstLineChars="100"/>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2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②</w:t>
      </w:r>
      <w:r>
        <w:rPr>
          <w:rFonts w:ascii="仿宋_GB2312" w:eastAsia="仿宋_GB2312"/>
          <w:sz w:val="32"/>
          <w:szCs w:val="32"/>
        </w:rPr>
        <w:fldChar w:fldCharType="end"/>
      </w:r>
      <w:r>
        <w:rPr>
          <w:rFonts w:hint="eastAsia" w:ascii="仿宋_GB2312" w:eastAsia="仿宋_GB2312"/>
          <w:sz w:val="32"/>
          <w:szCs w:val="32"/>
        </w:rPr>
        <w:t>质量指标。</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2022年年度生活饮用水检测结果达标率100%。</w:t>
      </w:r>
    </w:p>
    <w:p>
      <w:pPr>
        <w:spacing w:line="560" w:lineRule="exact"/>
        <w:ind w:left="400" w:firstLine="320" w:firstLineChars="100"/>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3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③</w:t>
      </w:r>
      <w:r>
        <w:rPr>
          <w:rFonts w:ascii="仿宋_GB2312" w:eastAsia="仿宋_GB2312"/>
          <w:sz w:val="32"/>
          <w:szCs w:val="32"/>
        </w:rPr>
        <w:fldChar w:fldCharType="end"/>
      </w:r>
      <w:r>
        <w:rPr>
          <w:rFonts w:hint="eastAsia" w:ascii="仿宋_GB2312" w:eastAsia="仿宋_GB2312"/>
          <w:sz w:val="32"/>
          <w:szCs w:val="32"/>
        </w:rPr>
        <w:t>时效指标。</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及时向新区卫健委上报月度、季度和年度水质检测数据分析报告，向省疾控中心上报监测数据汇总结果，按照中央转移支付项目要求及时将枯水期、丰水期数据录入至中国疾病预防控制中心水质监测系统。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①成本指标。</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成本控制率≤100%。</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(2)效益指标完成情况分析。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②经济效益。</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此项目为社会公益项目，不产生直接经济效益。</w:t>
      </w:r>
    </w:p>
    <w:p>
      <w:pPr>
        <w:spacing w:line="560" w:lineRule="exact"/>
        <w:ind w:left="400" w:firstLine="320" w:firstLineChars="100"/>
        <w:rPr>
          <w:rFonts w:ascii="仿宋_GB2312" w:eastAsia="仿宋_GB2312"/>
          <w:sz w:val="32"/>
          <w:szCs w:val="32"/>
        </w:rPr>
      </w:pPr>
      <w:r>
        <w:rPr>
          <w:rFonts w:hint="eastAsia" w:ascii="仿宋_GB2312" w:eastAsia="仿宋_GB2312"/>
          <w:sz w:val="32"/>
          <w:szCs w:val="32"/>
        </w:rPr>
        <w:t>③社会效益。</w:t>
      </w:r>
    </w:p>
    <w:p>
      <w:pPr>
        <w:adjustRightInd w:val="0"/>
        <w:spacing w:line="560" w:lineRule="exact"/>
        <w:ind w:firstLine="640" w:firstLineChars="200"/>
        <w:rPr>
          <w:rFonts w:ascii="仿宋_GB2312" w:eastAsia="仿宋_GB2312"/>
          <w:sz w:val="32"/>
          <w:szCs w:val="32"/>
        </w:rPr>
      </w:pPr>
      <w:r>
        <w:rPr>
          <w:rFonts w:hint="eastAsia" w:ascii="仿宋_GB2312" w:hAnsi="仿宋_GB2312" w:eastAsia="仿宋_GB2312" w:cs="仿宋_GB2312"/>
          <w:kern w:val="0"/>
          <w:sz w:val="32"/>
          <w:szCs w:val="32"/>
          <w:lang w:bidi="ar"/>
        </w:rPr>
        <w:t>通过项目实施，建立覆盖新区城乡的饮用水监测网络，及时发现饮用水安全并进行预警和处置。</w:t>
      </w:r>
      <w:r>
        <w:rPr>
          <w:rFonts w:hint="eastAsia" w:ascii="仿宋_GB2312" w:eastAsia="仿宋_GB2312"/>
          <w:sz w:val="32"/>
          <w:szCs w:val="32"/>
        </w:rPr>
        <w:t>有效提升了水源保护意识，及时解决水源污染，保障新区人民饮用水安全。通过定期出具监测报告，通报监测结果，有利于促进饮用水源污染排查，推动社会保护饮用水水源意识的提升。</w:t>
      </w:r>
      <w:r>
        <w:rPr>
          <w:rFonts w:hint="eastAsia" w:ascii="仿宋_GB2312" w:hAnsi="仿宋_GB2312" w:eastAsia="仿宋_GB2312" w:cs="仿宋_GB2312"/>
          <w:kern w:val="0"/>
          <w:sz w:val="32"/>
          <w:szCs w:val="32"/>
          <w:lang w:bidi="ar"/>
        </w:rPr>
        <w:t>加强新区生活饮用水安全管理整体水平，保障人民群众饮水安全。</w:t>
      </w:r>
    </w:p>
    <w:p>
      <w:pPr>
        <w:spacing w:line="560" w:lineRule="exact"/>
        <w:ind w:left="400" w:firstLine="320" w:firstLineChars="100"/>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 = 4 \* GB3 \* MERGEFORMAT </w:instrText>
      </w:r>
      <w:r>
        <w:rPr>
          <w:rFonts w:ascii="仿宋_GB2312" w:eastAsia="仿宋_GB2312"/>
          <w:sz w:val="32"/>
          <w:szCs w:val="32"/>
        </w:rPr>
        <w:fldChar w:fldCharType="separate"/>
      </w:r>
      <w:r>
        <w:t>④</w:t>
      </w:r>
      <w:r>
        <w:rPr>
          <w:rFonts w:ascii="仿宋_GB2312" w:eastAsia="仿宋_GB2312"/>
          <w:sz w:val="32"/>
          <w:szCs w:val="32"/>
        </w:rPr>
        <w:fldChar w:fldCharType="end"/>
      </w:r>
      <w:r>
        <w:rPr>
          <w:rFonts w:hint="eastAsia" w:ascii="仿宋_GB2312" w:eastAsia="仿宋_GB2312"/>
          <w:sz w:val="32"/>
          <w:szCs w:val="32"/>
        </w:rPr>
        <w:t>可持续影响。</w:t>
      </w:r>
    </w:p>
    <w:p>
      <w:pPr>
        <w:spacing w:line="560" w:lineRule="exact"/>
        <w:ind w:firstLine="640" w:firstLineChars="200"/>
        <w:rPr>
          <w:rFonts w:ascii="仿宋_GB2312" w:hAnsi="Times New Roman" w:eastAsia="仿宋_GB2312" w:cs="Times New Roman"/>
          <w:sz w:val="32"/>
          <w:szCs w:val="32"/>
        </w:rPr>
      </w:pPr>
      <w:r>
        <w:rPr>
          <w:rFonts w:hint="eastAsia" w:ascii="仿宋_GB2312" w:hAnsi="仿宋_GB2312" w:eastAsia="仿宋_GB2312" w:cs="仿宋_GB2312"/>
          <w:kern w:val="0"/>
          <w:sz w:val="32"/>
          <w:szCs w:val="32"/>
          <w:lang w:bidi="ar"/>
        </w:rPr>
        <w:t>通过项目实施，能够持续</w:t>
      </w:r>
      <w:r>
        <w:rPr>
          <w:rFonts w:hint="eastAsia" w:ascii="仿宋_GB2312" w:hAnsi="Times New Roman" w:eastAsia="仿宋_GB2312" w:cs="Times New Roman"/>
          <w:sz w:val="32"/>
          <w:szCs w:val="32"/>
        </w:rPr>
        <w:t>加强饮用水水源地监管，加强制水供水（二次供水、农村安全饮水工程供水）全过程监管，加强用户水龙头全过程监管。</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(3)满意度指标完成情况分析。</w:t>
      </w:r>
    </w:p>
    <w:p>
      <w:pPr>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受益群众满意度≥95%。</w:t>
      </w:r>
    </w:p>
    <w:p>
      <w:pPr>
        <w:spacing w:line="560" w:lineRule="exact"/>
        <w:ind w:firstLine="643" w:firstLineChars="200"/>
        <w:rPr>
          <w:rFonts w:hint="eastAsia" w:ascii="仿宋_GB2312" w:hAnsi="黑体" w:eastAsia="仿宋_GB2312" w:cs="黑体"/>
          <w:b/>
          <w:bCs/>
          <w:sz w:val="32"/>
          <w:szCs w:val="32"/>
        </w:rPr>
      </w:pPr>
      <w:r>
        <w:rPr>
          <w:rFonts w:hint="eastAsia" w:ascii="仿宋_GB2312" w:hAnsi="黑体" w:eastAsia="仿宋_GB2312" w:cs="黑体"/>
          <w:b/>
          <w:bCs/>
          <w:sz w:val="32"/>
          <w:szCs w:val="32"/>
        </w:rPr>
        <w:t>4.偏离绩效目标的原因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项目执行中暂未出现偏差，监测任务按照月度、季度和年度监测计划有序推进。</w:t>
      </w:r>
    </w:p>
    <w:p>
      <w:pPr>
        <w:pStyle w:val="6"/>
        <w:widowControl/>
        <w:spacing w:line="560" w:lineRule="exact"/>
        <w:ind w:firstLine="640" w:firstLineChars="200"/>
        <w:jc w:val="both"/>
        <w:rPr>
          <w:rFonts w:ascii="楷体_GB2312" w:hAnsi="楷体" w:eastAsia="楷体_GB2312" w:cs="楷体"/>
          <w:sz w:val="32"/>
          <w:szCs w:val="32"/>
        </w:rPr>
      </w:pPr>
      <w:r>
        <w:rPr>
          <w:rFonts w:hint="eastAsia" w:ascii="楷体_GB2312" w:hAnsi="楷体" w:eastAsia="楷体_GB2312" w:cs="楷体"/>
          <w:sz w:val="32"/>
          <w:szCs w:val="32"/>
        </w:rPr>
        <w:t>（二）公共卫生项目</w:t>
      </w:r>
    </w:p>
    <w:p>
      <w:pPr>
        <w:pStyle w:val="6"/>
        <w:widowControl/>
        <w:spacing w:line="560" w:lineRule="exact"/>
        <w:ind w:firstLine="643" w:firstLineChars="200"/>
        <w:jc w:val="both"/>
        <w:rPr>
          <w:rFonts w:ascii="仿宋_GB2312" w:hAnsi="黑体" w:eastAsia="仿宋_GB2312" w:cs="黑体"/>
          <w:b/>
          <w:bCs/>
          <w:kern w:val="2"/>
          <w:sz w:val="32"/>
          <w:szCs w:val="32"/>
        </w:rPr>
      </w:pPr>
      <w:r>
        <w:rPr>
          <w:rFonts w:hint="eastAsia" w:ascii="仿宋_GB2312" w:hAnsi="黑体" w:eastAsia="仿宋_GB2312" w:cs="黑体"/>
          <w:b/>
          <w:bCs/>
          <w:kern w:val="2"/>
          <w:sz w:val="32"/>
          <w:szCs w:val="32"/>
        </w:rPr>
        <w:t>1.绩效目标分解下达情况</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（1）下达公共卫生监测项目转移支付预算和绩效目标情况。</w:t>
      </w:r>
    </w:p>
    <w:p>
      <w:pPr>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根据甘财社、省卫健委《关于提前下达2022年基本公共卫生服务中央及省级补助资金预算的通知》（甘财社［2021］129号）和省卫健委《关于印发2022年基本公共卫生服务疾控类项目实施方案的通知》（甘卫疾控函［2022］46号）《兰州突发公共卫生卫生事件应急预案》《关于加强新型冠状病毒感染的肺炎联防联控工作的紧急通知》（新政办发〔2020〕2号）《兰州新区卫生健康委员会关于印发兰州新区新冠病毒核酸检测工作实施方案的通知》（新卫发〔2020〕71号）《兰州新区新冠肺炎疫情联防联控领导小组关于进一步做好疫情防控工作的通知》《关于进一步加强严重精神障碍患者服务管理工作的实施方案》（新政办发〔2018〕134号）《兰州新区卫生健康委员会关于开展严重精神障碍患者筛查工作的通知》《关于印发兰州新区居民高血压和糖尿病筛查巡诊工作方案的通知》和新区卫生健康委员会和省疾控中心下达的各项工作任务，</w:t>
      </w:r>
      <w:r>
        <w:rPr>
          <w:rFonts w:hint="eastAsia" w:ascii="仿宋_GB2312" w:eastAsia="仿宋_GB2312"/>
          <w:sz w:val="32"/>
          <w:szCs w:val="32"/>
        </w:rPr>
        <w:t>稳步推进</w:t>
      </w:r>
      <w:r>
        <w:rPr>
          <w:rFonts w:hint="eastAsia" w:ascii="仿宋_GB2312" w:hAnsi="仿宋_GB2312" w:eastAsia="仿宋_GB2312" w:cs="仿宋_GB2312"/>
          <w:kern w:val="0"/>
          <w:sz w:val="32"/>
          <w:szCs w:val="32"/>
          <w:lang w:bidi="ar"/>
        </w:rPr>
        <w:t>各项疾病预防控制工作，及时处置传染病等突发公共卫生事件，提升慢性病综合管理、学校卫生、职业卫生、食品卫生、环境卫生监测的能力水平。</w:t>
      </w:r>
    </w:p>
    <w:p>
      <w:pPr>
        <w:numPr>
          <w:ilvl w:val="0"/>
          <w:numId w:val="3"/>
        </w:numPr>
        <w:spacing w:line="560" w:lineRule="exact"/>
        <w:ind w:firstLine="640" w:firstLineChars="200"/>
        <w:rPr>
          <w:rFonts w:hint="eastAsia" w:ascii="仿宋_GB2312" w:hAnsi="仿宋_GB2312" w:eastAsia="仿宋_GB2312" w:cs="仿宋_GB2312"/>
          <w:b w:val="0"/>
          <w:bCs/>
          <w:sz w:val="32"/>
          <w:szCs w:val="32"/>
        </w:rPr>
      </w:pPr>
      <w:r>
        <w:rPr>
          <w:rFonts w:hint="eastAsia" w:ascii="楷体_GB2312" w:hAnsi="楷体_GB2312" w:eastAsia="楷体_GB2312" w:cs="楷体_GB2312"/>
          <w:sz w:val="32"/>
          <w:szCs w:val="32"/>
        </w:rPr>
        <w:t>资金安排、分解下达预算和绩效目标情况。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8" w:leftChars="304" w:firstLine="0" w:firstLineChars="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项目经费年初预算20万，预算资金到位率100%，具体如下：①慢性病规范化的管理，包括高血压、糖尿病的监测分析、高危对象筛查、随访管理、咨询干预、技术指导、健康教育等；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②严重精神障碍患者的管理，包括患者筛查、贫困患者门诊服药补助、高风险患者管理指导、病人家属护理教育补助等。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③学生常见病干预，主要包括专家进校园、学校卫生标准普及、中小学生健康月活动、学生作品有奖征集活动以及宣传品开发与制作、人员培训、工作督导、质量控制等。</w:t>
      </w:r>
    </w:p>
    <w:p>
      <w:pPr>
        <w:pStyle w:val="2"/>
        <w:numPr>
          <w:ilvl w:val="5"/>
          <w:numId w:val="0"/>
        </w:numPr>
        <w:ind w:leftChars="0" w:firstLine="640" w:firstLineChars="200"/>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④基本公共卫生服务，包括死因监测、食品卫生、地方病、职业卫生、环境卫生、学生营养健康评估、儿童口腔窝沟封闭等项目人员培训、工作督导、现场调查、网络报告、质量控制、采样检测与委托检测、宣传品开发与制作、聘请外部师资、交通费（油料、维修、保险、车辆租赁等）、资料费、信息费、省级专项配套等，根据各项目实施进展及上级要求据实列支、内部调剂。</w:t>
      </w:r>
    </w:p>
    <w:p>
      <w:pPr>
        <w:spacing w:line="560" w:lineRule="exact"/>
        <w:ind w:left="400" w:firstLine="320" w:firstLineChars="100"/>
        <w:rPr>
          <w:rFonts w:ascii="仿宋_GB2312" w:hAnsi="仿宋_GB2312" w:eastAsia="仿宋_GB2312" w:cs="仿宋_GB2312"/>
          <w:kern w:val="0"/>
          <w:sz w:val="32"/>
          <w:szCs w:val="32"/>
          <w:lang w:bidi="ar"/>
        </w:rPr>
      </w:pPr>
      <w:r>
        <w:rPr>
          <w:rFonts w:ascii="仿宋_GB2312" w:hAnsi="仿宋_GB2312" w:eastAsia="仿宋_GB2312" w:cs="仿宋_GB2312"/>
          <w:kern w:val="0"/>
          <w:sz w:val="32"/>
          <w:szCs w:val="32"/>
          <w:lang w:bidi="ar"/>
        </w:rPr>
        <w:fldChar w:fldCharType="begin"/>
      </w:r>
      <w:r>
        <w:rPr>
          <w:rFonts w:ascii="仿宋_GB2312" w:hAnsi="仿宋_GB2312" w:eastAsia="仿宋_GB2312" w:cs="仿宋_GB2312"/>
          <w:kern w:val="0"/>
          <w:sz w:val="32"/>
          <w:szCs w:val="32"/>
          <w:lang w:bidi="ar"/>
        </w:rPr>
        <w:instrText xml:space="preserve"> </w:instrText>
      </w:r>
      <w:r>
        <w:rPr>
          <w:rFonts w:hint="eastAsia" w:ascii="仿宋_GB2312" w:hAnsi="仿宋_GB2312" w:eastAsia="仿宋_GB2312" w:cs="仿宋_GB2312"/>
          <w:kern w:val="0"/>
          <w:sz w:val="32"/>
          <w:szCs w:val="32"/>
          <w:lang w:bidi="ar"/>
        </w:rPr>
        <w:instrText xml:space="preserve">= 5 \* GB3</w:instrText>
      </w:r>
      <w:r>
        <w:rPr>
          <w:rFonts w:ascii="仿宋_GB2312" w:hAnsi="仿宋_GB2312" w:eastAsia="仿宋_GB2312" w:cs="仿宋_GB2312"/>
          <w:kern w:val="0"/>
          <w:sz w:val="32"/>
          <w:szCs w:val="32"/>
          <w:lang w:bidi="ar"/>
        </w:rPr>
        <w:instrText xml:space="preserve"> </w:instrText>
      </w:r>
      <w:r>
        <w:rPr>
          <w:rFonts w:ascii="仿宋_GB2312" w:hAnsi="仿宋_GB2312" w:eastAsia="仿宋_GB2312" w:cs="仿宋_GB2312"/>
          <w:kern w:val="0"/>
          <w:sz w:val="32"/>
          <w:szCs w:val="32"/>
          <w:lang w:bidi="ar"/>
        </w:rPr>
        <w:fldChar w:fldCharType="separate"/>
      </w:r>
      <w:r>
        <w:rPr>
          <w:rFonts w:hint="eastAsia" w:ascii="仿宋_GB2312" w:hAnsi="仿宋_GB2312" w:eastAsia="仿宋_GB2312" w:cs="仿宋_GB2312"/>
          <w:kern w:val="0"/>
          <w:sz w:val="32"/>
          <w:szCs w:val="32"/>
          <w:lang w:bidi="ar"/>
        </w:rPr>
        <w:t>⑤</w:t>
      </w:r>
      <w:r>
        <w:rPr>
          <w:rFonts w:ascii="仿宋_GB2312" w:hAnsi="仿宋_GB2312" w:eastAsia="仿宋_GB2312" w:cs="仿宋_GB2312"/>
          <w:kern w:val="0"/>
          <w:sz w:val="32"/>
          <w:szCs w:val="32"/>
          <w:lang w:bidi="ar"/>
        </w:rPr>
        <w:fldChar w:fldCharType="end"/>
      </w:r>
      <w:r>
        <w:rPr>
          <w:rFonts w:hint="eastAsia" w:ascii="仿宋_GB2312" w:hAnsi="仿宋_GB2312" w:eastAsia="仿宋_GB2312" w:cs="仿宋_GB2312"/>
          <w:kern w:val="0"/>
          <w:sz w:val="32"/>
          <w:szCs w:val="32"/>
          <w:lang w:bidi="ar"/>
        </w:rPr>
        <w:t>信息化建设，主要包括专用电脑和打印机、专用设备、传输设备、智能化工具、软件使用费、网络费等。</w:t>
      </w:r>
    </w:p>
    <w:p>
      <w:pPr>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其中慢性病规范化管理经费5万元，严重精神障碍患者管理经费2万元，学生常见病干预经费5万元，基本公共卫生服务经费7万元，信息化建设经费1万元。</w:t>
      </w:r>
    </w:p>
    <w:p>
      <w:pPr>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项目执行主体为兰州新区卫健委，项目覆盖新区所辖三个园区。各园区卫健局、新区疾控中心依职责承担相应的监测项目和职责。</w:t>
      </w:r>
    </w:p>
    <w:p>
      <w:pPr>
        <w:spacing w:line="560" w:lineRule="exact"/>
        <w:ind w:firstLine="640" w:firstLineChars="200"/>
      </w:pPr>
      <w:r>
        <w:rPr>
          <w:rFonts w:hint="eastAsia" w:ascii="仿宋_GB2312" w:hAnsi="仿宋_GB2312" w:eastAsia="仿宋_GB2312" w:cs="仿宋_GB2312"/>
          <w:kern w:val="0"/>
          <w:sz w:val="32"/>
          <w:szCs w:val="32"/>
          <w:lang w:bidi="ar"/>
        </w:rPr>
        <w:t>按照上级卫生行政部门和上级疾病预防控制机构下达的各项工作任务，严格执行国家法律法规、国家标准、行业规范、技术要求，受本级行政主管部门和上级业务指导部门双重管理，通过内部和外部的质量控制措施，开展疾病预防与控制、突发公共卫生事件应急处置、疫情报告及健康相关因素信息管理、健康危害因素监测与干预、分析与评价、健康教育与健康促进等工作，能够保障项目实施的效率、效益、效能。</w:t>
      </w:r>
    </w:p>
    <w:p>
      <w:pPr>
        <w:pStyle w:val="6"/>
        <w:widowControl/>
        <w:spacing w:line="560" w:lineRule="exact"/>
        <w:ind w:firstLine="643" w:firstLineChars="200"/>
        <w:jc w:val="both"/>
        <w:rPr>
          <w:rFonts w:ascii="仿宋_GB2312" w:hAnsi="黑体" w:eastAsia="仿宋_GB2312" w:cs="黑体"/>
          <w:b/>
          <w:bCs/>
          <w:kern w:val="2"/>
          <w:sz w:val="32"/>
          <w:szCs w:val="32"/>
        </w:rPr>
      </w:pPr>
      <w:r>
        <w:rPr>
          <w:rFonts w:hint="eastAsia" w:ascii="仿宋_GB2312" w:hAnsi="黑体" w:eastAsia="仿宋_GB2312" w:cs="黑体"/>
          <w:b/>
          <w:bCs/>
          <w:kern w:val="2"/>
          <w:sz w:val="32"/>
          <w:szCs w:val="32"/>
        </w:rPr>
        <w:t>2.绩效目标完成情况分析</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(1)资金投入情况分析。</w:t>
      </w:r>
    </w:p>
    <w:p>
      <w:pPr>
        <w:spacing w:line="560" w:lineRule="exact"/>
        <w:ind w:firstLine="640" w:firstLineChars="200"/>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1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①</w:t>
      </w:r>
      <w:r>
        <w:rPr>
          <w:rFonts w:ascii="仿宋_GB2312" w:eastAsia="仿宋_GB2312"/>
          <w:sz w:val="32"/>
          <w:szCs w:val="32"/>
        </w:rPr>
        <w:fldChar w:fldCharType="end"/>
      </w:r>
      <w:r>
        <w:rPr>
          <w:rFonts w:hint="eastAsia" w:ascii="仿宋_GB2312" w:eastAsia="仿宋_GB2312"/>
          <w:sz w:val="32"/>
          <w:szCs w:val="32"/>
        </w:rPr>
        <w:t>项目资金到位情况分析。</w:t>
      </w:r>
    </w:p>
    <w:p>
      <w:pPr>
        <w:widowControl/>
        <w:spacing w:line="560" w:lineRule="exact"/>
        <w:ind w:firstLine="640" w:firstLineChars="200"/>
      </w:pPr>
      <w:r>
        <w:rPr>
          <w:rFonts w:hint="eastAsia" w:ascii="仿宋_GB2312" w:hAnsi="仿宋_GB2312" w:eastAsia="仿宋_GB2312" w:cs="仿宋_GB2312"/>
          <w:color w:val="000000"/>
          <w:sz w:val="32"/>
          <w:szCs w:val="32"/>
        </w:rPr>
        <w:t>项目经费年初预算20万，</w:t>
      </w:r>
      <w:r>
        <w:rPr>
          <w:rFonts w:hint="eastAsia" w:ascii="仿宋_GB2312" w:hAnsi="Times New Roman" w:eastAsia="仿宋_GB2312" w:cs="仿宋_GB2312"/>
          <w:color w:val="000000"/>
          <w:kern w:val="0"/>
          <w:sz w:val="32"/>
          <w:szCs w:val="32"/>
          <w:lang w:bidi="ar"/>
        </w:rPr>
        <w:t>资金到位率100%。</w:t>
      </w:r>
    </w:p>
    <w:p>
      <w:pPr>
        <w:spacing w:line="560" w:lineRule="exact"/>
        <w:ind w:firstLine="640" w:firstLineChars="200"/>
        <w:rPr>
          <w:rFonts w:ascii="仿宋_GB2312" w:eastAsia="仿宋_GB2312"/>
          <w:sz w:val="32"/>
          <w:szCs w:val="32"/>
        </w:rPr>
      </w:pPr>
      <w:r>
        <w:rPr>
          <w:rFonts w:ascii="仿宋_GB2312" w:eastAsia="仿宋_GB2312"/>
          <w:sz w:val="32"/>
          <w:szCs w:val="32"/>
          <w:highlight w:val="none"/>
        </w:rPr>
        <w:fldChar w:fldCharType="begin"/>
      </w:r>
      <w:r>
        <w:rPr>
          <w:rFonts w:ascii="仿宋_GB2312" w:eastAsia="仿宋_GB2312"/>
          <w:sz w:val="32"/>
          <w:szCs w:val="32"/>
          <w:highlight w:val="none"/>
        </w:rPr>
        <w:instrText xml:space="preserve"> </w:instrText>
      </w:r>
      <w:r>
        <w:rPr>
          <w:rFonts w:hint="eastAsia" w:ascii="仿宋_GB2312" w:eastAsia="仿宋_GB2312"/>
          <w:sz w:val="32"/>
          <w:szCs w:val="32"/>
          <w:highlight w:val="none"/>
        </w:rPr>
        <w:instrText xml:space="preserve">= 2 \* GB3</w:instrText>
      </w:r>
      <w:r>
        <w:rPr>
          <w:rFonts w:ascii="仿宋_GB2312" w:eastAsia="仿宋_GB2312"/>
          <w:sz w:val="32"/>
          <w:szCs w:val="32"/>
          <w:highlight w:val="none"/>
        </w:rPr>
        <w:instrText xml:space="preserve"> </w:instrText>
      </w:r>
      <w:r>
        <w:rPr>
          <w:rFonts w:ascii="仿宋_GB2312" w:eastAsia="仿宋_GB2312"/>
          <w:sz w:val="32"/>
          <w:szCs w:val="32"/>
          <w:highlight w:val="none"/>
        </w:rPr>
        <w:fldChar w:fldCharType="separate"/>
      </w:r>
      <w:r>
        <w:rPr>
          <w:rFonts w:hint="eastAsia" w:ascii="仿宋_GB2312" w:eastAsia="仿宋_GB2312"/>
          <w:sz w:val="32"/>
          <w:szCs w:val="32"/>
          <w:highlight w:val="none"/>
        </w:rPr>
        <w:t>②</w:t>
      </w:r>
      <w:r>
        <w:rPr>
          <w:rFonts w:ascii="仿宋_GB2312" w:eastAsia="仿宋_GB2312"/>
          <w:sz w:val="32"/>
          <w:szCs w:val="32"/>
          <w:highlight w:val="none"/>
        </w:rPr>
        <w:fldChar w:fldCharType="end"/>
      </w:r>
      <w:r>
        <w:rPr>
          <w:rFonts w:hint="eastAsia" w:ascii="仿宋_GB2312" w:eastAsia="仿宋_GB2312"/>
          <w:sz w:val="32"/>
          <w:szCs w:val="32"/>
        </w:rPr>
        <w:t>项目资金执行情况分析。</w:t>
      </w:r>
    </w:p>
    <w:p>
      <w:pPr>
        <w:spacing w:line="560" w:lineRule="exact"/>
        <w:ind w:firstLine="640" w:firstLineChars="200"/>
        <w:rPr>
          <w:rFonts w:eastAsia="仿宋_GB2312"/>
        </w:rPr>
      </w:pPr>
      <w:r>
        <w:rPr>
          <w:rFonts w:hint="eastAsia" w:ascii="仿宋_GB2312" w:eastAsia="仿宋_GB2312"/>
          <w:sz w:val="32"/>
          <w:szCs w:val="32"/>
        </w:rPr>
        <w:t>项目经费年初预算20万，全年执</w:t>
      </w:r>
      <w:r>
        <w:rPr>
          <w:rFonts w:hint="eastAsia" w:ascii="仿宋_GB2312" w:hAnsi="仿宋" w:eastAsia="仿宋_GB2312" w:cs="仿宋_GB2312"/>
          <w:kern w:val="0"/>
          <w:sz w:val="32"/>
          <w:szCs w:val="30"/>
        </w:rPr>
        <w:t>行9.28万元，执行率46.4%。</w:t>
      </w:r>
    </w:p>
    <w:p>
      <w:pPr>
        <w:spacing w:line="560" w:lineRule="exact"/>
        <w:ind w:firstLine="640" w:firstLineChars="200"/>
        <w:rPr>
          <w:rFonts w:ascii="仿宋_GB2312" w:eastAsia="仿宋_GB2312"/>
          <w:sz w:val="32"/>
          <w:szCs w:val="32"/>
        </w:rPr>
      </w:pPr>
      <w:r>
        <w:rPr>
          <w:rFonts w:ascii="仿宋_GB2312" w:eastAsia="仿宋_GB2312"/>
          <w:sz w:val="32"/>
          <w:szCs w:val="32"/>
          <w:highlight w:val="none"/>
        </w:rPr>
        <w:fldChar w:fldCharType="begin"/>
      </w:r>
      <w:r>
        <w:rPr>
          <w:rFonts w:ascii="仿宋_GB2312" w:eastAsia="仿宋_GB2312"/>
          <w:sz w:val="32"/>
          <w:szCs w:val="32"/>
          <w:highlight w:val="none"/>
        </w:rPr>
        <w:instrText xml:space="preserve"> </w:instrText>
      </w:r>
      <w:r>
        <w:rPr>
          <w:rFonts w:hint="eastAsia" w:ascii="仿宋_GB2312" w:eastAsia="仿宋_GB2312"/>
          <w:sz w:val="32"/>
          <w:szCs w:val="32"/>
          <w:highlight w:val="none"/>
        </w:rPr>
        <w:instrText xml:space="preserve">= 3 \* GB3</w:instrText>
      </w:r>
      <w:r>
        <w:rPr>
          <w:rFonts w:ascii="仿宋_GB2312" w:eastAsia="仿宋_GB2312"/>
          <w:sz w:val="32"/>
          <w:szCs w:val="32"/>
          <w:highlight w:val="none"/>
        </w:rPr>
        <w:instrText xml:space="preserve"> </w:instrText>
      </w:r>
      <w:r>
        <w:rPr>
          <w:rFonts w:ascii="仿宋_GB2312" w:eastAsia="仿宋_GB2312"/>
          <w:sz w:val="32"/>
          <w:szCs w:val="32"/>
          <w:highlight w:val="none"/>
        </w:rPr>
        <w:fldChar w:fldCharType="separate"/>
      </w:r>
      <w:r>
        <w:rPr>
          <w:rFonts w:hint="eastAsia" w:ascii="仿宋_GB2312" w:eastAsia="仿宋_GB2312"/>
          <w:sz w:val="32"/>
          <w:szCs w:val="32"/>
          <w:highlight w:val="none"/>
        </w:rPr>
        <w:t>③</w:t>
      </w:r>
      <w:r>
        <w:rPr>
          <w:rFonts w:ascii="仿宋_GB2312" w:eastAsia="仿宋_GB2312"/>
          <w:sz w:val="32"/>
          <w:szCs w:val="32"/>
          <w:highlight w:val="none"/>
        </w:rPr>
        <w:fldChar w:fldCharType="end"/>
      </w:r>
      <w:r>
        <w:rPr>
          <w:rFonts w:hint="eastAsia" w:ascii="仿宋_GB2312" w:eastAsia="仿宋_GB2312"/>
          <w:sz w:val="32"/>
          <w:szCs w:val="32"/>
        </w:rPr>
        <w:t>项目资金管理情况分析。</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1)总体绩效目标完成情况分析。</w:t>
      </w:r>
    </w:p>
    <w:p>
      <w:pPr>
        <w:spacing w:line="560" w:lineRule="exact"/>
        <w:ind w:firstLine="640" w:firstLineChars="200"/>
      </w:pPr>
      <w:r>
        <w:rPr>
          <w:rFonts w:hint="eastAsia" w:ascii="仿宋_GB2312" w:hAnsi="仿宋_GB2312" w:eastAsia="仿宋_GB2312" w:cs="仿宋_GB2312"/>
          <w:kern w:val="0"/>
          <w:sz w:val="32"/>
          <w:szCs w:val="32"/>
          <w:lang w:bidi="ar"/>
        </w:rPr>
        <w:t>按照上级卫生行政部门和上级疾病预防控制机构下达的各项工作任务，严格执行国家法律法规、国家标准、行业规范、技术要求，受本级行政主管部门和上级业务指导部门双重管理，通过内部和外部的质量控制措施，开展疾病预防与控制、突发公共卫生事件应急处置、疫情报告及健康相关因素信息管理、健康危害因素监测与干预、分析与评价、健康教育与健康促进等工作，能够保障项目实施的效率、效益、效能。</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2）绩效目标完成情况分析。</w:t>
      </w:r>
    </w:p>
    <w:p>
      <w:pPr>
        <w:pStyle w:val="6"/>
        <w:widowControl/>
        <w:spacing w:line="560" w:lineRule="exact"/>
        <w:ind w:firstLine="643" w:firstLineChars="200"/>
        <w:jc w:val="both"/>
        <w:rPr>
          <w:rFonts w:ascii="仿宋_GB2312" w:hAnsi="黑体" w:eastAsia="仿宋_GB2312" w:cs="黑体"/>
          <w:b/>
          <w:bCs/>
          <w:kern w:val="2"/>
          <w:sz w:val="32"/>
          <w:szCs w:val="32"/>
        </w:rPr>
      </w:pPr>
      <w:r>
        <w:rPr>
          <w:rFonts w:hint="eastAsia" w:ascii="仿宋_GB2312" w:hAnsi="黑体" w:eastAsia="仿宋_GB2312" w:cs="黑体"/>
          <w:b/>
          <w:bCs/>
          <w:kern w:val="2"/>
          <w:sz w:val="32"/>
          <w:szCs w:val="32"/>
        </w:rPr>
        <w:t>1.产出指标完成情况分析。</w:t>
      </w:r>
    </w:p>
    <w:p>
      <w:pPr>
        <w:spacing w:line="560" w:lineRule="exact"/>
        <w:ind w:firstLine="640" w:firstLineChars="200"/>
        <w:rPr>
          <w:rFonts w:ascii="仿宋_GB2312" w:hAnsi="仿宋" w:eastAsia="仿宋_GB2312" w:cs="仿宋_GB2312"/>
          <w:kern w:val="0"/>
          <w:sz w:val="32"/>
          <w:szCs w:val="30"/>
        </w:rPr>
      </w:pPr>
      <w:r>
        <w:rPr>
          <w:rFonts w:hint="eastAsia" w:ascii="仿宋_GB2312" w:eastAsia="仿宋_GB2312"/>
          <w:sz w:val="32"/>
          <w:szCs w:val="32"/>
        </w:rPr>
        <w:t>已完成1月-12月</w:t>
      </w:r>
      <w:r>
        <w:rPr>
          <w:rFonts w:hint="eastAsia" w:ascii="仿宋_GB2312" w:hAnsi="仿宋" w:eastAsia="仿宋_GB2312" w:cs="仿宋_GB2312"/>
          <w:kern w:val="0"/>
          <w:sz w:val="32"/>
          <w:szCs w:val="30"/>
        </w:rPr>
        <w:t>慢四病月动态信息，3次重点人群管理年度督导及培训任务，食品化学污染物采样点覆盖园区范围100%，窝沟封闭任务完成率100%，食品化学污染物采样任务完成率100%，窝沟封闭覆盖学校小学生口腔卫生知识知晓率87.6%，及时完成慢四病重点人群督导及培训、食源性疾病监测、死因监测职业病防治、农村环境卫生监测项目、学生常见病和影响因素监测项目等工作。</w:t>
      </w:r>
    </w:p>
    <w:p>
      <w:pPr>
        <w:pStyle w:val="6"/>
        <w:widowControl/>
        <w:spacing w:line="560" w:lineRule="exact"/>
        <w:ind w:firstLine="643" w:firstLineChars="200"/>
        <w:jc w:val="both"/>
        <w:rPr>
          <w:rFonts w:ascii="仿宋_GB2312" w:hAnsi="黑体" w:eastAsia="仿宋_GB2312" w:cs="黑体"/>
          <w:b/>
          <w:bCs/>
          <w:kern w:val="2"/>
          <w:sz w:val="32"/>
          <w:szCs w:val="32"/>
        </w:rPr>
      </w:pPr>
      <w:r>
        <w:rPr>
          <w:rFonts w:hint="eastAsia" w:ascii="仿宋_GB2312" w:hAnsi="黑体" w:eastAsia="仿宋_GB2312" w:cs="黑体"/>
          <w:b/>
          <w:bCs/>
          <w:kern w:val="2"/>
          <w:sz w:val="32"/>
          <w:szCs w:val="32"/>
        </w:rPr>
        <w:t>2.效益指标完成情况分析。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（1）经济效益。</w:t>
      </w:r>
    </w:p>
    <w:p>
      <w:pPr>
        <w:spacing w:line="560" w:lineRule="exact"/>
        <w:ind w:firstLine="640" w:firstLineChars="200"/>
      </w:pPr>
      <w:r>
        <w:rPr>
          <w:rFonts w:hint="eastAsia" w:ascii="仿宋_GB2312" w:eastAsia="仿宋_GB2312"/>
          <w:sz w:val="32"/>
          <w:szCs w:val="32"/>
        </w:rPr>
        <w:t>此项目为社会公益项目，不产生直接经济效益。</w:t>
      </w:r>
    </w:p>
    <w:p>
      <w:pPr>
        <w:numPr>
          <w:ilvl w:val="0"/>
          <w:numId w:val="4"/>
        </w:numPr>
        <w:spacing w:line="560" w:lineRule="exact"/>
        <w:ind w:firstLine="640" w:firstLineChars="200"/>
        <w:rPr>
          <w:rFonts w:ascii="仿宋_GB2312" w:eastAsia="仿宋_GB2312"/>
          <w:sz w:val="32"/>
          <w:szCs w:val="32"/>
        </w:rPr>
      </w:pPr>
      <w:r>
        <w:rPr>
          <w:rFonts w:hint="eastAsia" w:ascii="仿宋_GB2312" w:eastAsia="仿宋_GB2312"/>
          <w:sz w:val="32"/>
          <w:szCs w:val="32"/>
        </w:rPr>
        <w:t>社会效益。</w:t>
      </w:r>
    </w:p>
    <w:p>
      <w:pPr>
        <w:spacing w:line="560" w:lineRule="exact"/>
        <w:ind w:firstLine="640" w:firstLineChars="200"/>
        <w:rPr>
          <w:rFonts w:ascii="仿宋_GB2312" w:hAnsi="仿宋" w:eastAsia="仿宋_GB2312" w:cs="仿宋_GB2312"/>
          <w:kern w:val="0"/>
          <w:sz w:val="32"/>
          <w:szCs w:val="30"/>
        </w:rPr>
      </w:pPr>
      <w:r>
        <w:rPr>
          <w:rFonts w:hint="eastAsia" w:ascii="仿宋_GB2312" w:hAnsi="仿宋" w:eastAsia="仿宋_GB2312" w:cs="仿宋_GB2312"/>
          <w:kern w:val="0"/>
          <w:sz w:val="32"/>
          <w:szCs w:val="30"/>
        </w:rPr>
        <w:t>减少严重精神障碍患者肇事肇祸的发生，提高辖区居民对慢性病的认识，预防学生近视、龋齿、营养不良等疾病的发生，掌握和分析各地食品安全状况的能力，提升儿童口腔健康意识，掌握和分析新区农村环境卫生状况，降低新区学生近视、龋齿、肥胖、营养不良、血压偏高等常见病发病率。</w:t>
      </w:r>
    </w:p>
    <w:p>
      <w:pPr>
        <w:numPr>
          <w:ilvl w:val="0"/>
          <w:numId w:val="4"/>
        </w:numPr>
        <w:spacing w:line="560" w:lineRule="exact"/>
        <w:ind w:firstLine="640" w:firstLineChars="200"/>
        <w:rPr>
          <w:rFonts w:ascii="仿宋_GB2312" w:eastAsia="仿宋_GB2312"/>
          <w:sz w:val="32"/>
          <w:szCs w:val="32"/>
        </w:rPr>
      </w:pPr>
      <w:r>
        <w:rPr>
          <w:rFonts w:hint="eastAsia" w:ascii="仿宋_GB2312" w:eastAsia="仿宋_GB2312"/>
          <w:sz w:val="32"/>
          <w:szCs w:val="32"/>
        </w:rPr>
        <w:t>可持续影响。</w:t>
      </w:r>
    </w:p>
    <w:p>
      <w:pPr>
        <w:spacing w:line="560" w:lineRule="exact"/>
        <w:ind w:firstLine="640" w:firstLineChars="200"/>
        <w:rPr>
          <w:rFonts w:ascii="仿宋_GB2312" w:hAnsi="仿宋" w:eastAsia="仿宋_GB2312" w:cs="仿宋_GB2312"/>
          <w:kern w:val="0"/>
          <w:sz w:val="32"/>
          <w:szCs w:val="30"/>
        </w:rPr>
      </w:pPr>
      <w:r>
        <w:rPr>
          <w:rFonts w:hint="eastAsia" w:ascii="仿宋_GB2312" w:hAnsi="仿宋" w:eastAsia="仿宋_GB2312" w:cs="仿宋_GB2312"/>
          <w:kern w:val="0"/>
          <w:sz w:val="32"/>
          <w:szCs w:val="30"/>
        </w:rPr>
        <w:t>通过开展公共卫生监测项目，逐步提升公众健康，降低新区儿童龋患率，逐步提升农村环境卫生，学生近视率持续不断明显下降，学生身体素质不断提升。</w:t>
      </w:r>
    </w:p>
    <w:p>
      <w:pPr>
        <w:pStyle w:val="6"/>
        <w:widowControl/>
        <w:spacing w:line="560" w:lineRule="exact"/>
        <w:ind w:firstLine="643" w:firstLineChars="200"/>
        <w:jc w:val="both"/>
        <w:rPr>
          <w:rFonts w:ascii="仿宋_GB2312" w:hAnsi="黑体" w:eastAsia="仿宋_GB2312" w:cs="黑体"/>
          <w:b/>
          <w:bCs/>
          <w:kern w:val="2"/>
          <w:sz w:val="32"/>
          <w:szCs w:val="32"/>
        </w:rPr>
      </w:pPr>
      <w:r>
        <w:rPr>
          <w:rFonts w:hint="eastAsia" w:ascii="仿宋_GB2312" w:hAnsi="黑体" w:eastAsia="仿宋_GB2312" w:cs="黑体"/>
          <w:b/>
          <w:bCs/>
          <w:kern w:val="2"/>
          <w:sz w:val="32"/>
          <w:szCs w:val="32"/>
        </w:rPr>
        <w:t>3.满意度指标完成情况分析。</w:t>
      </w:r>
    </w:p>
    <w:p>
      <w:pPr>
        <w:spacing w:line="560" w:lineRule="exact"/>
        <w:ind w:firstLine="640" w:firstLineChars="200"/>
        <w:rPr>
          <w:rFonts w:ascii="仿宋_GB2312" w:hAnsi="仿宋" w:eastAsia="仿宋_GB2312" w:cs="仿宋_GB2312"/>
          <w:kern w:val="0"/>
          <w:sz w:val="32"/>
          <w:szCs w:val="30"/>
        </w:rPr>
      </w:pPr>
      <w:r>
        <w:rPr>
          <w:rFonts w:hint="eastAsia" w:ascii="仿宋_GB2312" w:hAnsi="仿宋" w:eastAsia="仿宋_GB2312" w:cs="仿宋_GB2312"/>
          <w:kern w:val="0"/>
          <w:sz w:val="32"/>
          <w:szCs w:val="30"/>
        </w:rPr>
        <w:t>新区慢性病等重点人群满意度≥90%，学生常见病监测、干预活动重点人群满意度≥95%。</w:t>
      </w:r>
    </w:p>
    <w:p>
      <w:pPr>
        <w:numPr>
          <w:ilvl w:val="0"/>
          <w:numId w:val="5"/>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偏离绩效目标的原因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受新冠疫情影响，学生常见病干预、口腔干预、慢四病防治、职业病防控</w:t>
      </w:r>
      <w:r>
        <w:rPr>
          <w:rFonts w:hint="eastAsia" w:ascii="仿宋_GB2312" w:hAnsi="仿宋_GB2312" w:eastAsia="仿宋_GB2312" w:cs="仿宋_GB2312"/>
          <w:kern w:val="0"/>
          <w:sz w:val="32"/>
          <w:szCs w:val="32"/>
          <w:lang w:bidi="ar"/>
        </w:rPr>
        <w:t>人员培训、工作督导、现场调查、质量控制、</w:t>
      </w:r>
      <w:r>
        <w:rPr>
          <w:rFonts w:hint="eastAsia" w:ascii="仿宋_GB2312" w:eastAsia="仿宋_GB2312"/>
          <w:sz w:val="32"/>
          <w:szCs w:val="32"/>
        </w:rPr>
        <w:t>干预宣传等工作全面停滞，导致项目采购、资金执行率出现偏差。</w:t>
      </w:r>
    </w:p>
    <w:p>
      <w:pPr>
        <w:pStyle w:val="6"/>
        <w:widowControl/>
        <w:spacing w:line="560" w:lineRule="exact"/>
        <w:ind w:firstLine="640" w:firstLineChars="200"/>
        <w:jc w:val="both"/>
        <w:rPr>
          <w:rFonts w:ascii="楷体_GB2312" w:hAnsi="楷体" w:eastAsia="楷体_GB2312" w:cs="楷体"/>
          <w:sz w:val="32"/>
          <w:szCs w:val="32"/>
        </w:rPr>
      </w:pPr>
      <w:r>
        <w:rPr>
          <w:rFonts w:hint="eastAsia" w:ascii="楷体_GB2312" w:hAnsi="楷体" w:eastAsia="楷体_GB2312" w:cs="楷体"/>
          <w:sz w:val="32"/>
          <w:szCs w:val="32"/>
        </w:rPr>
        <w:t>（三）传染病及突发公共卫生事件</w:t>
      </w:r>
    </w:p>
    <w:p>
      <w:pPr>
        <w:widowControl/>
        <w:kinsoku w:val="0"/>
        <w:autoSpaceDE w:val="0"/>
        <w:autoSpaceDN w:val="0"/>
        <w:adjustRightInd w:val="0"/>
        <w:snapToGrid w:val="0"/>
        <w:spacing w:line="560" w:lineRule="exact"/>
        <w:ind w:firstLine="632" w:firstLineChars="200"/>
        <w:textAlignment w:val="baseline"/>
        <w:rPr>
          <w:rFonts w:ascii="仿宋_GB2312" w:hAnsi="黑体" w:eastAsia="仿宋_GB2312" w:cs="黑体"/>
          <w:b/>
          <w:bCs/>
          <w:sz w:val="32"/>
          <w:szCs w:val="32"/>
        </w:rPr>
      </w:pPr>
      <w:r>
        <w:rPr>
          <w:rFonts w:hint="eastAsia" w:ascii="黑体" w:hAnsi="黑体" w:eastAsia="黑体" w:cs="黑体"/>
          <w:spacing w:val="-2"/>
          <w:sz w:val="32"/>
          <w:szCs w:val="32"/>
        </w:rPr>
        <w:t>1</w:t>
      </w:r>
      <w:r>
        <w:rPr>
          <w:rFonts w:hint="eastAsia" w:ascii="仿宋_GB2312" w:hAnsi="黑体" w:eastAsia="仿宋_GB2312" w:cs="黑体"/>
          <w:b/>
          <w:bCs/>
          <w:sz w:val="32"/>
          <w:szCs w:val="32"/>
        </w:rPr>
        <w:t>.</w:t>
      </w:r>
      <w:r>
        <w:rPr>
          <w:rFonts w:ascii="仿宋_GB2312" w:hAnsi="黑体" w:eastAsia="仿宋_GB2312" w:cs="黑体"/>
          <w:b/>
          <w:bCs/>
          <w:sz w:val="32"/>
          <w:szCs w:val="32"/>
        </w:rPr>
        <w:t>绩效目标分解下达情况</w:t>
      </w:r>
    </w:p>
    <w:p>
      <w:pPr>
        <w:spacing w:line="560" w:lineRule="exact"/>
        <w:ind w:firstLine="640" w:firstLineChars="200"/>
        <w:rPr>
          <w:rFonts w:ascii="楷体_GB2312" w:eastAsia="楷体_GB2312"/>
          <w:sz w:val="32"/>
          <w:szCs w:val="32"/>
        </w:rPr>
      </w:pPr>
      <w:r>
        <w:rPr>
          <w:rFonts w:ascii="楷体_GB2312" w:eastAsia="楷体_GB2312"/>
          <w:sz w:val="32"/>
          <w:szCs w:val="32"/>
        </w:rPr>
        <w:fldChar w:fldCharType="begin"/>
      </w:r>
      <w:r>
        <w:rPr>
          <w:rFonts w:ascii="楷体_GB2312" w:eastAsia="楷体_GB2312"/>
          <w:sz w:val="32"/>
          <w:szCs w:val="32"/>
        </w:rPr>
        <w:instrText xml:space="preserve"> </w:instrText>
      </w:r>
      <w:r>
        <w:rPr>
          <w:rFonts w:hint="eastAsia" w:ascii="楷体_GB2312" w:eastAsia="楷体_GB2312"/>
          <w:sz w:val="32"/>
          <w:szCs w:val="32"/>
        </w:rPr>
        <w:instrText xml:space="preserve">= 1 \* GB3</w:instrText>
      </w:r>
      <w:r>
        <w:rPr>
          <w:rFonts w:ascii="楷体_GB2312" w:eastAsia="楷体_GB2312"/>
          <w:sz w:val="32"/>
          <w:szCs w:val="32"/>
        </w:rPr>
        <w:instrText xml:space="preserve"> </w:instrText>
      </w:r>
      <w:r>
        <w:rPr>
          <w:rFonts w:ascii="楷体_GB2312" w:eastAsia="楷体_GB2312"/>
          <w:sz w:val="32"/>
          <w:szCs w:val="32"/>
        </w:rPr>
        <w:fldChar w:fldCharType="separate"/>
      </w:r>
      <w:r>
        <w:rPr>
          <w:rFonts w:hint="eastAsia" w:ascii="楷体_GB2312" w:eastAsia="楷体_GB2312"/>
          <w:sz w:val="32"/>
          <w:szCs w:val="32"/>
        </w:rPr>
        <w:t>①</w:t>
      </w:r>
      <w:r>
        <w:rPr>
          <w:rFonts w:ascii="楷体_GB2312" w:eastAsia="楷体_GB2312"/>
          <w:sz w:val="32"/>
          <w:szCs w:val="32"/>
        </w:rPr>
        <w:fldChar w:fldCharType="end"/>
      </w:r>
      <w:r>
        <w:rPr>
          <w:rFonts w:hint="eastAsia" w:ascii="楷体_GB2312" w:eastAsia="楷体_GB2312"/>
          <w:sz w:val="32"/>
          <w:szCs w:val="32"/>
        </w:rPr>
        <w:t>下达传染病及突发公共卫生事件支付预算和绩效目标情况。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2022年初工作计划，兰州新区疾控中心预算传染病及突发公共卫生事件资金40万元。主要工作包括传染性疾病管理、新冠疫情防控、结核病管理、艾滋病管理、手足口病防控等内容。具体工作指标包括传染病报告率≧98%，及时率100%,暴发疫情规范处置率≥80%;全年完成1次重大传染病突发事件应急演练；新冠疫情流行病学调查及时率100%；结核病管理率和治疗率达到90%；对艾滋病感染者流行病学调查，转介治疗服务；及时处置手足口病疫情等。</w:t>
      </w:r>
    </w:p>
    <w:p>
      <w:pPr>
        <w:spacing w:line="560" w:lineRule="exact"/>
        <w:ind w:firstLine="640" w:firstLineChars="200"/>
        <w:rPr>
          <w:rFonts w:ascii="仿宋_GB2312" w:eastAsia="仿宋_GB2312"/>
          <w:sz w:val="32"/>
          <w:szCs w:val="32"/>
        </w:rPr>
      </w:pPr>
      <w:r>
        <w:rPr>
          <w:rFonts w:ascii="楷体_GB2312" w:eastAsia="楷体_GB2312"/>
          <w:sz w:val="32"/>
          <w:szCs w:val="32"/>
          <w:highlight w:val="none"/>
        </w:rPr>
        <w:fldChar w:fldCharType="begin"/>
      </w:r>
      <w:r>
        <w:rPr>
          <w:rFonts w:ascii="楷体_GB2312" w:eastAsia="楷体_GB2312"/>
          <w:sz w:val="32"/>
          <w:szCs w:val="32"/>
          <w:highlight w:val="none"/>
        </w:rPr>
        <w:instrText xml:space="preserve"> </w:instrText>
      </w:r>
      <w:r>
        <w:rPr>
          <w:rFonts w:hint="eastAsia" w:ascii="楷体_GB2312" w:eastAsia="楷体_GB2312"/>
          <w:sz w:val="32"/>
          <w:szCs w:val="32"/>
          <w:highlight w:val="none"/>
        </w:rPr>
        <w:instrText xml:space="preserve">= 2 \* GB3</w:instrText>
      </w:r>
      <w:r>
        <w:rPr>
          <w:rFonts w:ascii="楷体_GB2312" w:eastAsia="楷体_GB2312"/>
          <w:sz w:val="32"/>
          <w:szCs w:val="32"/>
          <w:highlight w:val="none"/>
        </w:rPr>
        <w:instrText xml:space="preserve"> </w:instrText>
      </w:r>
      <w:r>
        <w:rPr>
          <w:rFonts w:ascii="楷体_GB2312" w:eastAsia="楷体_GB2312"/>
          <w:sz w:val="32"/>
          <w:szCs w:val="32"/>
          <w:highlight w:val="none"/>
        </w:rPr>
        <w:fldChar w:fldCharType="separate"/>
      </w:r>
      <w:r>
        <w:rPr>
          <w:rFonts w:hint="eastAsia" w:ascii="楷体_GB2312" w:eastAsia="楷体_GB2312"/>
          <w:sz w:val="32"/>
          <w:szCs w:val="32"/>
          <w:highlight w:val="none"/>
        </w:rPr>
        <w:t>②</w:t>
      </w:r>
      <w:r>
        <w:rPr>
          <w:rFonts w:ascii="楷体_GB2312" w:eastAsia="楷体_GB2312"/>
          <w:sz w:val="32"/>
          <w:szCs w:val="32"/>
          <w:highlight w:val="none"/>
        </w:rPr>
        <w:fldChar w:fldCharType="end"/>
      </w:r>
      <w:r>
        <w:rPr>
          <w:rFonts w:hint="eastAsia" w:ascii="楷体_GB2312" w:eastAsia="楷体_GB2312"/>
          <w:sz w:val="32"/>
          <w:szCs w:val="32"/>
        </w:rPr>
        <w:t>资金安排、分解下达预算和绩效目标情况。</w:t>
      </w:r>
    </w:p>
    <w:p>
      <w:pPr>
        <w:widowControl/>
        <w:kinsoku w:val="0"/>
        <w:autoSpaceDE w:val="0"/>
        <w:autoSpaceDN w:val="0"/>
        <w:adjustRightInd w:val="0"/>
        <w:snapToGrid w:val="0"/>
        <w:spacing w:line="560" w:lineRule="exact"/>
        <w:ind w:firstLine="640" w:firstLineChars="200"/>
        <w:textAlignment w:val="baseline"/>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项目经费年初预算40万，其中兰州新区传染病疫情报告及突发公共卫生事件应急管理资金17万元；艾滋病管理6万元；结核病管理16万元；手足口病管理1万元。</w:t>
      </w:r>
    </w:p>
    <w:p>
      <w:pPr>
        <w:widowControl/>
        <w:kinsoku w:val="0"/>
        <w:autoSpaceDE w:val="0"/>
        <w:autoSpaceDN w:val="0"/>
        <w:adjustRightInd w:val="0"/>
        <w:snapToGrid w:val="0"/>
        <w:spacing w:line="560" w:lineRule="exact"/>
        <w:ind w:firstLine="643" w:firstLineChars="200"/>
        <w:textAlignment w:val="baseline"/>
        <w:rPr>
          <w:rFonts w:ascii="仿宋_GB2312" w:hAnsi="黑体" w:eastAsia="仿宋_GB2312" w:cs="黑体"/>
          <w:b/>
          <w:bCs/>
          <w:sz w:val="32"/>
          <w:szCs w:val="32"/>
        </w:rPr>
      </w:pPr>
      <w:r>
        <w:rPr>
          <w:rFonts w:hint="eastAsia" w:ascii="仿宋_GB2312" w:hAnsi="黑体" w:eastAsia="仿宋_GB2312" w:cs="黑体"/>
          <w:b/>
          <w:bCs/>
          <w:sz w:val="32"/>
          <w:szCs w:val="32"/>
        </w:rPr>
        <w:t>2.</w:t>
      </w:r>
      <w:r>
        <w:rPr>
          <w:rFonts w:ascii="仿宋_GB2312" w:hAnsi="黑体" w:eastAsia="仿宋_GB2312" w:cs="黑体"/>
          <w:b/>
          <w:bCs/>
          <w:sz w:val="32"/>
          <w:szCs w:val="32"/>
        </w:rPr>
        <w:t>绩效目标完成情况分析</w:t>
      </w:r>
    </w:p>
    <w:p>
      <w:pPr>
        <w:widowControl/>
        <w:kinsoku w:val="0"/>
        <w:autoSpaceDE w:val="0"/>
        <w:autoSpaceDN w:val="0"/>
        <w:adjustRightInd w:val="0"/>
        <w:snapToGrid w:val="0"/>
        <w:spacing w:line="560" w:lineRule="exact"/>
        <w:ind w:firstLine="640" w:firstLineChars="200"/>
        <w:textAlignment w:val="baseline"/>
        <w:rPr>
          <w:rFonts w:ascii="黑体" w:hAnsi="黑体" w:eastAsia="黑体" w:cs="黑体"/>
          <w:sz w:val="32"/>
          <w:szCs w:val="32"/>
        </w:rPr>
      </w:pPr>
      <w:r>
        <w:rPr>
          <w:rFonts w:ascii="楷体_GB2312" w:hAnsi="楷体_GB2312" w:eastAsia="楷体_GB2312" w:cs="楷体_GB2312"/>
          <w:sz w:val="32"/>
          <w:szCs w:val="32"/>
          <w:highlight w:val="none"/>
        </w:rPr>
        <w:fldChar w:fldCharType="begin"/>
      </w:r>
      <w:r>
        <w:rPr>
          <w:rFonts w:ascii="楷体_GB2312" w:hAnsi="楷体_GB2312" w:eastAsia="楷体_GB2312" w:cs="楷体_GB2312"/>
          <w:sz w:val="32"/>
          <w:szCs w:val="32"/>
          <w:highlight w:val="none"/>
        </w:rPr>
        <w:instrText xml:space="preserve"> </w:instrText>
      </w:r>
      <w:r>
        <w:rPr>
          <w:rFonts w:hint="eastAsia" w:ascii="楷体_GB2312" w:hAnsi="楷体_GB2312" w:eastAsia="楷体_GB2312" w:cs="楷体_GB2312"/>
          <w:sz w:val="32"/>
          <w:szCs w:val="32"/>
          <w:highlight w:val="none"/>
        </w:rPr>
        <w:instrText xml:space="preserve">= 1 \* GB3</w:instrText>
      </w:r>
      <w:r>
        <w:rPr>
          <w:rFonts w:ascii="楷体_GB2312" w:hAnsi="楷体_GB2312" w:eastAsia="楷体_GB2312" w:cs="楷体_GB2312"/>
          <w:sz w:val="32"/>
          <w:szCs w:val="32"/>
          <w:highlight w:val="none"/>
        </w:rPr>
        <w:instrText xml:space="preserve"> </w:instrText>
      </w:r>
      <w:r>
        <w:rPr>
          <w:rFonts w:ascii="楷体_GB2312" w:hAnsi="楷体_GB2312" w:eastAsia="楷体_GB2312" w:cs="楷体_GB2312"/>
          <w:sz w:val="32"/>
          <w:szCs w:val="32"/>
          <w:highlight w:val="none"/>
        </w:rPr>
        <w:fldChar w:fldCharType="separate"/>
      </w:r>
      <w:r>
        <w:rPr>
          <w:rFonts w:hint="eastAsia" w:ascii="楷体_GB2312" w:hAnsi="楷体_GB2312" w:eastAsia="楷体_GB2312" w:cs="楷体_GB2312"/>
          <w:sz w:val="32"/>
          <w:szCs w:val="32"/>
          <w:highlight w:val="none"/>
        </w:rPr>
        <w:t>①</w:t>
      </w:r>
      <w:r>
        <w:rPr>
          <w:rFonts w:ascii="楷体_GB2312" w:hAnsi="楷体_GB2312" w:eastAsia="楷体_GB2312" w:cs="楷体_GB2312"/>
          <w:sz w:val="32"/>
          <w:szCs w:val="32"/>
          <w:highlight w:val="none"/>
        </w:rPr>
        <w:fldChar w:fldCharType="end"/>
      </w:r>
      <w:r>
        <w:rPr>
          <w:rFonts w:hint="eastAsia" w:ascii="楷体_GB2312" w:hAnsi="楷体_GB2312" w:eastAsia="楷体_GB2312" w:cs="楷体_GB2312"/>
          <w:sz w:val="32"/>
          <w:szCs w:val="32"/>
        </w:rPr>
        <w:t>资金投入情况分析。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1)项目资金到位情况分析。</w:t>
      </w:r>
    </w:p>
    <w:p>
      <w:pPr>
        <w:widowControl/>
        <w:spacing w:line="560" w:lineRule="exact"/>
      </w:pPr>
      <w:r>
        <w:rPr>
          <w:rFonts w:hint="eastAsia" w:ascii="仿宋_GB2312" w:hAnsi="仿宋_GB2312" w:eastAsia="仿宋_GB2312" w:cs="仿宋_GB2312"/>
          <w:color w:val="000000"/>
          <w:sz w:val="32"/>
          <w:szCs w:val="32"/>
        </w:rPr>
        <w:t>项目经费年初预算40万，</w:t>
      </w:r>
      <w:r>
        <w:rPr>
          <w:rFonts w:hint="eastAsia" w:ascii="仿宋_GB2312" w:hAnsi="Times New Roman" w:eastAsia="仿宋_GB2312" w:cs="仿宋_GB2312"/>
          <w:color w:val="000000"/>
          <w:kern w:val="0"/>
          <w:sz w:val="32"/>
          <w:szCs w:val="32"/>
          <w:lang w:bidi="ar"/>
        </w:rPr>
        <w:t>资金到位率100%。</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2)项目资金执行情况分析。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项目经费年初预算40万，全年执行26.23万元，执行率65.58%。</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传染病防治法》《突发公共卫生事件应急条例》《艾滋病管理条例》《新冠肺炎防控方案》《中国结核病防治规划实施工作指南》《中国结核病预防控制工作技术规范》《中国学校结核病防控指南》等法律、法规、方案组织实施。新区疾控中心及新区有关医疗机构具体实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资金很好地支持了传染病及突发公共卫生事件工作。新区疾控中心及有关医疗机构通过传染病及突发公共卫生事件信息及时上报、审核、数据分析，及时发现、及时处置传染病疫情，提升重大传染性疾病、突发卫生事件监测及处置能力，提高新区广大人民群众的健康水平，落实健康扶贫攻坚战略行动，确保健康中国战略在新区的实现。特别是有力地应对了“0306”、“1002”等新冠疫情，很好地保障了新区社会“疫情要防住、经济要稳住、发展要安全”的实现。</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3)项目资金管理情况分析。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疾控中心严格财务管理，有分管主任负责，指定财会专人落实日常财务工作。在财务支出过程中，严格财务纪律，重大经费使用需经中心支委会决定，相关科室及人员落实。</w:t>
      </w:r>
    </w:p>
    <w:p>
      <w:pPr>
        <w:spacing w:line="560" w:lineRule="exact"/>
        <w:ind w:firstLine="640" w:firstLineChars="200"/>
        <w:rPr>
          <w:rFonts w:ascii="仿宋_GB2312" w:eastAsia="仿宋_GB2312"/>
          <w:sz w:val="32"/>
          <w:szCs w:val="32"/>
        </w:rPr>
      </w:pPr>
      <w:r>
        <w:rPr>
          <w:rFonts w:ascii="楷体_GB2312" w:hAnsi="楷体_GB2312" w:eastAsia="楷体_GB2312" w:cs="楷体_GB2312"/>
          <w:sz w:val="32"/>
          <w:szCs w:val="32"/>
          <w:highlight w:val="none"/>
        </w:rPr>
        <w:fldChar w:fldCharType="begin"/>
      </w:r>
      <w:r>
        <w:rPr>
          <w:rFonts w:ascii="楷体_GB2312" w:hAnsi="楷体_GB2312" w:eastAsia="楷体_GB2312" w:cs="楷体_GB2312"/>
          <w:sz w:val="32"/>
          <w:szCs w:val="32"/>
          <w:highlight w:val="none"/>
        </w:rPr>
        <w:instrText xml:space="preserve"> </w:instrText>
      </w:r>
      <w:r>
        <w:rPr>
          <w:rFonts w:hint="eastAsia" w:ascii="楷体_GB2312" w:hAnsi="楷体_GB2312" w:eastAsia="楷体_GB2312" w:cs="楷体_GB2312"/>
          <w:sz w:val="32"/>
          <w:szCs w:val="32"/>
          <w:highlight w:val="none"/>
        </w:rPr>
        <w:instrText xml:space="preserve">= 1 \* GB3</w:instrText>
      </w:r>
      <w:r>
        <w:rPr>
          <w:rFonts w:ascii="楷体_GB2312" w:hAnsi="楷体_GB2312" w:eastAsia="楷体_GB2312" w:cs="楷体_GB2312"/>
          <w:sz w:val="32"/>
          <w:szCs w:val="32"/>
          <w:highlight w:val="none"/>
        </w:rPr>
        <w:instrText xml:space="preserve"> </w:instrText>
      </w:r>
      <w:r>
        <w:rPr>
          <w:rFonts w:ascii="楷体_GB2312" w:hAnsi="楷体_GB2312" w:eastAsia="楷体_GB2312" w:cs="楷体_GB2312"/>
          <w:sz w:val="32"/>
          <w:szCs w:val="32"/>
          <w:highlight w:val="none"/>
        </w:rPr>
        <w:fldChar w:fldCharType="separate"/>
      </w:r>
      <w:r>
        <w:rPr>
          <w:rFonts w:hint="eastAsia" w:ascii="楷体_GB2312" w:hAnsi="楷体_GB2312" w:eastAsia="楷体_GB2312" w:cs="楷体_GB2312"/>
          <w:sz w:val="32"/>
          <w:szCs w:val="32"/>
          <w:highlight w:val="none"/>
        </w:rPr>
        <w:t>①</w:t>
      </w:r>
      <w:r>
        <w:rPr>
          <w:rFonts w:ascii="楷体_GB2312" w:hAnsi="楷体_GB2312" w:eastAsia="楷体_GB2312" w:cs="楷体_GB2312"/>
          <w:sz w:val="32"/>
          <w:szCs w:val="32"/>
          <w:highlight w:val="none"/>
        </w:rPr>
        <w:fldChar w:fldCharType="end"/>
      </w:r>
      <w:r>
        <w:rPr>
          <w:rFonts w:hint="eastAsia" w:ascii="楷体_GB2312" w:hAnsi="楷体_GB2312" w:eastAsia="楷体_GB2312" w:cs="楷体_GB2312"/>
          <w:sz w:val="32"/>
          <w:szCs w:val="32"/>
        </w:rPr>
        <w:t>总体绩效目标完成情况分析。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2022年是十分特殊的一年，疾控中心在人员少，疫情反复冲击的情况下，严格按照年初工作计划开展各项工作，总体完成了年初设定的各项绩效目标。进一步加强了传染病信息报告管理，确保报告系统的有效运行，充分发挥网络直报作用，全年新区各医疗机构传染病网络直报系统正常运转率100%，提高了报告的效率与质量，传染病报告率、及时率均达到100%，很好地满足传染病防控形势的变化和防控工作需求。</w:t>
      </w:r>
    </w:p>
    <w:p>
      <w:pPr>
        <w:spacing w:line="560" w:lineRule="exact"/>
        <w:ind w:firstLine="640" w:firstLineChars="200"/>
        <w:rPr>
          <w:rFonts w:ascii="楷体_GB2312" w:hAnsi="楷体_GB2312" w:eastAsia="楷体_GB2312" w:cs="楷体_GB2312"/>
          <w:sz w:val="32"/>
          <w:szCs w:val="32"/>
        </w:rPr>
      </w:pPr>
      <w:r>
        <w:rPr>
          <w:rFonts w:ascii="楷体_GB2312" w:hAnsi="楷体_GB2312" w:eastAsia="楷体_GB2312" w:cs="楷体_GB2312"/>
          <w:sz w:val="32"/>
          <w:szCs w:val="32"/>
        </w:rPr>
        <w:fldChar w:fldCharType="begin"/>
      </w:r>
      <w:r>
        <w:rPr>
          <w:rFonts w:ascii="楷体_GB2312" w:hAnsi="楷体_GB2312" w:eastAsia="楷体_GB2312" w:cs="楷体_GB2312"/>
          <w:sz w:val="32"/>
          <w:szCs w:val="32"/>
        </w:rPr>
        <w:instrText xml:space="preserve"> </w:instrText>
      </w:r>
      <w:r>
        <w:rPr>
          <w:rFonts w:hint="eastAsia" w:ascii="楷体_GB2312" w:hAnsi="楷体_GB2312" w:eastAsia="楷体_GB2312" w:cs="楷体_GB2312"/>
          <w:sz w:val="32"/>
          <w:szCs w:val="32"/>
        </w:rPr>
        <w:instrText xml:space="preserve">= 2 \* GB3</w:instrText>
      </w:r>
      <w:r>
        <w:rPr>
          <w:rFonts w:ascii="楷体_GB2312" w:hAnsi="楷体_GB2312" w:eastAsia="楷体_GB2312" w:cs="楷体_GB2312"/>
          <w:sz w:val="32"/>
          <w:szCs w:val="32"/>
        </w:rPr>
        <w:instrText xml:space="preserve"> </w:instrText>
      </w:r>
      <w:r>
        <w:rPr>
          <w:rFonts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②</w:t>
      </w:r>
      <w:r>
        <w:rPr>
          <w:rFonts w:ascii="楷体_GB2312" w:hAnsi="楷体_GB2312" w:eastAsia="楷体_GB2312" w:cs="楷体_GB2312"/>
          <w:sz w:val="32"/>
          <w:szCs w:val="32"/>
        </w:rPr>
        <w:fldChar w:fldCharType="end"/>
      </w:r>
      <w:r>
        <w:rPr>
          <w:rFonts w:hint="eastAsia" w:ascii="楷体_GB2312" w:hAnsi="楷体_GB2312" w:eastAsia="楷体_GB2312" w:cs="楷体_GB2312"/>
          <w:sz w:val="32"/>
          <w:szCs w:val="32"/>
        </w:rPr>
        <w:t>绩效目标完成情况分析。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1)产出指标完成情况分析。</w:t>
      </w:r>
    </w:p>
    <w:p>
      <w:pPr>
        <w:spacing w:line="560" w:lineRule="exact"/>
        <w:ind w:firstLine="640" w:firstLineChars="200"/>
        <w:rPr>
          <w:rFonts w:ascii="仿宋_GB2312" w:hAnsi="仿宋" w:eastAsia="仿宋_GB2312" w:cs="仿宋"/>
          <w:sz w:val="32"/>
          <w:szCs w:val="32"/>
          <w:lang w:bidi="zh-TW"/>
        </w:rPr>
      </w:pPr>
      <w:r>
        <w:rPr>
          <w:rFonts w:hint="eastAsia" w:ascii="仿宋_GB2312" w:hAnsi="仿宋" w:eastAsia="仿宋_GB2312" w:cs="仿宋"/>
          <w:sz w:val="32"/>
          <w:szCs w:val="32"/>
          <w:lang w:bidi="zh-TW"/>
        </w:rPr>
        <w:t>（1）数量指标。2022年兰州新区法定传染病发病率较2021年发病率下降42.62%。艾滋病、结核病、手足口病防治指标均达到年初计划要求。</w:t>
      </w:r>
    </w:p>
    <w:p>
      <w:pPr>
        <w:spacing w:line="560" w:lineRule="exact"/>
        <w:ind w:firstLine="640" w:firstLineChars="200"/>
        <w:rPr>
          <w:rFonts w:ascii="仿宋_GB2312" w:hAnsi="仿宋" w:eastAsia="仿宋_GB2312" w:cs="仿宋"/>
          <w:sz w:val="32"/>
          <w:szCs w:val="32"/>
          <w:lang w:bidi="zh-TW"/>
        </w:rPr>
      </w:pPr>
      <w:r>
        <w:rPr>
          <w:rFonts w:hint="eastAsia" w:ascii="仿宋_GB2312" w:hAnsi="仿宋" w:eastAsia="仿宋_GB2312" w:cs="仿宋"/>
          <w:sz w:val="32"/>
          <w:szCs w:val="32"/>
          <w:lang w:bidi="zh-TW"/>
        </w:rPr>
        <w:t>（2）质量指标。较好地完成了全年新冠疫情防控任务，新区全年没有全区范围封城情况，最大限度地保障了生产生活秩序。</w:t>
      </w:r>
    </w:p>
    <w:p>
      <w:pPr>
        <w:spacing w:line="560" w:lineRule="exact"/>
        <w:ind w:firstLine="640" w:firstLineChars="200"/>
        <w:rPr>
          <w:rFonts w:ascii="仿宋_GB2312" w:hAnsi="仿宋" w:eastAsia="仿宋_GB2312" w:cs="仿宋"/>
          <w:sz w:val="32"/>
          <w:szCs w:val="32"/>
          <w:lang w:bidi="zh-TW"/>
        </w:rPr>
      </w:pPr>
      <w:r>
        <w:rPr>
          <w:rFonts w:hint="eastAsia" w:ascii="仿宋_GB2312" w:hAnsi="仿宋" w:eastAsia="仿宋_GB2312" w:cs="仿宋"/>
          <w:sz w:val="32"/>
          <w:szCs w:val="32"/>
          <w:lang w:bidi="zh-TW"/>
        </w:rPr>
        <w:t>（3）时效指标。疫情防控时效均达到上级要求时限内。</w:t>
      </w:r>
    </w:p>
    <w:p>
      <w:pPr>
        <w:spacing w:line="560" w:lineRule="exact"/>
        <w:ind w:firstLine="640" w:firstLineChars="200"/>
        <w:rPr>
          <w:rFonts w:ascii="仿宋_GB2312" w:hAnsi="仿宋" w:eastAsia="仿宋_GB2312" w:cs="仿宋"/>
          <w:sz w:val="32"/>
          <w:szCs w:val="32"/>
          <w:lang w:bidi="zh-TW"/>
        </w:rPr>
      </w:pPr>
      <w:r>
        <w:rPr>
          <w:rFonts w:hint="eastAsia" w:ascii="仿宋_GB2312" w:hAnsi="仿宋" w:eastAsia="仿宋_GB2312" w:cs="仿宋"/>
          <w:sz w:val="32"/>
          <w:szCs w:val="32"/>
          <w:lang w:bidi="zh-TW"/>
        </w:rPr>
        <w:t>（4）成本指标。优于省内各地区平均水平。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2)效益指标完成情况分析。</w:t>
      </w:r>
    </w:p>
    <w:p>
      <w:pPr>
        <w:spacing w:line="560" w:lineRule="exact"/>
        <w:ind w:firstLine="640" w:firstLineChars="200"/>
        <w:rPr>
          <w:rFonts w:ascii="仿宋_GB2312" w:hAnsi="仿宋" w:eastAsia="仿宋_GB2312" w:cs="仿宋"/>
          <w:sz w:val="32"/>
          <w:szCs w:val="32"/>
          <w:lang w:bidi="zh-TW"/>
        </w:rPr>
      </w:pPr>
      <w:r>
        <w:rPr>
          <w:rFonts w:hint="eastAsia" w:ascii="仿宋_GB2312" w:hAnsi="仿宋" w:eastAsia="仿宋_GB2312" w:cs="仿宋"/>
          <w:sz w:val="32"/>
          <w:szCs w:val="32"/>
          <w:lang w:bidi="zh-TW"/>
        </w:rPr>
        <w:t>（1）经济效益。不涉及。</w:t>
      </w:r>
    </w:p>
    <w:p>
      <w:pPr>
        <w:spacing w:line="560" w:lineRule="exact"/>
        <w:ind w:firstLine="640" w:firstLineChars="200"/>
        <w:rPr>
          <w:rFonts w:ascii="仿宋_GB2312" w:hAnsi="仿宋" w:eastAsia="仿宋_GB2312" w:cs="仿宋"/>
          <w:sz w:val="32"/>
          <w:szCs w:val="32"/>
          <w:lang w:bidi="zh-TW"/>
        </w:rPr>
      </w:pPr>
      <w:r>
        <w:rPr>
          <w:rFonts w:hint="eastAsia" w:ascii="仿宋_GB2312" w:hAnsi="仿宋" w:eastAsia="仿宋_GB2312" w:cs="仿宋"/>
          <w:sz w:val="32"/>
          <w:szCs w:val="32"/>
          <w:lang w:bidi="zh-TW"/>
        </w:rPr>
        <w:t>（2）社会效益。全年疫情水平总体低于周边地区，新区生产生活秩序得到最大限度保障。</w:t>
      </w:r>
    </w:p>
    <w:p>
      <w:pPr>
        <w:spacing w:line="560" w:lineRule="exact"/>
        <w:ind w:firstLine="640" w:firstLineChars="200"/>
        <w:rPr>
          <w:rFonts w:ascii="仿宋_GB2312" w:hAnsi="仿宋" w:eastAsia="仿宋_GB2312" w:cs="仿宋"/>
          <w:sz w:val="32"/>
          <w:szCs w:val="32"/>
          <w:lang w:bidi="zh-TW"/>
        </w:rPr>
      </w:pPr>
      <w:r>
        <w:rPr>
          <w:rFonts w:hint="eastAsia" w:ascii="仿宋_GB2312" w:hAnsi="仿宋" w:eastAsia="仿宋_GB2312" w:cs="仿宋"/>
          <w:sz w:val="32"/>
          <w:szCs w:val="32"/>
          <w:lang w:bidi="zh-TW"/>
        </w:rPr>
        <w:t>（3）生态效益。新区疾控中心在疫情防控工作中严格生物安全，严格消毒无害化处置工作，未发生生态环境污染事件。</w:t>
      </w:r>
    </w:p>
    <w:p>
      <w:pPr>
        <w:spacing w:line="560" w:lineRule="exact"/>
        <w:ind w:firstLine="640" w:firstLineChars="200"/>
        <w:rPr>
          <w:rFonts w:ascii="仿宋_GB2312" w:hAnsi="仿宋" w:eastAsia="仿宋_GB2312" w:cs="仿宋"/>
          <w:sz w:val="32"/>
          <w:szCs w:val="32"/>
          <w:lang w:bidi="zh-TW"/>
        </w:rPr>
      </w:pPr>
      <w:r>
        <w:rPr>
          <w:rFonts w:hint="eastAsia" w:ascii="仿宋_GB2312" w:hAnsi="仿宋" w:eastAsia="仿宋_GB2312" w:cs="仿宋"/>
          <w:sz w:val="32"/>
          <w:szCs w:val="32"/>
          <w:lang w:bidi="zh-TW"/>
        </w:rPr>
        <w:t>（4）可持续影响。通过疫情防控，健康教育宣传活动，提高了新区群众防病意识及能力，对今后健康素养具有积极意义。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3)满意度指标完成情况分析。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新区疾控中心传染病及突发公共卫生事件工作在“0306”、“1002”疫情防控过程中得到了新区联防联控机制的高度评价，新区百姓日常生产生活所受影响小于全省各地州市，新区经济发展继续保持较快速度增长。</w:t>
      </w:r>
    </w:p>
    <w:p>
      <w:pPr>
        <w:widowControl/>
        <w:kinsoku w:val="0"/>
        <w:autoSpaceDE w:val="0"/>
        <w:autoSpaceDN w:val="0"/>
        <w:adjustRightInd w:val="0"/>
        <w:snapToGrid w:val="0"/>
        <w:spacing w:line="560" w:lineRule="exact"/>
        <w:ind w:firstLine="643" w:firstLineChars="200"/>
        <w:textAlignment w:val="baseline"/>
        <w:rPr>
          <w:rFonts w:ascii="仿宋_GB2312" w:hAnsi="黑体" w:eastAsia="仿宋_GB2312" w:cs="黑体"/>
          <w:b/>
          <w:bCs/>
          <w:sz w:val="32"/>
          <w:szCs w:val="32"/>
        </w:rPr>
      </w:pPr>
      <w:r>
        <w:rPr>
          <w:rFonts w:hint="eastAsia" w:ascii="仿宋_GB2312" w:hAnsi="黑体" w:eastAsia="仿宋_GB2312" w:cs="黑体"/>
          <w:b/>
          <w:bCs/>
          <w:sz w:val="32"/>
          <w:szCs w:val="32"/>
        </w:rPr>
        <w:t>3.</w:t>
      </w:r>
      <w:r>
        <w:rPr>
          <w:rFonts w:ascii="仿宋_GB2312" w:hAnsi="黑体" w:eastAsia="仿宋_GB2312" w:cs="黑体"/>
          <w:b/>
          <w:bCs/>
          <w:sz w:val="32"/>
          <w:szCs w:val="32"/>
        </w:rPr>
        <w:t>偏离绩效目标的原因</w:t>
      </w:r>
    </w:p>
    <w:p>
      <w:pPr>
        <w:spacing w:line="560" w:lineRule="exact"/>
        <w:ind w:firstLine="640" w:firstLineChars="200"/>
      </w:pPr>
      <w:r>
        <w:rPr>
          <w:rFonts w:hint="eastAsia" w:ascii="仿宋_GB2312" w:eastAsia="仿宋_GB2312"/>
          <w:sz w:val="32"/>
          <w:szCs w:val="32"/>
        </w:rPr>
        <w:t>2022年新冠疫情是防控重中之重，由于大部分时间围绕新冠疫情防控工作，其它一些工作难以如年初计划设想的开展现场培训、宣传、干预等活动，一定程度上影响了资金的使用。另外，由于疾控中心处于筹备阶段，人员严重不足，且许多工作没有检测平台支撑，对部分工作完成也有较大影响。</w:t>
      </w:r>
    </w:p>
    <w:p>
      <w:pPr>
        <w:pStyle w:val="6"/>
        <w:widowControl/>
        <w:spacing w:line="560" w:lineRule="exact"/>
        <w:ind w:firstLine="640" w:firstLineChars="200"/>
        <w:jc w:val="both"/>
        <w:rPr>
          <w:rFonts w:ascii="楷体_GB2312" w:hAnsi="楷体" w:eastAsia="楷体_GB2312" w:cs="楷体"/>
          <w:sz w:val="32"/>
          <w:szCs w:val="32"/>
        </w:rPr>
      </w:pPr>
      <w:r>
        <w:rPr>
          <w:rFonts w:hint="eastAsia" w:ascii="楷体_GB2312" w:hAnsi="楷体" w:eastAsia="楷体_GB2312" w:cs="楷体"/>
          <w:sz w:val="32"/>
          <w:szCs w:val="32"/>
        </w:rPr>
        <w:t>（四）免疫规划</w:t>
      </w:r>
    </w:p>
    <w:p>
      <w:pPr>
        <w:widowControl/>
        <w:kinsoku w:val="0"/>
        <w:autoSpaceDE w:val="0"/>
        <w:autoSpaceDN w:val="0"/>
        <w:adjustRightInd w:val="0"/>
        <w:snapToGrid w:val="0"/>
        <w:spacing w:line="560" w:lineRule="exact"/>
        <w:ind w:firstLine="643" w:firstLineChars="200"/>
        <w:textAlignment w:val="baseline"/>
        <w:rPr>
          <w:rFonts w:ascii="仿宋_GB2312" w:hAnsi="黑体" w:eastAsia="仿宋_GB2312" w:cs="黑体"/>
          <w:b/>
          <w:bCs/>
          <w:sz w:val="32"/>
          <w:szCs w:val="32"/>
        </w:rPr>
      </w:pPr>
      <w:r>
        <w:rPr>
          <w:rFonts w:hint="eastAsia" w:ascii="仿宋_GB2312" w:hAnsi="黑体" w:eastAsia="仿宋_GB2312" w:cs="黑体"/>
          <w:b/>
          <w:bCs/>
          <w:sz w:val="32"/>
          <w:szCs w:val="32"/>
        </w:rPr>
        <w:t>1.项目基本情况</w:t>
      </w:r>
    </w:p>
    <w:p>
      <w:pPr>
        <w:pStyle w:val="6"/>
        <w:widowControl/>
        <w:spacing w:line="560" w:lineRule="exact"/>
        <w:ind w:firstLine="640" w:firstLineChars="200"/>
        <w:jc w:val="both"/>
        <w:rPr>
          <w:rFonts w:ascii="楷体_GB2312" w:hAnsi="楷体" w:eastAsia="楷体_GB2312" w:cs="楷体"/>
          <w:sz w:val="32"/>
          <w:szCs w:val="32"/>
        </w:rPr>
      </w:pPr>
      <w:r>
        <w:rPr>
          <w:rFonts w:ascii="仿宋_GB2312" w:eastAsia="仿宋_GB2312"/>
          <w:sz w:val="32"/>
          <w:szCs w:val="32"/>
          <w:highlight w:val="none"/>
        </w:rPr>
        <w:fldChar w:fldCharType="begin"/>
      </w:r>
      <w:r>
        <w:rPr>
          <w:rFonts w:ascii="仿宋_GB2312" w:eastAsia="仿宋_GB2312"/>
          <w:sz w:val="32"/>
          <w:szCs w:val="32"/>
          <w:highlight w:val="none"/>
        </w:rPr>
        <w:instrText xml:space="preserve"> </w:instrText>
      </w:r>
      <w:r>
        <w:rPr>
          <w:rFonts w:hint="eastAsia" w:ascii="仿宋_GB2312" w:eastAsia="仿宋_GB2312"/>
          <w:sz w:val="32"/>
          <w:szCs w:val="32"/>
          <w:highlight w:val="none"/>
        </w:rPr>
        <w:instrText xml:space="preserve">= 1 \* GB3</w:instrText>
      </w:r>
      <w:r>
        <w:rPr>
          <w:rFonts w:ascii="仿宋_GB2312" w:eastAsia="仿宋_GB2312"/>
          <w:sz w:val="32"/>
          <w:szCs w:val="32"/>
          <w:highlight w:val="none"/>
        </w:rPr>
        <w:instrText xml:space="preserve"> </w:instrText>
      </w:r>
      <w:r>
        <w:rPr>
          <w:rFonts w:ascii="仿宋_GB2312" w:eastAsia="仿宋_GB2312"/>
          <w:sz w:val="32"/>
          <w:szCs w:val="32"/>
          <w:highlight w:val="none"/>
        </w:rPr>
        <w:fldChar w:fldCharType="separate"/>
      </w:r>
      <w:r>
        <w:rPr>
          <w:rFonts w:hint="eastAsia" w:ascii="仿宋_GB2312" w:eastAsia="仿宋_GB2312"/>
          <w:sz w:val="32"/>
          <w:szCs w:val="32"/>
          <w:highlight w:val="none"/>
        </w:rPr>
        <w:t>①</w:t>
      </w:r>
      <w:r>
        <w:rPr>
          <w:rFonts w:ascii="仿宋_GB2312" w:eastAsia="仿宋_GB2312"/>
          <w:sz w:val="32"/>
          <w:szCs w:val="32"/>
          <w:highlight w:val="none"/>
        </w:rPr>
        <w:fldChar w:fldCharType="end"/>
      </w:r>
      <w:r>
        <w:rPr>
          <w:rFonts w:hint="eastAsia" w:ascii="仿宋_GB2312" w:eastAsia="仿宋_GB2312"/>
          <w:sz w:val="32"/>
          <w:szCs w:val="32"/>
        </w:rPr>
        <w:t>项目背景</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继续落实扩大国家免疫规划任务，降低疫苗可预防传染病的发病率，按照国家任务指标和相关管理要求，提高疾病防控能力的原则下，根据卫健委有关要求，新区扩大国家免疫规划项目疫苗，实施新区免疫规划，组织和指导预防接种的实施，负责免疫规划疫苗及冷链系统的管理维护运行，开展疫苗应用效果的监测和评价，以及免疫规划预防接种活动相关突发事件的调查与处理。</w:t>
      </w:r>
    </w:p>
    <w:p>
      <w:pPr>
        <w:spacing w:line="560" w:lineRule="exact"/>
        <w:ind w:firstLine="640" w:firstLineChars="200"/>
        <w:rPr>
          <w:rFonts w:ascii="仿宋_GB2312" w:eastAsia="仿宋_GB2312"/>
          <w:sz w:val="32"/>
          <w:szCs w:val="32"/>
        </w:rPr>
      </w:pP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w:instrText>
      </w:r>
      <w:r>
        <w:rPr>
          <w:rFonts w:hint="eastAsia" w:ascii="仿宋_GB2312" w:hAnsi="仿宋_GB2312" w:eastAsia="仿宋_GB2312" w:cs="仿宋_GB2312"/>
          <w:sz w:val="32"/>
          <w:szCs w:val="32"/>
        </w:rPr>
        <w:instrText xml:space="preserve">= 2 \* GB3</w:instrText>
      </w:r>
      <w:r>
        <w:rPr>
          <w:rFonts w:ascii="仿宋_GB2312" w:hAnsi="仿宋_GB2312" w:eastAsia="仿宋_GB2312" w:cs="仿宋_GB2312"/>
          <w:sz w:val="32"/>
          <w:szCs w:val="32"/>
        </w:rPr>
        <w:instrText xml:space="preserve"> </w:instrText>
      </w:r>
      <w:r>
        <w:rPr>
          <w:rFonts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②</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项目内容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继续使用乙肝疫苗、卡介苗、口服Ⅰ型Ⅲ型脊髓灰质炎减毒活疫苗（以下简称二价脊灰疫苗）、脊灰灭活疫苗、百白破疫苗、白破疫苗、麻风疫苗、麻腮风疫苗、甲肝减毒活疫苗（以下简称甲肝疫苗）、A群脑膜炎球菌多糖疫苗（以下简称A群流脑疫苗）、A+C群脑膜炎球菌多糖疫苗（以下简称A+C群流脑疫苗）、乙型脑炎减毒活疫苗（以下简称乙脑疫苗）对适龄儿童实行预防接种。</w:t>
      </w:r>
    </w:p>
    <w:p>
      <w:pPr>
        <w:spacing w:line="560" w:lineRule="exact"/>
        <w:ind w:firstLine="640" w:firstLineChars="200"/>
        <w:rPr>
          <w:rFonts w:ascii="仿宋_GB2312" w:eastAsia="仿宋_GB2312"/>
          <w:sz w:val="32"/>
          <w:szCs w:val="32"/>
        </w:rPr>
      </w:pPr>
      <w:r>
        <w:rPr>
          <w:rFonts w:ascii="仿宋_GB2312" w:eastAsia="仿宋_GB2312"/>
          <w:sz w:val="32"/>
          <w:szCs w:val="32"/>
        </w:rPr>
        <w:fldChar w:fldCharType="begin"/>
      </w:r>
      <w:r>
        <w:rPr>
          <w:rFonts w:ascii="仿宋_GB2312" w:eastAsia="仿宋_GB2312"/>
          <w:sz w:val="32"/>
          <w:szCs w:val="32"/>
        </w:rPr>
        <w:instrText xml:space="preserve"> </w:instrText>
      </w:r>
      <w:r>
        <w:rPr>
          <w:rFonts w:hint="eastAsia" w:ascii="仿宋_GB2312" w:eastAsia="仿宋_GB2312"/>
          <w:sz w:val="32"/>
          <w:szCs w:val="32"/>
        </w:rPr>
        <w:instrText xml:space="preserve">= 3 \* GB3</w:instrText>
      </w:r>
      <w:r>
        <w:rPr>
          <w:rFonts w:ascii="仿宋_GB2312" w:eastAsia="仿宋_GB2312"/>
          <w:sz w:val="32"/>
          <w:szCs w:val="32"/>
        </w:rPr>
        <w:instrText xml:space="preserve"> </w:instrText>
      </w:r>
      <w:r>
        <w:rPr>
          <w:rFonts w:ascii="仿宋_GB2312" w:eastAsia="仿宋_GB2312"/>
          <w:sz w:val="32"/>
          <w:szCs w:val="32"/>
        </w:rPr>
        <w:fldChar w:fldCharType="separate"/>
      </w:r>
      <w:r>
        <w:rPr>
          <w:rFonts w:hint="eastAsia" w:ascii="仿宋_GB2312" w:eastAsia="仿宋_GB2312"/>
          <w:sz w:val="32"/>
          <w:szCs w:val="32"/>
        </w:rPr>
        <w:t>③</w:t>
      </w:r>
      <w:r>
        <w:rPr>
          <w:rFonts w:ascii="仿宋_GB2312" w:eastAsia="仿宋_GB2312"/>
          <w:sz w:val="32"/>
          <w:szCs w:val="32"/>
        </w:rPr>
        <w:fldChar w:fldCharType="end"/>
      </w:r>
      <w:r>
        <w:rPr>
          <w:rFonts w:hint="eastAsia" w:ascii="仿宋_GB2312" w:hAnsi="仿宋_GB2312" w:eastAsia="仿宋_GB2312" w:cs="仿宋_GB2312"/>
          <w:sz w:val="32"/>
          <w:szCs w:val="32"/>
        </w:rPr>
        <w:t>项目目标</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提高并保持乙肝疫苗、卡介苗、Ⅰ型Ⅲ型脊髓灰质炎减毒活疫苗、脊灰灭活疫苗、百白破疫苗、白破疫苗、麻风疫苗、麻腮风疫苗、无细胞百白破疫苗、流脑疫苗、乙脑疫苗、甲肝疫苗国家免疫规划疫苗高水平的接种率；适龄儿童接种率以乡为单位达到90％以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1)结合全新区近年开展脊灰疫苗补充免疫活动、常规免疫接种等工作情况，开展针对适龄儿童二价脊灰疫苗的查漏补种活动。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2)根据麻疹疫情在全新区开展针对适龄儿童麻风疫苗的查漏补种工作；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3)做好免疫规划各相关传染病防控等免疫规划常规工作。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4)做好免疫规划疫苗针对传染病麻疹/风疹传染病实验室检测工作。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5)做好冷链设备维护，保证免疫规划工作正常开展。</w:t>
      </w:r>
    </w:p>
    <w:p>
      <w:pPr>
        <w:spacing w:line="560" w:lineRule="exact"/>
        <w:ind w:left="640"/>
        <w:rPr>
          <w:rFonts w:ascii="楷体" w:hAnsi="楷体" w:eastAsia="楷体"/>
          <w:sz w:val="32"/>
          <w:szCs w:val="32"/>
        </w:rPr>
      </w:pPr>
      <w:r>
        <w:rPr>
          <w:rFonts w:ascii="楷体" w:hAnsi="楷体" w:eastAsia="楷体"/>
          <w:sz w:val="32"/>
          <w:szCs w:val="32"/>
        </w:rPr>
        <w:fldChar w:fldCharType="begin"/>
      </w:r>
      <w:r>
        <w:rPr>
          <w:rFonts w:ascii="楷体" w:hAnsi="楷体" w:eastAsia="楷体"/>
          <w:sz w:val="32"/>
          <w:szCs w:val="32"/>
        </w:rPr>
        <w:instrText xml:space="preserve"> </w:instrText>
      </w:r>
      <w:r>
        <w:rPr>
          <w:rFonts w:hint="eastAsia" w:ascii="楷体" w:hAnsi="楷体" w:eastAsia="楷体"/>
          <w:sz w:val="32"/>
          <w:szCs w:val="32"/>
        </w:rPr>
        <w:instrText xml:space="preserve">= 1 \* GB3</w:instrText>
      </w:r>
      <w:r>
        <w:rPr>
          <w:rFonts w:ascii="楷体" w:hAnsi="楷体" w:eastAsia="楷体"/>
          <w:sz w:val="32"/>
          <w:szCs w:val="32"/>
        </w:rPr>
        <w:instrText xml:space="preserve"> </w:instrText>
      </w:r>
      <w:r>
        <w:rPr>
          <w:rFonts w:ascii="楷体" w:hAnsi="楷体" w:eastAsia="楷体"/>
          <w:sz w:val="32"/>
          <w:szCs w:val="32"/>
        </w:rPr>
        <w:fldChar w:fldCharType="separate"/>
      </w:r>
      <w:r>
        <w:rPr>
          <w:rFonts w:hint="eastAsia" w:ascii="楷体" w:hAnsi="楷体" w:eastAsia="楷体"/>
          <w:sz w:val="32"/>
          <w:szCs w:val="32"/>
        </w:rPr>
        <w:t>①</w:t>
      </w:r>
      <w:r>
        <w:rPr>
          <w:rFonts w:ascii="楷体" w:hAnsi="楷体" w:eastAsia="楷体"/>
          <w:sz w:val="32"/>
          <w:szCs w:val="32"/>
        </w:rPr>
        <w:fldChar w:fldCharType="end"/>
      </w:r>
      <w:r>
        <w:rPr>
          <w:rFonts w:hint="eastAsia" w:ascii="楷体" w:hAnsi="楷体" w:eastAsia="楷体"/>
          <w:sz w:val="32"/>
          <w:szCs w:val="32"/>
        </w:rPr>
        <w:t>项目预算情况。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项目年初预算51万元。</w:t>
      </w:r>
    </w:p>
    <w:p>
      <w:pPr>
        <w:widowControl/>
        <w:kinsoku w:val="0"/>
        <w:autoSpaceDE w:val="0"/>
        <w:autoSpaceDN w:val="0"/>
        <w:adjustRightInd w:val="0"/>
        <w:snapToGrid w:val="0"/>
        <w:spacing w:line="560" w:lineRule="exact"/>
        <w:ind w:firstLine="643" w:firstLineChars="200"/>
        <w:textAlignment w:val="baseline"/>
        <w:rPr>
          <w:rFonts w:ascii="仿宋_GB2312" w:hAnsi="黑体" w:eastAsia="仿宋_GB2312" w:cs="黑体"/>
          <w:b/>
          <w:bCs/>
          <w:sz w:val="32"/>
          <w:szCs w:val="32"/>
        </w:rPr>
      </w:pPr>
      <w:r>
        <w:rPr>
          <w:rFonts w:hint="eastAsia" w:ascii="仿宋_GB2312" w:hAnsi="黑体" w:eastAsia="仿宋_GB2312" w:cs="黑体"/>
          <w:b/>
          <w:bCs/>
          <w:sz w:val="32"/>
          <w:szCs w:val="32"/>
        </w:rPr>
        <w:t>2.监控结论及分析</w:t>
      </w:r>
    </w:p>
    <w:p>
      <w:pPr>
        <w:spacing w:line="560" w:lineRule="exact"/>
        <w:ind w:firstLine="640" w:firstLineChars="200"/>
        <w:rPr>
          <w:rFonts w:ascii="黑体" w:hAnsi="黑体" w:eastAsia="黑体"/>
          <w:sz w:val="32"/>
          <w:szCs w:val="32"/>
        </w:rPr>
      </w:pPr>
      <w:r>
        <w:rPr>
          <w:rFonts w:ascii="仿宋_GB2312" w:hAnsi="仿宋_GB2312" w:eastAsia="仿宋_GB2312" w:cs="仿宋_GB2312"/>
          <w:sz w:val="32"/>
          <w:szCs w:val="32"/>
          <w:highlight w:val="none"/>
        </w:rPr>
        <w:fldChar w:fldCharType="begin"/>
      </w:r>
      <w:r>
        <w:rPr>
          <w:rFonts w:ascii="仿宋_GB2312" w:hAnsi="仿宋_GB2312" w:eastAsia="仿宋_GB2312" w:cs="仿宋_GB2312"/>
          <w:sz w:val="32"/>
          <w:szCs w:val="32"/>
          <w:highlight w:val="none"/>
        </w:rPr>
        <w:instrText xml:space="preserve"> </w:instrText>
      </w:r>
      <w:r>
        <w:rPr>
          <w:rFonts w:hint="eastAsia" w:ascii="仿宋_GB2312" w:hAnsi="仿宋_GB2312" w:eastAsia="仿宋_GB2312" w:cs="仿宋_GB2312"/>
          <w:sz w:val="32"/>
          <w:szCs w:val="32"/>
          <w:highlight w:val="none"/>
        </w:rPr>
        <w:instrText xml:space="preserve">= 1 \* GB3</w:instrText>
      </w:r>
      <w:r>
        <w:rPr>
          <w:rFonts w:ascii="仿宋_GB2312" w:hAnsi="仿宋_GB2312" w:eastAsia="仿宋_GB2312" w:cs="仿宋_GB2312"/>
          <w:sz w:val="32"/>
          <w:szCs w:val="32"/>
          <w:highlight w:val="none"/>
        </w:rPr>
        <w:instrText xml:space="preserve"> </w:instrText>
      </w:r>
      <w:r>
        <w:rPr>
          <w:rFonts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①</w:t>
      </w:r>
      <w:r>
        <w:rPr>
          <w:rFonts w:ascii="仿宋_GB2312" w:hAnsi="仿宋_GB2312" w:eastAsia="仿宋_GB2312" w:cs="仿宋_GB2312"/>
          <w:sz w:val="32"/>
          <w:szCs w:val="32"/>
          <w:highlight w:val="none"/>
        </w:rPr>
        <w:fldChar w:fldCharType="end"/>
      </w:r>
      <w:r>
        <w:rPr>
          <w:rFonts w:hint="eastAsia" w:ascii="仿宋_GB2312" w:hAnsi="仿宋_GB2312" w:eastAsia="仿宋_GB2312" w:cs="仿宋_GB2312"/>
          <w:sz w:val="32"/>
          <w:szCs w:val="32"/>
        </w:rPr>
        <w:t>项目管理情况</w:t>
      </w:r>
    </w:p>
    <w:p>
      <w:pPr>
        <w:spacing w:line="56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为继续落实扩大国家免疫规划任务，降低疫苗可预防传染病的发病率，根据《关于印发兰州新区进一步加快推进预防接种规范化管理实施方案的通知》（新卫发〔2019〕285号）《甘肃省人民政府办公厅关于进一步加强疫苗流通和预防接种管理工作的实施意见》（甘政办发〔2017〕111号），《关于印发2021年中央补助地方扩大国家免疫规划等12个公共卫生项目补充项目实施方案的通知》（甘卫疾控函〔2021〕489号），《甘肃省财政厅甘肃省卫生健康委员会关于提前下达2021年中央转移支付重大传染病防控经费预算的通知》甘财社〔2020]136号文件，《甘肃省财政厅、甘肃省卫健委关于提前下达2022年中央转移支付重大传染病防控经费预算的通知》（甘财社﹝2021﹞127号），《甘肃省卫健康委关于印发2022年中央补助地方扩大国家免疫规划等16个重大传染病防控项目实施方案的通知》（甘卫疾控函〔2022〕45号），《关于提前》兰州新区财政局（国有资产监督管理局） 兰新财发〔2022〕24号 《关于批复2022年部门预算的通知》，施实新区免疫规划，组织和指导预防接种的实施，负责免疫规划疫苗及冷链系统的管理维护运行。</w:t>
      </w:r>
    </w:p>
    <w:p>
      <w:pPr>
        <w:spacing w:line="560" w:lineRule="exact"/>
        <w:ind w:firstLine="640"/>
        <w:jc w:val="left"/>
        <w:rPr>
          <w:rFonts w:ascii="仿宋_GB2312" w:hAnsi="仿宋_GB2312" w:eastAsia="仿宋_GB2312" w:cs="仿宋_GB2312"/>
          <w:sz w:val="32"/>
          <w:szCs w:val="32"/>
        </w:rPr>
      </w:pPr>
      <w:r>
        <w:rPr>
          <w:rFonts w:ascii="仿宋_GB2312" w:hAnsi="仿宋_GB2312" w:eastAsia="仿宋_GB2312" w:cs="仿宋_GB2312"/>
          <w:sz w:val="32"/>
          <w:szCs w:val="32"/>
          <w:highlight w:val="none"/>
        </w:rPr>
        <w:fldChar w:fldCharType="begin"/>
      </w:r>
      <w:r>
        <w:rPr>
          <w:rFonts w:ascii="仿宋_GB2312" w:hAnsi="仿宋_GB2312" w:eastAsia="仿宋_GB2312" w:cs="仿宋_GB2312"/>
          <w:sz w:val="32"/>
          <w:szCs w:val="32"/>
          <w:highlight w:val="none"/>
        </w:rPr>
        <w:instrText xml:space="preserve"> </w:instrText>
      </w:r>
      <w:r>
        <w:rPr>
          <w:rFonts w:hint="eastAsia" w:ascii="仿宋_GB2312" w:hAnsi="仿宋_GB2312" w:eastAsia="仿宋_GB2312" w:cs="仿宋_GB2312"/>
          <w:sz w:val="32"/>
          <w:szCs w:val="32"/>
          <w:highlight w:val="none"/>
        </w:rPr>
        <w:instrText xml:space="preserve">= 2 \* GB3</w:instrText>
      </w:r>
      <w:r>
        <w:rPr>
          <w:rFonts w:ascii="仿宋_GB2312" w:hAnsi="仿宋_GB2312" w:eastAsia="仿宋_GB2312" w:cs="仿宋_GB2312"/>
          <w:sz w:val="32"/>
          <w:szCs w:val="32"/>
          <w:highlight w:val="none"/>
        </w:rPr>
        <w:instrText xml:space="preserve"> </w:instrText>
      </w:r>
      <w:r>
        <w:rPr>
          <w:rFonts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②</w:t>
      </w:r>
      <w:r>
        <w:rPr>
          <w:rFonts w:ascii="仿宋_GB2312" w:hAnsi="仿宋_GB2312" w:eastAsia="仿宋_GB2312" w:cs="仿宋_GB2312"/>
          <w:sz w:val="32"/>
          <w:szCs w:val="32"/>
          <w:highlight w:val="none"/>
        </w:rPr>
        <w:fldChar w:fldCharType="end"/>
      </w:r>
      <w:r>
        <w:rPr>
          <w:rFonts w:hint="eastAsia" w:ascii="仿宋_GB2312" w:hAnsi="仿宋_GB2312" w:eastAsia="仿宋_GB2312" w:cs="仿宋_GB2312"/>
          <w:sz w:val="32"/>
          <w:szCs w:val="32"/>
        </w:rPr>
        <w:t>预算执行情况</w:t>
      </w:r>
    </w:p>
    <w:p>
      <w:pPr>
        <w:spacing w:line="560" w:lineRule="exact"/>
        <w:ind w:firstLine="640" w:firstLineChars="200"/>
        <w:jc w:val="left"/>
        <w:rPr>
          <w:rFonts w:ascii="仿宋_GB2312" w:hAnsi="宋体"/>
          <w:sz w:val="32"/>
          <w:szCs w:val="32"/>
        </w:rPr>
      </w:pPr>
      <w:r>
        <w:rPr>
          <w:rFonts w:hint="eastAsia" w:ascii="仿宋_GB2312" w:hAnsi="仿宋_GB2312" w:eastAsia="仿宋_GB2312" w:cs="仿宋_GB2312"/>
          <w:sz w:val="32"/>
          <w:szCs w:val="32"/>
        </w:rPr>
        <w:t>项目年初预算51万元，上半年支出冷链车司机劳务派遣工资及冷链设备维护共67894元，执行率13.31%。资金支付缓慢主要原因是：本年经费支付账面显示较为缓慢，主要原因：是大部分项目经费优先从中转项目经费支取，不足部分从新区资金支取。</w:t>
      </w:r>
    </w:p>
    <w:p>
      <w:pPr>
        <w:spacing w:line="560" w:lineRule="exact"/>
        <w:ind w:firstLine="640" w:firstLineChars="200"/>
        <w:jc w:val="left"/>
        <w:rPr>
          <w:rFonts w:ascii="仿宋_GB2312" w:hAnsi="宋体"/>
          <w:sz w:val="32"/>
          <w:szCs w:val="32"/>
        </w:rPr>
      </w:pPr>
      <w:r>
        <w:rPr>
          <w:rFonts w:ascii="仿宋_GB2312" w:hAnsi="仿宋_GB2312" w:eastAsia="仿宋_GB2312" w:cs="仿宋_GB2312"/>
          <w:sz w:val="32"/>
          <w:szCs w:val="32"/>
          <w:highlight w:val="none"/>
        </w:rPr>
        <w:fldChar w:fldCharType="begin"/>
      </w:r>
      <w:r>
        <w:rPr>
          <w:rFonts w:ascii="仿宋_GB2312" w:hAnsi="仿宋_GB2312" w:eastAsia="仿宋_GB2312" w:cs="仿宋_GB2312"/>
          <w:sz w:val="32"/>
          <w:szCs w:val="32"/>
          <w:highlight w:val="none"/>
        </w:rPr>
        <w:instrText xml:space="preserve"> </w:instrText>
      </w:r>
      <w:r>
        <w:rPr>
          <w:rFonts w:hint="eastAsia" w:ascii="仿宋_GB2312" w:hAnsi="仿宋_GB2312" w:eastAsia="仿宋_GB2312" w:cs="仿宋_GB2312"/>
          <w:sz w:val="32"/>
          <w:szCs w:val="32"/>
          <w:highlight w:val="none"/>
        </w:rPr>
        <w:instrText xml:space="preserve">= 3 \* GB3</w:instrText>
      </w:r>
      <w:r>
        <w:rPr>
          <w:rFonts w:ascii="仿宋_GB2312" w:hAnsi="仿宋_GB2312" w:eastAsia="仿宋_GB2312" w:cs="仿宋_GB2312"/>
          <w:sz w:val="32"/>
          <w:szCs w:val="32"/>
          <w:highlight w:val="none"/>
        </w:rPr>
        <w:instrText xml:space="preserve"> </w:instrText>
      </w:r>
      <w:r>
        <w:rPr>
          <w:rFonts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③</w:t>
      </w:r>
      <w:r>
        <w:rPr>
          <w:rFonts w:ascii="仿宋_GB2312" w:hAnsi="仿宋_GB2312" w:eastAsia="仿宋_GB2312" w:cs="仿宋_GB2312"/>
          <w:sz w:val="32"/>
          <w:szCs w:val="32"/>
          <w:highlight w:val="none"/>
        </w:rPr>
        <w:fldChar w:fldCharType="end"/>
      </w:r>
      <w:r>
        <w:rPr>
          <w:rFonts w:hint="eastAsia" w:ascii="楷体_GB2312" w:eastAsia="楷体_GB2312"/>
          <w:sz w:val="32"/>
          <w:szCs w:val="32"/>
        </w:rPr>
        <w:t>绩</w:t>
      </w:r>
      <w:r>
        <w:rPr>
          <w:rFonts w:hint="eastAsia" w:ascii="仿宋_GB2312" w:hAnsi="仿宋_GB2312" w:eastAsia="仿宋_GB2312" w:cs="仿宋_GB2312"/>
          <w:sz w:val="32"/>
          <w:szCs w:val="32"/>
        </w:rPr>
        <w:t>效目标完成情况</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项目目标无调整。</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止12月31日，已完成乙肝疫苗、卡介苗、Ⅰ型Ⅲ型脊髓灰质炎减毒活疫苗、脊灰灭活疫苗、白破疫苗、麻风疫苗、麻腮风疫苗、无细胞百白破疫苗、流脑疫苗、乙脑疫苗、甲肝疫苗国家免疫规划疫苗高水平的接种率90%，但由于受到新冠疫情及新冠疫苗接种工作影响，常规免疫规划工作接种率有所下降，免疫规划乙肝第三针、麻腮风第二针、A群流脑疫苗、A+C群流脑多糖疫苗第一针、百白破疫苗第三针接种率有所下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5-6月完成了新区重点人群麻腮风疫苗加强免疫接种工作。根据省疾控要求拟计划9月对新区初一新生进行麻腮加强免疫接种工作，下半年由于新冠疫情影响麻腮风加强免疫接种工作未能开展，过期麻腮风疫苗已完成汇总并退回省疾控中心免疫规划科。培训和督导未达标原因分析：由于疫情影响，一再推迟。后采取措施：疫情缓解后，通过线上培训等方式加快推进培训进度。下半年疫情原因影响督导工作开展频次。</w:t>
      </w:r>
    </w:p>
    <w:p>
      <w:pPr>
        <w:widowControl/>
        <w:kinsoku w:val="0"/>
        <w:autoSpaceDE w:val="0"/>
        <w:autoSpaceDN w:val="0"/>
        <w:adjustRightInd w:val="0"/>
        <w:snapToGrid w:val="0"/>
        <w:spacing w:line="560" w:lineRule="exact"/>
        <w:ind w:firstLine="643" w:firstLineChars="200"/>
        <w:textAlignment w:val="baseline"/>
        <w:rPr>
          <w:rFonts w:ascii="仿宋_GB2312" w:hAnsi="黑体" w:eastAsia="仿宋_GB2312" w:cs="黑体"/>
          <w:b/>
          <w:bCs/>
          <w:sz w:val="32"/>
          <w:szCs w:val="32"/>
        </w:rPr>
      </w:pPr>
      <w:r>
        <w:rPr>
          <w:rFonts w:hint="eastAsia" w:ascii="仿宋_GB2312" w:hAnsi="黑体" w:eastAsia="仿宋_GB2312" w:cs="黑体"/>
          <w:b/>
          <w:bCs/>
          <w:sz w:val="32"/>
          <w:szCs w:val="32"/>
        </w:rPr>
        <w:t>3.存在问题</w:t>
      </w:r>
    </w:p>
    <w:p>
      <w:pPr>
        <w:spacing w:line="560" w:lineRule="exact"/>
        <w:ind w:left="400" w:firstLine="320" w:firstLineChars="100"/>
        <w:rPr>
          <w:rFonts w:ascii="楷体_GB2312" w:eastAsia="楷体_GB2312"/>
          <w:sz w:val="32"/>
          <w:szCs w:val="32"/>
        </w:rPr>
      </w:pPr>
      <w:r>
        <w:rPr>
          <w:rFonts w:ascii="楷体_GB2312" w:eastAsia="楷体_GB2312"/>
          <w:sz w:val="32"/>
          <w:szCs w:val="32"/>
          <w:highlight w:val="none"/>
        </w:rPr>
        <w:fldChar w:fldCharType="begin"/>
      </w:r>
      <w:r>
        <w:rPr>
          <w:rFonts w:ascii="楷体_GB2312" w:eastAsia="楷体_GB2312"/>
          <w:sz w:val="32"/>
          <w:szCs w:val="32"/>
          <w:highlight w:val="none"/>
        </w:rPr>
        <w:instrText xml:space="preserve"> </w:instrText>
      </w:r>
      <w:r>
        <w:rPr>
          <w:rFonts w:hint="eastAsia" w:ascii="楷体_GB2312" w:eastAsia="楷体_GB2312"/>
          <w:sz w:val="32"/>
          <w:szCs w:val="32"/>
          <w:highlight w:val="none"/>
        </w:rPr>
        <w:instrText xml:space="preserve">= 1 \* GB3</w:instrText>
      </w:r>
      <w:r>
        <w:rPr>
          <w:rFonts w:ascii="楷体_GB2312" w:eastAsia="楷体_GB2312"/>
          <w:sz w:val="32"/>
          <w:szCs w:val="32"/>
          <w:highlight w:val="none"/>
        </w:rPr>
        <w:instrText xml:space="preserve"> </w:instrText>
      </w:r>
      <w:r>
        <w:rPr>
          <w:rFonts w:ascii="楷体_GB2312" w:eastAsia="楷体_GB2312"/>
          <w:sz w:val="32"/>
          <w:szCs w:val="32"/>
          <w:highlight w:val="none"/>
        </w:rPr>
        <w:fldChar w:fldCharType="separate"/>
      </w:r>
      <w:r>
        <w:rPr>
          <w:rFonts w:hint="eastAsia" w:ascii="楷体_GB2312" w:eastAsia="楷体_GB2312"/>
          <w:sz w:val="32"/>
          <w:szCs w:val="32"/>
          <w:highlight w:val="none"/>
        </w:rPr>
        <w:t>①</w:t>
      </w:r>
      <w:r>
        <w:rPr>
          <w:rFonts w:ascii="楷体_GB2312" w:eastAsia="楷体_GB2312"/>
          <w:sz w:val="32"/>
          <w:szCs w:val="32"/>
          <w:highlight w:val="none"/>
        </w:rPr>
        <w:fldChar w:fldCharType="end"/>
      </w:r>
      <w:r>
        <w:rPr>
          <w:rFonts w:hint="eastAsia" w:ascii="楷体_GB2312" w:eastAsia="楷体_GB2312"/>
          <w:sz w:val="32"/>
          <w:szCs w:val="32"/>
        </w:rPr>
        <w:t>绩效目标执行出现的偏差。</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项目执行有所滞后。</w:t>
      </w:r>
    </w:p>
    <w:p>
      <w:pPr>
        <w:spacing w:line="560" w:lineRule="exact"/>
        <w:ind w:left="400" w:firstLine="320" w:firstLineChars="100"/>
        <w:rPr>
          <w:rFonts w:ascii="楷体_GB2312" w:eastAsia="楷体_GB2312"/>
          <w:sz w:val="32"/>
          <w:szCs w:val="32"/>
        </w:rPr>
      </w:pPr>
      <w:r>
        <w:rPr>
          <w:rFonts w:ascii="楷体_GB2312" w:eastAsia="楷体_GB2312"/>
          <w:sz w:val="32"/>
          <w:szCs w:val="32"/>
          <w:highlight w:val="none"/>
        </w:rPr>
        <w:fldChar w:fldCharType="begin"/>
      </w:r>
      <w:r>
        <w:rPr>
          <w:rFonts w:ascii="楷体_GB2312" w:eastAsia="楷体_GB2312"/>
          <w:sz w:val="32"/>
          <w:szCs w:val="32"/>
          <w:highlight w:val="none"/>
        </w:rPr>
        <w:instrText xml:space="preserve"> </w:instrText>
      </w:r>
      <w:r>
        <w:rPr>
          <w:rFonts w:hint="eastAsia" w:ascii="楷体_GB2312" w:eastAsia="楷体_GB2312"/>
          <w:sz w:val="32"/>
          <w:szCs w:val="32"/>
          <w:highlight w:val="none"/>
        </w:rPr>
        <w:instrText xml:space="preserve">= 2 \* GB3</w:instrText>
      </w:r>
      <w:r>
        <w:rPr>
          <w:rFonts w:ascii="楷体_GB2312" w:eastAsia="楷体_GB2312"/>
          <w:sz w:val="32"/>
          <w:szCs w:val="32"/>
          <w:highlight w:val="none"/>
        </w:rPr>
        <w:instrText xml:space="preserve"> </w:instrText>
      </w:r>
      <w:r>
        <w:rPr>
          <w:rFonts w:ascii="楷体_GB2312" w:eastAsia="楷体_GB2312"/>
          <w:sz w:val="32"/>
          <w:szCs w:val="32"/>
          <w:highlight w:val="none"/>
        </w:rPr>
        <w:fldChar w:fldCharType="separate"/>
      </w:r>
      <w:r>
        <w:rPr>
          <w:rFonts w:hint="eastAsia" w:ascii="楷体_GB2312" w:eastAsia="楷体_GB2312"/>
          <w:sz w:val="32"/>
          <w:szCs w:val="32"/>
          <w:highlight w:val="none"/>
        </w:rPr>
        <w:t>②</w:t>
      </w:r>
      <w:r>
        <w:rPr>
          <w:rFonts w:ascii="楷体_GB2312" w:eastAsia="楷体_GB2312"/>
          <w:sz w:val="32"/>
          <w:szCs w:val="32"/>
          <w:highlight w:val="none"/>
        </w:rPr>
        <w:fldChar w:fldCharType="end"/>
      </w:r>
      <w:r>
        <w:rPr>
          <w:rFonts w:hint="eastAsia" w:ascii="楷体_GB2312" w:eastAsia="楷体_GB2312"/>
          <w:sz w:val="32"/>
          <w:szCs w:val="32"/>
        </w:rPr>
        <w:t>项目实施存在的问题。</w:t>
      </w:r>
    </w:p>
    <w:p>
      <w:pPr>
        <w:spacing w:line="560" w:lineRule="exact"/>
        <w:ind w:firstLine="640" w:firstLineChars="200"/>
        <w:rPr>
          <w:rFonts w:ascii="仿宋_GB2312" w:hAnsi="仿宋_GB2312" w:eastAsia="仿宋_GB2312" w:cs="仿宋_GB2312"/>
          <w:sz w:val="32"/>
          <w:szCs w:val="32"/>
        </w:rPr>
      </w:pPr>
      <w:r>
        <w:rPr>
          <w:rFonts w:hint="eastAsia" w:ascii="仿宋_GB2312" w:hAnsi="宋体"/>
          <w:sz w:val="32"/>
          <w:szCs w:val="32"/>
        </w:rPr>
        <w:t>1)</w:t>
      </w:r>
      <w:r>
        <w:rPr>
          <w:rFonts w:hint="eastAsia" w:ascii="仿宋_GB2312" w:hAnsi="仿宋_GB2312" w:eastAsia="仿宋_GB2312" w:cs="仿宋_GB2312"/>
          <w:sz w:val="32"/>
          <w:szCs w:val="32"/>
        </w:rPr>
        <w:t xml:space="preserve">本年度经费支付账面显示较为缓慢，主要原因：是大部分项目经费优先从中转项目经费支取，不足部分从新区资金支取; </w:t>
      </w:r>
    </w:p>
    <w:p>
      <w:pPr>
        <w:spacing w:line="560" w:lineRule="exact"/>
        <w:ind w:firstLine="640" w:firstLineChars="200"/>
        <w:rPr>
          <w:rFonts w:ascii="仿宋_GB2312"/>
          <w:sz w:val="32"/>
          <w:szCs w:val="32"/>
        </w:rPr>
      </w:pPr>
      <w:r>
        <w:rPr>
          <w:rFonts w:hint="eastAsia" w:ascii="仿宋_GB2312" w:hAnsi="宋体"/>
          <w:sz w:val="32"/>
          <w:szCs w:val="32"/>
        </w:rPr>
        <w:t>2)</w:t>
      </w:r>
      <w:r>
        <w:rPr>
          <w:rFonts w:hint="eastAsia" w:ascii="仿宋_GB2312" w:hAnsi="仿宋_GB2312" w:eastAsia="仿宋_GB2312" w:cs="仿宋_GB2312"/>
          <w:sz w:val="32"/>
          <w:szCs w:val="32"/>
        </w:rPr>
        <w:t>由于新冠疫情影响，一再推迟人员培训、工作督导、法规汇编资料使用等工作。</w:t>
      </w:r>
    </w:p>
    <w:p>
      <w:pPr>
        <w:pStyle w:val="6"/>
        <w:widowControl/>
        <w:spacing w:line="560" w:lineRule="exact"/>
        <w:ind w:firstLine="640" w:firstLineChars="200"/>
        <w:jc w:val="both"/>
        <w:rPr>
          <w:rFonts w:ascii="楷体_GB2312" w:hAnsi="楷体" w:eastAsia="楷体_GB2312" w:cs="楷体"/>
          <w:sz w:val="32"/>
          <w:szCs w:val="32"/>
        </w:rPr>
      </w:pPr>
      <w:r>
        <w:rPr>
          <w:rFonts w:hint="eastAsia" w:ascii="楷体_GB2312" w:hAnsi="楷体" w:eastAsia="楷体_GB2312" w:cs="楷体"/>
          <w:sz w:val="32"/>
          <w:szCs w:val="32"/>
        </w:rPr>
        <w:t>（五）核酸实验室检测配套经费</w:t>
      </w:r>
    </w:p>
    <w:p>
      <w:pPr>
        <w:widowControl/>
        <w:kinsoku w:val="0"/>
        <w:autoSpaceDE w:val="0"/>
        <w:autoSpaceDN w:val="0"/>
        <w:adjustRightInd w:val="0"/>
        <w:snapToGrid w:val="0"/>
        <w:spacing w:line="560" w:lineRule="exact"/>
        <w:ind w:firstLine="643" w:firstLineChars="200"/>
        <w:textAlignment w:val="baseline"/>
        <w:rPr>
          <w:rFonts w:hint="eastAsia" w:ascii="仿宋_GB2312" w:hAnsi="黑体" w:eastAsia="仿宋_GB2312" w:cs="黑体"/>
          <w:b/>
          <w:bCs/>
          <w:sz w:val="32"/>
          <w:szCs w:val="32"/>
        </w:rPr>
      </w:pPr>
      <w:r>
        <w:rPr>
          <w:rFonts w:hint="eastAsia" w:ascii="仿宋_GB2312" w:hAnsi="黑体" w:eastAsia="仿宋_GB2312" w:cs="黑体"/>
          <w:b/>
          <w:bCs/>
          <w:sz w:val="32"/>
          <w:szCs w:val="32"/>
        </w:rPr>
        <w:t>1.项目基本情况</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(1)项目背景</w:t>
      </w:r>
    </w:p>
    <w:p>
      <w:pPr>
        <w:spacing w:line="560" w:lineRule="exact"/>
        <w:ind w:firstLine="640" w:firstLineChars="200"/>
        <w:rPr>
          <w:rFonts w:ascii="楷体_GB2312" w:eastAsia="楷体_GB2312"/>
          <w:sz w:val="32"/>
          <w:szCs w:val="32"/>
        </w:rPr>
      </w:pPr>
      <w:r>
        <w:rPr>
          <w:rFonts w:hint="eastAsia" w:ascii="仿宋_GB2312" w:hAnsi="仿宋" w:eastAsia="仿宋_GB2312"/>
          <w:sz w:val="32"/>
          <w:szCs w:val="32"/>
        </w:rPr>
        <w:t>落实习近平总书记“以人民为中心”重要指示精神和国家“预防为主”的卫生健康工作方针，完成国家、甘肃省下达的重大疾病预防控制的指令性任务，实施疾病预防控制规划方案，组织开展本地传染性疾病处置等各项工作。</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（2）项目内容</w:t>
      </w:r>
    </w:p>
    <w:p>
      <w:pPr>
        <w:spacing w:line="560" w:lineRule="exact"/>
        <w:ind w:firstLine="640" w:firstLineChars="200"/>
        <w:rPr>
          <w:rFonts w:ascii="楷体_GB2312" w:eastAsia="楷体_GB2312"/>
          <w:sz w:val="32"/>
          <w:szCs w:val="32"/>
        </w:rPr>
      </w:pPr>
      <w:r>
        <w:rPr>
          <w:rFonts w:hint="eastAsia" w:ascii="仿宋_GB2312" w:hAnsi="仿宋" w:eastAsia="仿宋_GB2312"/>
          <w:sz w:val="32"/>
          <w:szCs w:val="32"/>
        </w:rPr>
        <w:t>根据《关于做好新冠肺炎疫情常态化防控工作的指导意见》（国发明电〔2020〕14号）、《关于加快推进新冠病毒核酸检测的实施意见》（联防联控机制综发〔2020〕181号）、《关于进一步推进新冠病毒核酸检测能力建设实施方案的通知》（甘疫防办明电发〔2020〕115号）、《关于全力做好当前新冠肺炎疫情防控工作的紧急通知》（甘疫防办密电〔2021〕28）和新区卫生健康委员会和省疾控中心下达的各项工作任务。</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（3）绩效目标</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通过项目实施各项疾病预防控制工作稳步推进，及时处置传染病等突发公共卫生事件，确保传染病报告等系统的有效运行，充分发挥网络直报作用，规范医疗卫生机构传染病信息报告管理工作，强化“三公（工）流调”机制，及时应对突发公共卫生事件及重大传染病防控工作。提升非传染性疾病、学校卫生、职业卫生、环境卫生监测的能力水平。常见突发疫情宣传到位、防控得力、处置有序。及时处置突发公共卫生事件发生，有效控制疫情大范围爆发，保障新区经济社会高质量发展人民健康。</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（4）项目预算情况</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项目经费年初预算500万，全年1000万。</w:t>
      </w:r>
    </w:p>
    <w:p>
      <w:pPr>
        <w:widowControl/>
        <w:kinsoku w:val="0"/>
        <w:autoSpaceDE w:val="0"/>
        <w:autoSpaceDN w:val="0"/>
        <w:adjustRightInd w:val="0"/>
        <w:snapToGrid w:val="0"/>
        <w:spacing w:line="560" w:lineRule="exact"/>
        <w:ind w:firstLine="643" w:firstLineChars="200"/>
        <w:textAlignment w:val="baseline"/>
        <w:rPr>
          <w:rFonts w:hint="eastAsia" w:ascii="仿宋_GB2312" w:hAnsi="黑体" w:eastAsia="仿宋_GB2312" w:cs="黑体"/>
          <w:b/>
          <w:bCs/>
          <w:sz w:val="32"/>
          <w:szCs w:val="32"/>
        </w:rPr>
      </w:pPr>
      <w:r>
        <w:rPr>
          <w:rFonts w:hint="eastAsia" w:ascii="仿宋_GB2312" w:hAnsi="黑体" w:eastAsia="仿宋_GB2312" w:cs="黑体"/>
          <w:b/>
          <w:bCs/>
          <w:sz w:val="32"/>
          <w:szCs w:val="32"/>
        </w:rPr>
        <w:t>2.监控结论及分析</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（1）项目管理情况。</w:t>
      </w:r>
    </w:p>
    <w:p>
      <w:pPr>
        <w:spacing w:line="560" w:lineRule="exact"/>
        <w:ind w:firstLine="640" w:firstLineChars="200"/>
        <w:rPr>
          <w:rFonts w:ascii="仿宋_GB2312" w:hAnsi="宋体" w:eastAsia="仿宋_GB2312"/>
          <w:color w:val="000000"/>
          <w:kern w:val="0"/>
          <w:sz w:val="32"/>
          <w:szCs w:val="32"/>
        </w:rPr>
      </w:pPr>
      <w:r>
        <w:rPr>
          <w:rFonts w:hint="eastAsia" w:ascii="仿宋_GB2312" w:hAnsi="仿宋_GB2312" w:eastAsia="仿宋_GB2312" w:cs="仿宋_GB2312"/>
          <w:kern w:val="0"/>
          <w:sz w:val="32"/>
          <w:szCs w:val="32"/>
          <w:lang w:bidi="ar"/>
        </w:rPr>
        <w:t>根据《传染病防治法》《突发公共卫生事件应急条例》《艾滋病管理条例》《新冠肺炎防控方案》《甘肃省遏制艾滋病传播实施方案（2019—2022年）》等法律法规及相关技术指导文件，《中国结核病防治规划实施工作指南》《中国结核病预防控制工作技术规范》《中国学校结核病防控指南》等方案</w:t>
      </w:r>
      <w:r>
        <w:rPr>
          <w:rFonts w:hint="eastAsia" w:ascii="仿宋_GB2312" w:hAnsi="仿宋" w:eastAsia="仿宋_GB2312" w:cs="仿宋_GB2312"/>
          <w:kern w:val="0"/>
          <w:sz w:val="32"/>
          <w:szCs w:val="30"/>
        </w:rPr>
        <w:t>组织实施。新区疾控中心及新区有关医疗机构具体实施。</w:t>
      </w:r>
      <w:r>
        <w:rPr>
          <w:rFonts w:hint="eastAsia" w:ascii="仿宋_GB2312" w:hAnsi="宋体" w:eastAsia="仿宋_GB2312"/>
          <w:color w:val="000000"/>
          <w:kern w:val="0"/>
          <w:sz w:val="32"/>
          <w:szCs w:val="32"/>
        </w:rPr>
        <w:t>通过</w:t>
      </w:r>
      <w:r>
        <w:rPr>
          <w:rFonts w:hint="eastAsia" w:ascii="仿宋_GB2312" w:hAnsi="宋体" w:eastAsia="仿宋_GB2312"/>
          <w:sz w:val="32"/>
          <w:szCs w:val="32"/>
        </w:rPr>
        <w:t>传染病及突发公共卫生事件信息及时上报、审核、数据分析，及时发现、及时处置</w:t>
      </w:r>
      <w:r>
        <w:rPr>
          <w:rFonts w:hint="eastAsia" w:ascii="仿宋_GB2312" w:hAnsi="仿宋" w:eastAsia="仿宋_GB2312"/>
          <w:sz w:val="32"/>
          <w:szCs w:val="32"/>
        </w:rPr>
        <w:t>传染病疫情，</w:t>
      </w:r>
      <w:r>
        <w:rPr>
          <w:rFonts w:hint="eastAsia" w:ascii="仿宋_GB2312" w:hAnsi="仿宋_GB2312" w:eastAsia="仿宋_GB2312" w:cs="仿宋_GB2312"/>
          <w:kern w:val="0"/>
          <w:sz w:val="32"/>
          <w:szCs w:val="32"/>
          <w:lang w:bidi="ar"/>
        </w:rPr>
        <w:t>提升非传染性疾病、学校卫生、职业卫生、环境卫生监测的能力水平</w:t>
      </w:r>
      <w:r>
        <w:rPr>
          <w:rFonts w:hint="eastAsia" w:ascii="仿宋_GB2312" w:hAnsi="仿宋" w:eastAsia="仿宋_GB2312"/>
          <w:sz w:val="32"/>
          <w:szCs w:val="32"/>
        </w:rPr>
        <w:t>，</w:t>
      </w:r>
      <w:r>
        <w:rPr>
          <w:rFonts w:hint="eastAsia" w:ascii="仿宋_GB2312" w:eastAsia="仿宋_GB2312"/>
          <w:sz w:val="32"/>
          <w:szCs w:val="32"/>
        </w:rPr>
        <w:t>提高新区广大人民群众的健康水平，落实健康扶贫攻坚战略行动，确保健康中国战略在新区的实现。</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（2）预算执行情况。</w:t>
      </w:r>
    </w:p>
    <w:p>
      <w:pPr>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项目经费预算1000万，支出927.19万。</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（3）绩效目标完成情况。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通过对项目进行绩效评价，核实项目工作开展是否运转正常，及时发现核酸实验室的生产安全因素，促进安全风险监测工作。</w:t>
      </w:r>
    </w:p>
    <w:p>
      <w:pPr>
        <w:spacing w:line="560" w:lineRule="exact"/>
        <w:ind w:firstLine="640" w:firstLineChars="200"/>
        <w:rPr>
          <w:rFonts w:ascii="仿宋_GB2312" w:hAnsi="仿宋_GB2312" w:eastAsia="仿宋_GB2312" w:cs="仿宋_GB2312"/>
          <w:sz w:val="32"/>
          <w:szCs w:val="32"/>
        </w:rPr>
      </w:pPr>
      <w:r>
        <w:rPr>
          <w:rFonts w:ascii="仿宋_GB2312" w:hAnsi="楷体" w:eastAsia="仿宋_GB2312"/>
          <w:sz w:val="32"/>
          <w:szCs w:val="32"/>
          <w:highlight w:val="lightGray"/>
          <w:lang w:val="zh-TW"/>
        </w:rPr>
        <w:fldChar w:fldCharType="begin"/>
      </w:r>
      <w:r>
        <w:rPr>
          <w:rFonts w:ascii="仿宋_GB2312" w:hAnsi="楷体" w:eastAsia="仿宋_GB2312"/>
          <w:sz w:val="32"/>
          <w:szCs w:val="32"/>
          <w:highlight w:val="lightGray"/>
          <w:lang w:val="zh-TW"/>
        </w:rPr>
        <w:instrText xml:space="preserve"> = 1 \* GB3 \* MERGEFORMAT </w:instrText>
      </w:r>
      <w:r>
        <w:rPr>
          <w:rFonts w:ascii="仿宋_GB2312" w:hAnsi="楷体" w:eastAsia="仿宋_GB2312"/>
          <w:sz w:val="32"/>
          <w:szCs w:val="32"/>
          <w:highlight w:val="lightGray"/>
          <w:lang w:val="zh-TW"/>
        </w:rPr>
        <w:fldChar w:fldCharType="separate"/>
      </w:r>
      <w:r>
        <w:t>①</w:t>
      </w:r>
      <w:r>
        <w:rPr>
          <w:rFonts w:ascii="仿宋_GB2312" w:hAnsi="楷体" w:eastAsia="仿宋_GB2312"/>
          <w:sz w:val="32"/>
          <w:szCs w:val="32"/>
          <w:highlight w:val="lightGray"/>
          <w:lang w:val="zh-TW"/>
        </w:rPr>
        <w:fldChar w:fldCharType="end"/>
      </w:r>
      <w:r>
        <w:rPr>
          <w:rFonts w:hint="eastAsia" w:ascii="仿宋_GB2312" w:hAnsi="楷体" w:eastAsia="仿宋_GB2312"/>
          <w:sz w:val="32"/>
          <w:szCs w:val="32"/>
        </w:rPr>
        <w:t>绩效目标</w:t>
      </w:r>
      <w:r>
        <w:rPr>
          <w:rFonts w:hint="eastAsia" w:ascii="仿宋_GB2312" w:hAnsi="楷体" w:eastAsia="仿宋_GB2312"/>
          <w:sz w:val="32"/>
          <w:szCs w:val="32"/>
          <w:lang w:val="zh-TW"/>
        </w:rPr>
        <w:t>情况。</w:t>
      </w:r>
    </w:p>
    <w:p>
      <w:pPr>
        <w:spacing w:line="560" w:lineRule="exact"/>
        <w:ind w:firstLine="640" w:firstLineChars="200"/>
        <w:rPr>
          <w:rFonts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资金执行分值10分，项目保障经费全部及时拨付到位，资金分配合理，项目执行率</w:t>
      </w:r>
      <w:r>
        <w:rPr>
          <w:rFonts w:hint="eastAsia" w:ascii="仿宋_GB2312" w:hAnsi="仿宋_GB2312" w:eastAsia="仿宋_GB2312" w:cs="仿宋_GB2312"/>
          <w:color w:val="000000"/>
          <w:kern w:val="0"/>
          <w:sz w:val="32"/>
          <w:szCs w:val="32"/>
          <w:lang w:bidi="zh-TW"/>
        </w:rPr>
        <w:t>92.71</w:t>
      </w:r>
      <w:r>
        <w:rPr>
          <w:rFonts w:hint="eastAsia" w:ascii="仿宋_GB2312" w:hAnsi="仿宋_GB2312" w:eastAsia="仿宋_GB2312" w:cs="仿宋_GB2312"/>
          <w:color w:val="000000"/>
          <w:kern w:val="0"/>
          <w:sz w:val="32"/>
          <w:szCs w:val="32"/>
          <w:lang w:val="zh-TW" w:bidi="zh-TW"/>
        </w:rPr>
        <w:t>%，实际得分</w:t>
      </w:r>
      <w:r>
        <w:rPr>
          <w:rFonts w:hint="eastAsia" w:ascii="仿宋_GB2312" w:hAnsi="仿宋_GB2312" w:eastAsia="仿宋_GB2312" w:cs="仿宋_GB2312"/>
          <w:color w:val="000000"/>
          <w:kern w:val="0"/>
          <w:sz w:val="32"/>
          <w:szCs w:val="32"/>
          <w:lang w:bidi="zh-TW"/>
        </w:rPr>
        <w:t>9.27</w:t>
      </w:r>
      <w:r>
        <w:rPr>
          <w:rFonts w:hint="eastAsia" w:ascii="仿宋_GB2312" w:hAnsi="仿宋_GB2312" w:eastAsia="仿宋_GB2312" w:cs="仿宋_GB2312"/>
          <w:color w:val="000000"/>
          <w:kern w:val="0"/>
          <w:sz w:val="32"/>
          <w:szCs w:val="32"/>
          <w:lang w:val="zh-TW" w:bidi="zh-TW"/>
        </w:rPr>
        <w:t>分。</w:t>
      </w:r>
    </w:p>
    <w:p>
      <w:pPr>
        <w:spacing w:line="560" w:lineRule="exact"/>
        <w:ind w:firstLine="640" w:firstLineChars="200"/>
        <w:rPr>
          <w:rFonts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产出一级指标50分，实际得分</w:t>
      </w:r>
      <w:r>
        <w:rPr>
          <w:rFonts w:hint="eastAsia" w:ascii="仿宋_GB2312" w:hAnsi="仿宋_GB2312" w:eastAsia="仿宋_GB2312" w:cs="仿宋_GB2312"/>
          <w:color w:val="000000"/>
          <w:kern w:val="0"/>
          <w:sz w:val="32"/>
          <w:szCs w:val="32"/>
          <w:lang w:bidi="zh-TW"/>
        </w:rPr>
        <w:t>48</w:t>
      </w:r>
      <w:r>
        <w:rPr>
          <w:rFonts w:hint="eastAsia" w:ascii="仿宋_GB2312" w:hAnsi="仿宋_GB2312" w:eastAsia="仿宋_GB2312" w:cs="仿宋_GB2312"/>
          <w:color w:val="000000"/>
          <w:kern w:val="0"/>
          <w:sz w:val="32"/>
          <w:szCs w:val="32"/>
          <w:lang w:val="zh-TW" w:bidi="zh-TW"/>
        </w:rPr>
        <w:t>分。项目全部按计划完成任务，整体进度合理，项目质量达到与其目标，达标率100%。</w:t>
      </w:r>
    </w:p>
    <w:p>
      <w:pPr>
        <w:spacing w:line="560" w:lineRule="exact"/>
        <w:ind w:firstLine="640" w:firstLineChars="200"/>
        <w:rPr>
          <w:rFonts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效益一级指标30分，实际得分30分。项目整体社会效益较高，后期具有显著可持续性。</w:t>
      </w:r>
    </w:p>
    <w:p>
      <w:pPr>
        <w:spacing w:line="560" w:lineRule="exact"/>
        <w:ind w:firstLine="640" w:firstLineChars="200"/>
        <w:rPr>
          <w:rFonts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满意度一级指标10分，实际得分10分，受益群众满意度达95%以上。</w:t>
      </w:r>
    </w:p>
    <w:p>
      <w:pPr>
        <w:spacing w:line="560" w:lineRule="exact"/>
        <w:ind w:firstLine="640" w:firstLineChars="200"/>
        <w:rPr>
          <w:rFonts w:ascii="仿宋_GB2312" w:hAnsi="楷体" w:eastAsia="仿宋_GB2312"/>
          <w:sz w:val="32"/>
          <w:szCs w:val="32"/>
          <w:lang w:val="zh-TW"/>
        </w:rPr>
      </w:pPr>
      <w:r>
        <w:rPr>
          <w:rFonts w:ascii="仿宋_GB2312" w:hAnsi="楷体" w:eastAsia="仿宋_GB2312"/>
          <w:sz w:val="32"/>
          <w:szCs w:val="32"/>
          <w:lang w:val="zh-TW"/>
        </w:rPr>
        <w:fldChar w:fldCharType="begin"/>
      </w:r>
      <w:r>
        <w:rPr>
          <w:rFonts w:ascii="仿宋_GB2312" w:hAnsi="楷体" w:eastAsia="仿宋_GB2312"/>
          <w:sz w:val="32"/>
          <w:szCs w:val="32"/>
          <w:lang w:val="zh-TW"/>
        </w:rPr>
        <w:instrText xml:space="preserve"> </w:instrText>
      </w:r>
      <w:r>
        <w:rPr>
          <w:rFonts w:hint="eastAsia" w:ascii="仿宋_GB2312" w:hAnsi="楷体" w:eastAsia="仿宋_GB2312"/>
          <w:sz w:val="32"/>
          <w:szCs w:val="32"/>
          <w:lang w:val="zh-TW"/>
        </w:rPr>
        <w:instrText xml:space="preserve">= 2 \* GB3</w:instrText>
      </w:r>
      <w:r>
        <w:rPr>
          <w:rFonts w:ascii="仿宋_GB2312" w:hAnsi="楷体" w:eastAsia="仿宋_GB2312"/>
          <w:sz w:val="32"/>
          <w:szCs w:val="32"/>
          <w:lang w:val="zh-TW"/>
        </w:rPr>
        <w:instrText xml:space="preserve"> </w:instrText>
      </w:r>
      <w:r>
        <w:rPr>
          <w:rFonts w:ascii="仿宋_GB2312" w:hAnsi="楷体" w:eastAsia="仿宋_GB2312"/>
          <w:sz w:val="32"/>
          <w:szCs w:val="32"/>
          <w:lang w:val="zh-TW"/>
        </w:rPr>
        <w:fldChar w:fldCharType="separate"/>
      </w:r>
      <w:r>
        <w:rPr>
          <w:rFonts w:hint="eastAsia" w:ascii="仿宋_GB2312" w:hAnsi="楷体" w:eastAsia="仿宋_GB2312"/>
          <w:sz w:val="32"/>
          <w:szCs w:val="32"/>
          <w:lang w:val="zh-TW"/>
        </w:rPr>
        <w:t>②</w:t>
      </w:r>
      <w:r>
        <w:rPr>
          <w:rFonts w:ascii="仿宋_GB2312" w:hAnsi="楷体" w:eastAsia="仿宋_GB2312"/>
          <w:sz w:val="32"/>
          <w:szCs w:val="32"/>
          <w:lang w:val="zh-TW"/>
        </w:rPr>
        <w:fldChar w:fldCharType="end"/>
      </w:r>
      <w:r>
        <w:rPr>
          <w:rFonts w:hint="eastAsia" w:ascii="仿宋_GB2312" w:hAnsi="楷体" w:eastAsia="仿宋_GB2312"/>
          <w:sz w:val="32"/>
          <w:szCs w:val="32"/>
          <w:lang w:val="zh-TW"/>
        </w:rPr>
        <w:t>结论</w:t>
      </w:r>
    </w:p>
    <w:p>
      <w:pPr>
        <w:spacing w:line="560" w:lineRule="exact"/>
        <w:ind w:firstLine="640" w:firstLineChars="200"/>
        <w:rPr>
          <w:rFonts w:hint="eastAsia" w:ascii="仿宋_GB2312" w:hAnsi="仿宋_GB2312" w:eastAsia="仿宋_GB2312" w:cs="仿宋_GB2312"/>
          <w:color w:val="000000"/>
          <w:kern w:val="0"/>
          <w:sz w:val="32"/>
          <w:szCs w:val="32"/>
          <w:lang w:val="zh-TW" w:bidi="zh-TW"/>
        </w:rPr>
      </w:pPr>
      <w:r>
        <w:rPr>
          <w:rFonts w:hint="eastAsia" w:ascii="仿宋_GB2312" w:hAnsi="仿宋_GB2312" w:eastAsia="仿宋_GB2312" w:cs="仿宋_GB2312"/>
          <w:color w:val="000000"/>
          <w:kern w:val="0"/>
          <w:sz w:val="32"/>
          <w:szCs w:val="32"/>
          <w:lang w:val="zh-TW" w:bidi="zh-TW"/>
        </w:rPr>
        <w:t>项目整体完成情况较好，预算执行率高。</w:t>
      </w:r>
      <w:r>
        <w:rPr>
          <w:rFonts w:hint="eastAsia" w:ascii="仿宋_GB2312" w:hAnsi="仿宋_GB2312" w:eastAsia="仿宋_GB2312" w:cs="仿宋_GB2312"/>
          <w:color w:val="000000"/>
          <w:sz w:val="32"/>
          <w:szCs w:val="32"/>
        </w:rPr>
        <w:t>2022年实验室共检测核酸样本475277管1789474人份，累计检出阳性样本14741份。</w:t>
      </w:r>
      <w:r>
        <w:rPr>
          <w:rFonts w:hint="eastAsia" w:ascii="仿宋_GB2312" w:hAnsi="仿宋_GB2312" w:eastAsia="仿宋_GB2312" w:cs="仿宋_GB2312"/>
          <w:color w:val="000000"/>
          <w:kern w:val="0"/>
          <w:sz w:val="32"/>
          <w:szCs w:val="32"/>
          <w:lang w:val="zh-TW" w:bidi="zh-TW"/>
        </w:rPr>
        <w:t>监测结果及时汇总上报，及时向新区</w:t>
      </w:r>
      <w:r>
        <w:rPr>
          <w:rFonts w:hint="eastAsia" w:ascii="仿宋_GB2312" w:hAnsi="仿宋_GB2312" w:eastAsia="仿宋_GB2312" w:cs="仿宋_GB2312"/>
          <w:color w:val="000000"/>
          <w:kern w:val="0"/>
          <w:sz w:val="32"/>
          <w:szCs w:val="32"/>
          <w:lang w:bidi="zh-TW"/>
        </w:rPr>
        <w:t>卫健</w:t>
      </w:r>
      <w:r>
        <w:rPr>
          <w:rFonts w:hint="eastAsia" w:ascii="仿宋_GB2312" w:hAnsi="仿宋_GB2312" w:eastAsia="仿宋_GB2312" w:cs="仿宋_GB2312"/>
          <w:color w:val="000000"/>
          <w:kern w:val="0"/>
          <w:sz w:val="32"/>
          <w:szCs w:val="32"/>
          <w:lang w:val="zh-TW" w:bidi="zh-TW"/>
        </w:rPr>
        <w:t>委报送半年和年度总结，较好的完成了年度目标任务。</w:t>
      </w:r>
    </w:p>
    <w:p>
      <w:pPr>
        <w:spacing w:line="560" w:lineRule="exact"/>
        <w:ind w:firstLine="640" w:firstLineChars="200"/>
        <w:rPr>
          <w:rFonts w:ascii="仿宋_GB2312" w:hAnsi="楷体" w:eastAsia="仿宋_GB2312"/>
          <w:sz w:val="32"/>
          <w:szCs w:val="32"/>
        </w:rPr>
      </w:pPr>
      <w:r>
        <w:rPr>
          <w:rFonts w:hint="eastAsia" w:ascii="仿宋_GB2312" w:hAnsi="楷体" w:eastAsia="仿宋_GB2312"/>
          <w:sz w:val="32"/>
          <w:szCs w:val="32"/>
        </w:rPr>
        <w:fldChar w:fldCharType="begin"/>
      </w:r>
      <w:r>
        <w:rPr>
          <w:rFonts w:hint="eastAsia" w:ascii="仿宋_GB2312" w:hAnsi="楷体" w:eastAsia="仿宋_GB2312"/>
          <w:sz w:val="32"/>
          <w:szCs w:val="32"/>
        </w:rPr>
        <w:instrText xml:space="preserve"> = 3 \* GB3 \* MERGEFORMAT </w:instrText>
      </w:r>
      <w:r>
        <w:rPr>
          <w:rFonts w:hint="eastAsia" w:ascii="仿宋_GB2312" w:hAnsi="楷体" w:eastAsia="仿宋_GB2312"/>
          <w:sz w:val="32"/>
          <w:szCs w:val="32"/>
        </w:rPr>
        <w:fldChar w:fldCharType="separate"/>
      </w:r>
      <w:r>
        <w:t>③</w:t>
      </w:r>
      <w:r>
        <w:rPr>
          <w:rFonts w:hint="eastAsia" w:ascii="仿宋_GB2312" w:hAnsi="楷体" w:eastAsia="仿宋_GB2312"/>
          <w:sz w:val="32"/>
          <w:szCs w:val="32"/>
        </w:rPr>
        <w:fldChar w:fldCharType="end"/>
      </w:r>
      <w:r>
        <w:rPr>
          <w:rFonts w:hint="eastAsia" w:ascii="仿宋_GB2312" w:hAnsi="楷体" w:eastAsia="仿宋_GB2312"/>
          <w:sz w:val="32"/>
          <w:szCs w:val="32"/>
        </w:rPr>
        <w:t>主要经验及做法。</w:t>
      </w:r>
    </w:p>
    <w:p>
      <w:pPr>
        <w:spacing w:line="560" w:lineRule="exact"/>
        <w:ind w:firstLine="640" w:firstLineChars="200"/>
        <w:rPr>
          <w:rFonts w:ascii="仿宋" w:hAnsi="仿宋" w:eastAsia="仿宋" w:cs="仿宋"/>
          <w:b/>
          <w:bCs/>
          <w:spacing w:val="-9"/>
          <w:sz w:val="32"/>
          <w:szCs w:val="32"/>
        </w:rPr>
      </w:pPr>
      <w:r>
        <w:rPr>
          <w:rFonts w:hint="eastAsia" w:ascii="仿宋_GB2312" w:hAnsi="楷体" w:eastAsia="仿宋_GB2312"/>
          <w:sz w:val="32"/>
          <w:szCs w:val="32"/>
        </w:rPr>
        <w:t>为做好各项目资金使用管理，严格按照预算内容使用各项资金，方案中严格规定食品安全风险监测经费用途，对涉及资金的采样环节，专门组织了培训，严格规范采样和报销工作。对医疗机构能力建设仪器设备购置严格按照政府招标采购流程规范化进行。各单位对试剂、耗材购买严格按照规定的流程进行。</w:t>
      </w:r>
    </w:p>
    <w:p>
      <w:pPr>
        <w:spacing w:line="560" w:lineRule="exact"/>
        <w:ind w:firstLine="643" w:firstLineChars="200"/>
        <w:rPr>
          <w:rFonts w:ascii="仿宋_GB2312" w:hAnsi="黑体" w:eastAsia="仿宋_GB2312" w:cs="黑体"/>
          <w:b/>
          <w:bCs/>
          <w:sz w:val="32"/>
          <w:szCs w:val="32"/>
        </w:rPr>
      </w:pPr>
      <w:r>
        <w:rPr>
          <w:rFonts w:hint="eastAsia" w:ascii="仿宋_GB2312" w:hAnsi="黑体" w:eastAsia="仿宋_GB2312"/>
          <w:b/>
          <w:bCs/>
          <w:sz w:val="32"/>
          <w:szCs w:val="32"/>
        </w:rPr>
        <w:t>3</w:t>
      </w:r>
      <w:r>
        <w:rPr>
          <w:rFonts w:hint="eastAsia" w:ascii="仿宋_GB2312" w:hAnsi="黑体" w:eastAsia="仿宋_GB2312" w:cs="黑体"/>
          <w:b/>
          <w:bCs/>
          <w:sz w:val="32"/>
          <w:szCs w:val="32"/>
        </w:rPr>
        <w:t>.项目实施及管理情况</w:t>
      </w:r>
    </w:p>
    <w:p>
      <w:pPr>
        <w:spacing w:line="560" w:lineRule="exact"/>
        <w:ind w:firstLine="640" w:firstLineChars="200"/>
        <w:rPr>
          <w:rFonts w:ascii="仿宋_GB2312" w:hAnsi="仿宋" w:eastAsia="仿宋_GB2312" w:cs="仿宋"/>
          <w:color w:val="000000"/>
          <w:sz w:val="32"/>
          <w:szCs w:val="32"/>
        </w:rPr>
      </w:pPr>
      <w:r>
        <w:rPr>
          <w:rFonts w:hint="eastAsia" w:ascii="楷体_GB2312" w:hAnsi="楷体_GB2312" w:eastAsia="楷体_GB2312" w:cs="楷体_GB2312"/>
          <w:bCs/>
          <w:color w:val="000000"/>
          <w:sz w:val="32"/>
          <w:szCs w:val="32"/>
        </w:rPr>
        <w:t>积极安排部署，强化风险监测。</w:t>
      </w:r>
      <w:r>
        <w:rPr>
          <w:rFonts w:hint="eastAsia" w:ascii="仿宋_GB2312" w:hAnsi="仿宋_GB2312" w:eastAsia="仿宋_GB2312" w:cs="仿宋_GB2312"/>
          <w:color w:val="000000"/>
          <w:sz w:val="32"/>
          <w:szCs w:val="32"/>
        </w:rPr>
        <w:t>根据省卫生健康委相关文件要求。严格按照方案要求，将核酸实验室转移配套资金及时足额拨付有关医疗卫生机构，严格规定经费用途，确保核酸检测实验室监测工作正常开展。</w:t>
      </w:r>
    </w:p>
    <w:p>
      <w:pPr>
        <w:spacing w:line="560" w:lineRule="exact"/>
        <w:ind w:firstLine="643" w:firstLineChars="200"/>
        <w:rPr>
          <w:rFonts w:ascii="仿宋_GB2312" w:hAnsi="黑体" w:eastAsia="仿宋_GB2312" w:cs="黑体"/>
          <w:b/>
          <w:bCs/>
          <w:sz w:val="32"/>
          <w:szCs w:val="32"/>
        </w:rPr>
      </w:pPr>
      <w:r>
        <w:rPr>
          <w:rFonts w:hint="eastAsia" w:ascii="仿宋_GB2312" w:hAnsi="黑体" w:eastAsia="仿宋_GB2312" w:cs="黑体"/>
          <w:b/>
          <w:bCs/>
          <w:sz w:val="32"/>
          <w:szCs w:val="32"/>
        </w:rPr>
        <w:t>4.项目绩效自评开展情况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根据食品安全风险监测项目绩效评价指标体系设计，共分为三个等级指标，其中一级指标3个，二级指标5个，三级指标12个。本次评价采用执行单位绩效自评、询查与复核等方式对指标进行核实，得出最终项目评价结果。</w:t>
      </w:r>
    </w:p>
    <w:p>
      <w:pPr>
        <w:spacing w:line="560" w:lineRule="exact"/>
        <w:ind w:firstLine="643" w:firstLineChars="200"/>
        <w:rPr>
          <w:rFonts w:ascii="仿宋_GB2312" w:hAnsi="黑体" w:eastAsia="仿宋_GB2312" w:cs="黑体"/>
          <w:b/>
          <w:bCs/>
          <w:sz w:val="32"/>
          <w:szCs w:val="32"/>
        </w:rPr>
      </w:pPr>
      <w:r>
        <w:rPr>
          <w:rFonts w:hint="eastAsia" w:ascii="仿宋_GB2312" w:hAnsi="黑体" w:eastAsia="仿宋_GB2312"/>
          <w:b/>
          <w:bCs/>
          <w:sz w:val="32"/>
          <w:szCs w:val="32"/>
        </w:rPr>
        <w:t>5</w:t>
      </w:r>
      <w:r>
        <w:rPr>
          <w:rFonts w:hint="eastAsia" w:ascii="仿宋_GB2312" w:hAnsi="黑体" w:eastAsia="仿宋_GB2312" w:cs="黑体"/>
          <w:b/>
          <w:bCs/>
          <w:sz w:val="32"/>
          <w:szCs w:val="32"/>
        </w:rPr>
        <w:t>.项目目标实现情况分析</w:t>
      </w:r>
    </w:p>
    <w:p>
      <w:pPr>
        <w:spacing w:line="560" w:lineRule="exact"/>
        <w:ind w:firstLine="640" w:firstLineChars="200"/>
        <w:rPr>
          <w:rFonts w:ascii="楷体_GB2312" w:hAnsi="楷体" w:eastAsia="楷体_GB2312"/>
          <w:sz w:val="32"/>
          <w:szCs w:val="32"/>
        </w:rPr>
      </w:pPr>
      <w:r>
        <w:rPr>
          <w:rFonts w:hint="eastAsia" w:ascii="楷体_GB2312" w:hAnsi="楷体" w:eastAsia="楷体_GB2312"/>
          <w:sz w:val="32"/>
          <w:szCs w:val="32"/>
        </w:rPr>
        <w:t>（1）产出分析。</w:t>
      </w:r>
    </w:p>
    <w:p>
      <w:pPr>
        <w:spacing w:line="560" w:lineRule="exact"/>
        <w:ind w:firstLine="640" w:firstLineChars="200"/>
        <w:rPr>
          <w:rFonts w:ascii="楷体_GB2312" w:hAnsi="楷体" w:eastAsia="楷体_GB2312"/>
          <w:sz w:val="32"/>
          <w:szCs w:val="32"/>
        </w:rPr>
      </w:pPr>
      <w:r>
        <w:rPr>
          <w:rFonts w:ascii="楷体_GB2312" w:hAnsi="楷体" w:eastAsia="楷体_GB2312"/>
          <w:sz w:val="32"/>
          <w:szCs w:val="32"/>
        </w:rPr>
        <w:fldChar w:fldCharType="begin"/>
      </w:r>
      <w:r>
        <w:rPr>
          <w:rFonts w:ascii="楷体_GB2312" w:hAnsi="楷体" w:eastAsia="楷体_GB2312"/>
          <w:sz w:val="32"/>
          <w:szCs w:val="32"/>
        </w:rPr>
        <w:instrText xml:space="preserve"> </w:instrText>
      </w:r>
      <w:r>
        <w:rPr>
          <w:rFonts w:hint="eastAsia" w:ascii="楷体_GB2312" w:hAnsi="楷体" w:eastAsia="楷体_GB2312"/>
          <w:sz w:val="32"/>
          <w:szCs w:val="32"/>
        </w:rPr>
        <w:instrText xml:space="preserve">= 1 \* GB3</w:instrText>
      </w:r>
      <w:r>
        <w:rPr>
          <w:rFonts w:ascii="楷体_GB2312" w:hAnsi="楷体" w:eastAsia="楷体_GB2312"/>
          <w:sz w:val="32"/>
          <w:szCs w:val="32"/>
        </w:rPr>
        <w:instrText xml:space="preserve"> </w:instrText>
      </w:r>
      <w:r>
        <w:rPr>
          <w:rFonts w:ascii="楷体_GB2312" w:hAnsi="楷体" w:eastAsia="楷体_GB2312"/>
          <w:sz w:val="32"/>
          <w:szCs w:val="32"/>
        </w:rPr>
        <w:fldChar w:fldCharType="separate"/>
      </w:r>
      <w:r>
        <w:rPr>
          <w:rFonts w:hint="eastAsia" w:ascii="楷体_GB2312" w:hAnsi="楷体" w:eastAsia="楷体_GB2312"/>
          <w:sz w:val="32"/>
          <w:szCs w:val="32"/>
        </w:rPr>
        <w:t>①</w:t>
      </w:r>
      <w:r>
        <w:rPr>
          <w:rFonts w:ascii="楷体_GB2312" w:hAnsi="楷体" w:eastAsia="楷体_GB2312"/>
          <w:sz w:val="32"/>
          <w:szCs w:val="32"/>
        </w:rPr>
        <w:fldChar w:fldCharType="end"/>
      </w:r>
      <w:r>
        <w:rPr>
          <w:rFonts w:hint="eastAsia" w:ascii="仿宋_GB2312" w:hAnsi="仿宋_GB2312" w:eastAsia="仿宋_GB2312" w:cs="仿宋_GB2312"/>
          <w:color w:val="000000"/>
          <w:sz w:val="32"/>
          <w:szCs w:val="32"/>
        </w:rPr>
        <w:t>数量指标。</w:t>
      </w:r>
      <w:bookmarkStart w:id="1" w:name="bookmark23"/>
      <w:bookmarkEnd w:id="1"/>
    </w:p>
    <w:p>
      <w:pPr>
        <w:spacing w:line="560" w:lineRule="exact"/>
        <w:ind w:firstLine="640" w:firstLineChars="200"/>
        <w:rPr>
          <w:rFonts w:ascii="楷体_GB2312" w:hAnsi="楷体" w:eastAsia="楷体_GB2312"/>
          <w:sz w:val="32"/>
          <w:szCs w:val="32"/>
        </w:rPr>
      </w:pPr>
      <w:r>
        <w:rPr>
          <w:rFonts w:hint="eastAsia" w:ascii="仿宋_GB2312" w:hAnsi="仿宋_GB2312" w:eastAsia="仿宋_GB2312" w:cs="仿宋_GB2312"/>
          <w:color w:val="000000"/>
          <w:sz w:val="32"/>
          <w:szCs w:val="32"/>
        </w:rPr>
        <w:t>2022年实验室共检测核酸样本475277管1789474人份，累计检出阳性样本14741份。</w:t>
      </w:r>
    </w:p>
    <w:p>
      <w:pPr>
        <w:spacing w:line="560" w:lineRule="exact"/>
        <w:ind w:firstLine="640" w:firstLineChars="200"/>
        <w:rPr>
          <w:rFonts w:ascii="楷体_GB2312" w:hAnsi="楷体" w:eastAsia="楷体_GB2312"/>
          <w:sz w:val="32"/>
          <w:szCs w:val="32"/>
        </w:rPr>
      </w:pPr>
      <w:r>
        <w:rPr>
          <w:rFonts w:ascii="仿宋_GB2312" w:hAnsi="仿宋_GB2312" w:eastAsia="仿宋_GB2312" w:cs="仿宋_GB2312"/>
          <w:color w:val="000000"/>
          <w:sz w:val="32"/>
          <w:szCs w:val="32"/>
        </w:rPr>
        <w:fldChar w:fldCharType="begin"/>
      </w:r>
      <w:r>
        <w:rPr>
          <w:rFonts w:ascii="仿宋_GB2312" w:hAnsi="仿宋_GB2312" w:eastAsia="仿宋_GB2312" w:cs="仿宋_GB2312"/>
          <w:color w:val="000000"/>
          <w:sz w:val="32"/>
          <w:szCs w:val="32"/>
        </w:rPr>
        <w:instrText xml:space="preserve"> </w:instrText>
      </w:r>
      <w:r>
        <w:rPr>
          <w:rFonts w:hint="eastAsia" w:ascii="仿宋_GB2312" w:hAnsi="仿宋_GB2312" w:eastAsia="仿宋_GB2312" w:cs="仿宋_GB2312"/>
          <w:color w:val="000000"/>
          <w:sz w:val="32"/>
          <w:szCs w:val="32"/>
        </w:rPr>
        <w:instrText xml:space="preserve">= 2 \* GB3</w:instrText>
      </w:r>
      <w:r>
        <w:rPr>
          <w:rFonts w:ascii="仿宋_GB2312" w:hAnsi="仿宋_GB2312" w:eastAsia="仿宋_GB2312" w:cs="仿宋_GB2312"/>
          <w:color w:val="000000"/>
          <w:sz w:val="32"/>
          <w:szCs w:val="32"/>
        </w:rPr>
        <w:instrText xml:space="preserve"> </w:instrText>
      </w:r>
      <w:r>
        <w:rPr>
          <w:rFonts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②</w:t>
      </w:r>
      <w:r>
        <w:rPr>
          <w:rFonts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质量指标。</w:t>
      </w:r>
    </w:p>
    <w:p>
      <w:pPr>
        <w:spacing w:line="560" w:lineRule="exact"/>
        <w:ind w:left="420" w:leftChars="200"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阳性样本监测上报率达100%。</w:t>
      </w:r>
    </w:p>
    <w:p>
      <w:pPr>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fldChar w:fldCharType="begin"/>
      </w:r>
      <w:r>
        <w:rPr>
          <w:rFonts w:ascii="仿宋_GB2312" w:hAnsi="仿宋_GB2312" w:eastAsia="仿宋_GB2312" w:cs="仿宋_GB2312"/>
          <w:color w:val="000000"/>
          <w:sz w:val="32"/>
          <w:szCs w:val="32"/>
        </w:rPr>
        <w:instrText xml:space="preserve"> </w:instrText>
      </w:r>
      <w:r>
        <w:rPr>
          <w:rFonts w:hint="eastAsia" w:ascii="仿宋_GB2312" w:hAnsi="仿宋_GB2312" w:eastAsia="仿宋_GB2312" w:cs="仿宋_GB2312"/>
          <w:color w:val="000000"/>
          <w:sz w:val="32"/>
          <w:szCs w:val="32"/>
        </w:rPr>
        <w:instrText xml:space="preserve">= 3 \* GB3</w:instrText>
      </w:r>
      <w:r>
        <w:rPr>
          <w:rFonts w:ascii="仿宋_GB2312" w:hAnsi="仿宋_GB2312" w:eastAsia="仿宋_GB2312" w:cs="仿宋_GB2312"/>
          <w:color w:val="000000"/>
          <w:sz w:val="32"/>
          <w:szCs w:val="32"/>
        </w:rPr>
        <w:instrText xml:space="preserve"> </w:instrText>
      </w:r>
      <w:r>
        <w:rPr>
          <w:rFonts w:ascii="仿宋_GB2312" w:hAnsi="仿宋_GB2312" w:eastAsia="仿宋_GB2312" w:cs="仿宋_GB2312"/>
          <w:color w:val="000000"/>
          <w:sz w:val="32"/>
          <w:szCs w:val="32"/>
        </w:rPr>
        <w:fldChar w:fldCharType="separate"/>
      </w:r>
      <w:r>
        <w:rPr>
          <w:rFonts w:hint="eastAsia" w:ascii="仿宋_GB2312" w:hAnsi="仿宋_GB2312" w:eastAsia="仿宋_GB2312" w:cs="仿宋_GB2312"/>
          <w:color w:val="000000"/>
          <w:sz w:val="32"/>
          <w:szCs w:val="32"/>
        </w:rPr>
        <w:t>③</w:t>
      </w:r>
      <w:r>
        <w:rPr>
          <w:rFonts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时效指标。</w:t>
      </w:r>
    </w:p>
    <w:p>
      <w:pPr>
        <w:spacing w:line="560" w:lineRule="exact"/>
        <w:ind w:left="420" w:leftChars="200"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所有阳性样本均在4-6小时内出具检测报告。</w:t>
      </w:r>
    </w:p>
    <w:p>
      <w:pPr>
        <w:widowControl/>
        <w:kinsoku w:val="0"/>
        <w:autoSpaceDE w:val="0"/>
        <w:autoSpaceDN w:val="0"/>
        <w:adjustRightInd w:val="0"/>
        <w:snapToGrid w:val="0"/>
        <w:spacing w:line="560" w:lineRule="exact"/>
        <w:ind w:firstLine="640" w:firstLineChars="200"/>
        <w:textAlignment w:val="baseline"/>
        <w:rPr>
          <w:rFonts w:ascii="仿宋_GB2312" w:hAnsi="仿宋_GB2312" w:eastAsia="仿宋_GB2312" w:cs="仿宋_GB2312"/>
          <w:color w:val="000000"/>
          <w:sz w:val="32"/>
          <w:szCs w:val="32"/>
        </w:rPr>
      </w:pPr>
      <w:r>
        <w:rPr>
          <w:rFonts w:hint="eastAsia" w:ascii="楷体_GB2312" w:hAnsi="楷体" w:eastAsia="楷体_GB2312"/>
          <w:sz w:val="32"/>
          <w:szCs w:val="32"/>
        </w:rPr>
        <w:t>（2）</w:t>
      </w:r>
      <w:r>
        <w:rPr>
          <w:rFonts w:hint="eastAsia" w:ascii="仿宋_GB2312" w:hAnsi="仿宋_GB2312" w:eastAsia="仿宋_GB2312" w:cs="仿宋_GB2312"/>
          <w:color w:val="000000"/>
          <w:sz w:val="32"/>
          <w:szCs w:val="32"/>
        </w:rPr>
        <w:t>效益指标完成情况分析。</w:t>
      </w:r>
    </w:p>
    <w:p>
      <w:pPr>
        <w:widowControl/>
        <w:kinsoku w:val="0"/>
        <w:autoSpaceDE w:val="0"/>
        <w:autoSpaceDN w:val="0"/>
        <w:adjustRightInd w:val="0"/>
        <w:snapToGrid w:val="0"/>
        <w:spacing w:line="560" w:lineRule="exact"/>
        <w:ind w:firstLine="640" w:firstLineChars="200"/>
        <w:textAlignment w:val="baseline"/>
        <w:rPr>
          <w:rFonts w:ascii="仿宋_GB2312" w:hAnsi="仿宋_GB2312" w:eastAsia="仿宋_GB2312" w:cs="仿宋_GB2312"/>
          <w:color w:val="000000"/>
          <w:sz w:val="32"/>
          <w:szCs w:val="32"/>
        </w:rPr>
      </w:pPr>
      <w:r>
        <w:rPr>
          <w:rFonts w:hint="eastAsia" w:ascii="仿宋_GB2312" w:hAnsi="仿宋_GB2312" w:eastAsia="仿宋_GB2312" w:cs="仿宋_GB2312"/>
          <w:bCs/>
          <w:sz w:val="32"/>
          <w:szCs w:val="32"/>
        </w:rPr>
        <w:fldChar w:fldCharType="begin"/>
      </w:r>
      <w:r>
        <w:rPr>
          <w:rFonts w:hint="eastAsia" w:ascii="仿宋_GB2312" w:hAnsi="仿宋_GB2312" w:eastAsia="仿宋_GB2312" w:cs="仿宋_GB2312"/>
          <w:bCs/>
          <w:sz w:val="32"/>
          <w:szCs w:val="32"/>
        </w:rPr>
        <w:instrText xml:space="preserve"> = 1 \* GB3 \* MERGEFORMAT </w:instrText>
      </w:r>
      <w:r>
        <w:rPr>
          <w:rFonts w:hint="eastAsia" w:ascii="仿宋_GB2312" w:hAnsi="仿宋_GB2312" w:eastAsia="仿宋_GB2312" w:cs="仿宋_GB2312"/>
          <w:bCs/>
          <w:sz w:val="32"/>
          <w:szCs w:val="32"/>
        </w:rPr>
        <w:fldChar w:fldCharType="separate"/>
      </w:r>
      <w:r>
        <w:t>①</w:t>
      </w:r>
      <w:r>
        <w:rPr>
          <w:rFonts w:hint="eastAsia" w:ascii="仿宋_GB2312" w:hAnsi="仿宋_GB2312" w:eastAsia="仿宋_GB2312" w:cs="仿宋_GB2312"/>
          <w:bCs/>
          <w:sz w:val="32"/>
          <w:szCs w:val="32"/>
        </w:rPr>
        <w:fldChar w:fldCharType="end"/>
      </w:r>
      <w:r>
        <w:rPr>
          <w:rFonts w:hint="eastAsia" w:ascii="仿宋_GB2312" w:hAnsi="仿宋_GB2312" w:eastAsia="仿宋_GB2312" w:cs="仿宋_GB2312"/>
          <w:bCs/>
          <w:sz w:val="32"/>
          <w:szCs w:val="32"/>
        </w:rPr>
        <w:t>经济效益。</w:t>
      </w:r>
    </w:p>
    <w:p>
      <w:pPr>
        <w:pStyle w:val="9"/>
        <w:tabs>
          <w:tab w:val="left" w:pos="2487"/>
        </w:tabs>
        <w:spacing w:after="120"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bCs/>
          <w:sz w:val="32"/>
          <w:szCs w:val="32"/>
        </w:rPr>
        <w:t>核酸实验室转移配套经费</w:t>
      </w:r>
      <w:r>
        <w:rPr>
          <w:rFonts w:hint="eastAsia" w:ascii="仿宋_GB2312" w:hAnsi="仿宋_GB2312" w:eastAsia="仿宋_GB2312" w:cs="仿宋_GB2312"/>
          <w:sz w:val="32"/>
          <w:szCs w:val="32"/>
          <w:lang w:eastAsia="zh-CN"/>
        </w:rPr>
        <w:t>为公益类监测项目，主要以社会效益为主要产出，经济效益不适用。</w:t>
      </w:r>
      <w:bookmarkStart w:id="2" w:name="bookmark28"/>
      <w:bookmarkEnd w:id="2"/>
    </w:p>
    <w:p>
      <w:pPr>
        <w:pStyle w:val="9"/>
        <w:tabs>
          <w:tab w:val="left" w:pos="2487"/>
        </w:tabs>
        <w:spacing w:after="120" w:line="560" w:lineRule="exact"/>
        <w:ind w:firstLine="640" w:firstLineChars="200"/>
        <w:jc w:val="both"/>
        <w:rPr>
          <w:rFonts w:ascii="仿宋_GB2312" w:hAnsi="仿宋_GB2312" w:eastAsia="仿宋_GB2312" w:cs="仿宋_GB2312"/>
          <w:kern w:val="2"/>
          <w:sz w:val="32"/>
          <w:szCs w:val="32"/>
          <w:lang w:val="en-US" w:eastAsia="zh-CN" w:bidi="ar-SA"/>
        </w:rPr>
      </w:pPr>
      <w:r>
        <w:rPr>
          <w:rFonts w:ascii="仿宋_GB2312" w:hAnsi="仿宋_GB2312" w:eastAsia="仿宋_GB2312" w:cs="仿宋_GB2312"/>
          <w:kern w:val="2"/>
          <w:sz w:val="32"/>
          <w:szCs w:val="32"/>
          <w:lang w:val="en-US" w:eastAsia="zh-CN" w:bidi="ar-SA"/>
        </w:rPr>
        <w:fldChar w:fldCharType="begin"/>
      </w:r>
      <w:r>
        <w:rPr>
          <w:rFonts w:ascii="仿宋_GB2312" w:hAnsi="仿宋_GB2312" w:eastAsia="仿宋_GB2312" w:cs="仿宋_GB2312"/>
          <w:kern w:val="2"/>
          <w:sz w:val="32"/>
          <w:szCs w:val="32"/>
          <w:lang w:val="en-US" w:eastAsia="zh-CN" w:bidi="ar-SA"/>
        </w:rPr>
        <w:instrText xml:space="preserve"> </w:instrText>
      </w:r>
      <w:r>
        <w:rPr>
          <w:rFonts w:hint="eastAsia" w:ascii="仿宋_GB2312" w:hAnsi="仿宋_GB2312" w:eastAsia="仿宋_GB2312" w:cs="仿宋_GB2312"/>
          <w:kern w:val="2"/>
          <w:sz w:val="32"/>
          <w:szCs w:val="32"/>
          <w:lang w:val="en-US" w:eastAsia="zh-CN" w:bidi="ar-SA"/>
        </w:rPr>
        <w:instrText xml:space="preserve">= 2 \* GB3</w:instrText>
      </w:r>
      <w:r>
        <w:rPr>
          <w:rFonts w:ascii="仿宋_GB2312" w:hAnsi="仿宋_GB2312" w:eastAsia="仿宋_GB2312" w:cs="仿宋_GB2312"/>
          <w:kern w:val="2"/>
          <w:sz w:val="32"/>
          <w:szCs w:val="32"/>
          <w:lang w:val="en-US" w:eastAsia="zh-CN" w:bidi="ar-SA"/>
        </w:rPr>
        <w:instrText xml:space="preserve"> </w:instrText>
      </w:r>
      <w:r>
        <w:rPr>
          <w:rFonts w:ascii="仿宋_GB2312" w:hAnsi="仿宋_GB2312" w:eastAsia="仿宋_GB2312" w:cs="仿宋_GB2312"/>
          <w:kern w:val="2"/>
          <w:sz w:val="32"/>
          <w:szCs w:val="32"/>
          <w:lang w:val="en-US" w:eastAsia="zh-CN" w:bidi="ar-SA"/>
        </w:rPr>
        <w:fldChar w:fldCharType="separate"/>
      </w:r>
      <w:r>
        <w:rPr>
          <w:rFonts w:hint="eastAsia" w:ascii="仿宋_GB2312" w:hAnsi="仿宋_GB2312" w:eastAsia="仿宋_GB2312" w:cs="仿宋_GB2312"/>
          <w:kern w:val="2"/>
          <w:sz w:val="32"/>
          <w:szCs w:val="32"/>
          <w:lang w:val="en-US" w:eastAsia="zh-CN" w:bidi="ar-SA"/>
        </w:rPr>
        <w:t>②</w:t>
      </w:r>
      <w:r>
        <w:rPr>
          <w:rFonts w:ascii="仿宋_GB2312" w:hAnsi="仿宋_GB2312" w:eastAsia="仿宋_GB2312" w:cs="仿宋_GB2312"/>
          <w:kern w:val="2"/>
          <w:sz w:val="32"/>
          <w:szCs w:val="32"/>
          <w:lang w:val="en-US" w:eastAsia="zh-CN" w:bidi="ar-SA"/>
        </w:rPr>
        <w:fldChar w:fldCharType="end"/>
      </w:r>
      <w:r>
        <w:rPr>
          <w:rFonts w:hint="eastAsia" w:ascii="仿宋_GB2312" w:hAnsi="仿宋_GB2312" w:eastAsia="仿宋_GB2312" w:cs="仿宋_GB2312"/>
          <w:kern w:val="2"/>
          <w:sz w:val="32"/>
          <w:szCs w:val="32"/>
          <w:lang w:val="en-US" w:eastAsia="zh-CN" w:bidi="ar-SA"/>
        </w:rPr>
        <w:t>社会效益。</w:t>
      </w:r>
    </w:p>
    <w:p>
      <w:pPr>
        <w:spacing w:line="560" w:lineRule="exact"/>
        <w:ind w:firstLine="640" w:firstLineChars="200"/>
      </w:pPr>
      <w:r>
        <w:rPr>
          <w:rFonts w:hint="eastAsia" w:ascii="仿宋_GB2312" w:hAnsi="仿宋_GB2312" w:eastAsia="仿宋_GB2312" w:cs="仿宋_GB2312"/>
          <w:color w:val="000000"/>
          <w:sz w:val="32"/>
          <w:szCs w:val="32"/>
        </w:rPr>
        <w:t>5月10日，响应领导的工作部署要求和安排，携带移动方舱实验室援助青海省西宁市湟中区进行大规模核酸检测。在此期间，积极配合湟中区疫情防控部署，落实疫情防控各项工作，5月12日开始检测，截止5月17日，历时六天，累计检测样本33017管328392人次，从刚开始的每日三千多管到最后的七千多管，我们日创新高，突破自我，为青海省的疫情防控工作争取了宝贵的时间，并得到了青海省的高度认可，在央视、新华网、西宁都市报及西宁晚报都对兰州新区方舱实验室进行取景及采访。</w:t>
      </w:r>
    </w:p>
    <w:p>
      <w:pPr>
        <w:spacing w:line="560" w:lineRule="exact"/>
        <w:ind w:firstLine="640" w:firstLineChars="200"/>
      </w:pPr>
      <w:r>
        <w:rPr>
          <w:rFonts w:hint="eastAsia" w:ascii="仿宋_GB2312" w:eastAsia="仿宋_GB2312"/>
          <w:sz w:val="32"/>
          <w:szCs w:val="32"/>
        </w:rPr>
        <w:fldChar w:fldCharType="begin"/>
      </w:r>
      <w:r>
        <w:rPr>
          <w:rFonts w:hint="eastAsia" w:ascii="仿宋_GB2312" w:eastAsia="仿宋_GB2312"/>
          <w:sz w:val="32"/>
          <w:szCs w:val="32"/>
        </w:rPr>
        <w:instrText xml:space="preserve"> = 3 \* GB3 </w:instrText>
      </w:r>
      <w:r>
        <w:rPr>
          <w:rFonts w:hint="eastAsia" w:ascii="仿宋_GB2312" w:eastAsia="仿宋_GB2312"/>
          <w:sz w:val="32"/>
          <w:szCs w:val="32"/>
        </w:rPr>
        <w:fldChar w:fldCharType="separate"/>
      </w:r>
      <w:r>
        <w:rPr>
          <w:rFonts w:hint="eastAsia" w:ascii="仿宋_GB2312" w:eastAsia="仿宋_GB2312"/>
          <w:sz w:val="32"/>
          <w:szCs w:val="32"/>
        </w:rPr>
        <w:t>③</w:t>
      </w:r>
      <w:r>
        <w:rPr>
          <w:rFonts w:hint="eastAsia" w:ascii="仿宋_GB2312" w:eastAsia="仿宋_GB2312"/>
          <w:sz w:val="32"/>
          <w:szCs w:val="32"/>
        </w:rPr>
        <w:fldChar w:fldCharType="end"/>
      </w:r>
      <w:r>
        <w:rPr>
          <w:rFonts w:hint="eastAsia" w:ascii="仿宋_GB2312" w:hAnsi="仿宋" w:eastAsia="仿宋_GB2312" w:cs="仿宋"/>
          <w:spacing w:val="-9"/>
          <w:sz w:val="32"/>
          <w:szCs w:val="32"/>
        </w:rPr>
        <w:t>满意度指标完成情况分析</w:t>
      </w:r>
      <w:r>
        <w:rPr>
          <w:rFonts w:ascii="仿宋" w:hAnsi="仿宋" w:eastAsia="仿宋" w:cs="仿宋"/>
          <w:spacing w:val="-9"/>
          <w:sz w:val="32"/>
          <w:szCs w:val="32"/>
        </w:rPr>
        <w:t>。</w:t>
      </w:r>
    </w:p>
    <w:p>
      <w:pPr>
        <w:pStyle w:val="9"/>
        <w:tabs>
          <w:tab w:val="left" w:pos="2492"/>
        </w:tabs>
        <w:spacing w:after="120" w:line="560" w:lineRule="exact"/>
        <w:ind w:firstLine="640" w:firstLineChars="200"/>
        <w:rPr>
          <w:rFonts w:ascii="仿宋_GB2312" w:hAnsi="黑体" w:eastAsia="仿宋_GB2312" w:cs="黑体"/>
          <w:b/>
          <w:bCs/>
          <w:color w:val="auto"/>
          <w:kern w:val="2"/>
          <w:sz w:val="32"/>
          <w:szCs w:val="32"/>
          <w:lang w:val="en-US" w:eastAsia="zh-CN" w:bidi="ar-SA"/>
        </w:rPr>
      </w:pPr>
      <w:r>
        <w:rPr>
          <w:rFonts w:hint="eastAsia" w:ascii="仿宋_GB2312" w:hAnsi="仿宋_GB2312" w:eastAsia="仿宋_GB2312" w:cs="仿宋_GB2312"/>
          <w:sz w:val="32"/>
          <w:szCs w:val="32"/>
          <w:lang w:eastAsia="zh-CN"/>
        </w:rPr>
        <w:t>社会群众对此项工作的认可程度较高，项目受益群众满意度达</w:t>
      </w:r>
      <w:r>
        <w:rPr>
          <w:rFonts w:hint="eastAsia" w:ascii="仿宋_GB2312" w:hAnsi="黑体" w:eastAsia="仿宋_GB2312" w:cs="黑体"/>
          <w:color w:val="auto"/>
          <w:kern w:val="2"/>
          <w:sz w:val="32"/>
          <w:szCs w:val="32"/>
          <w:lang w:val="en-US" w:eastAsia="zh-CN" w:bidi="ar-SA"/>
        </w:rPr>
        <w:t>95%以上。</w:t>
      </w:r>
    </w:p>
    <w:p>
      <w:pPr>
        <w:spacing w:line="560" w:lineRule="exact"/>
        <w:ind w:firstLine="643" w:firstLineChars="200"/>
        <w:rPr>
          <w:rFonts w:ascii="仿宋_GB2312" w:hAnsi="黑体" w:eastAsia="仿宋_GB2312" w:cs="黑体"/>
          <w:b/>
          <w:bCs/>
          <w:sz w:val="32"/>
          <w:szCs w:val="32"/>
        </w:rPr>
      </w:pPr>
      <w:r>
        <w:rPr>
          <w:rFonts w:ascii="仿宋_GB2312" w:hAnsi="黑体" w:eastAsia="仿宋_GB2312" w:cs="黑体"/>
          <w:b/>
          <w:bCs/>
          <w:sz w:val="32"/>
          <w:szCs w:val="32"/>
        </w:rPr>
        <w:t>6</w:t>
      </w:r>
      <w:r>
        <w:rPr>
          <w:rFonts w:hint="eastAsia" w:ascii="仿宋_GB2312" w:hAnsi="黑体" w:eastAsia="仿宋_GB2312" w:cs="黑体"/>
          <w:b/>
          <w:bCs/>
          <w:sz w:val="32"/>
          <w:szCs w:val="32"/>
        </w:rPr>
        <w:t>.存在的困难、问题</w:t>
      </w:r>
    </w:p>
    <w:p>
      <w:pPr>
        <w:pStyle w:val="9"/>
        <w:tabs>
          <w:tab w:val="left" w:pos="2492"/>
        </w:tabs>
        <w:spacing w:after="120" w:line="560" w:lineRule="exact"/>
        <w:ind w:firstLine="640" w:firstLineChars="200"/>
        <w:rPr>
          <w:rFonts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工作流程有待进一步优化：实验室目前的工作流程，基本上能完成日常的检测任务，但通过省级开展的核酸检测实验室督查活动，也暴露出在具体工作中的一些问题和隐患，包括室内质控稳定性、试剂性能验证，试剂采购时效性等问题。</w:t>
      </w:r>
    </w:p>
    <w:p>
      <w:pPr>
        <w:pStyle w:val="6"/>
        <w:widowControl/>
        <w:spacing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四、绩效自评结果拟应用和公开情况</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根据本次绩效自评工作的要求及相关文件规定，对各项指标完成情况进行分析总结，明确改进措施。将相关结果与进度安排及时反馈各实施部门，明确整改时限并上报相关整改情况，接受监督检查。</w:t>
      </w:r>
    </w:p>
    <w:p>
      <w:pPr>
        <w:pStyle w:val="6"/>
        <w:widowControl/>
        <w:spacing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五、其他需要说明的问题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本次绩效自评无其他需要说明的问题。</w:t>
      </w:r>
    </w:p>
    <w:p>
      <w:pPr>
        <w:spacing w:line="560" w:lineRule="exact"/>
        <w:ind w:firstLine="420" w:firstLineChars="200"/>
      </w:pPr>
    </w:p>
    <w:p>
      <w:pPr>
        <w:spacing w:line="560" w:lineRule="exact"/>
        <w:ind w:firstLine="640" w:firstLineChars="200"/>
        <w:rPr>
          <w:rFonts w:hint="eastAsia" w:ascii="仿宋_GB2312" w:hAnsi="仿宋_GB2312" w:eastAsia="仿宋_GB2312" w:cs="仿宋_GB2312"/>
          <w:sz w:val="32"/>
          <w:szCs w:val="32"/>
        </w:rPr>
      </w:pPr>
    </w:p>
    <w:p>
      <w:pPr>
        <w:widowControl/>
        <w:spacing w:line="560" w:lineRule="exact"/>
        <w:jc w:val="right"/>
        <w:rPr>
          <w:rFonts w:ascii="仿宋_GB2312" w:eastAsia="仿宋_GB2312"/>
          <w:sz w:val="32"/>
          <w:szCs w:val="32"/>
        </w:rPr>
      </w:pPr>
      <w:r>
        <w:rPr>
          <w:rFonts w:hint="eastAsia" w:ascii="仿宋_GB2312" w:eastAsia="仿宋_GB2312"/>
          <w:sz w:val="32"/>
          <w:szCs w:val="32"/>
          <w:lang w:val="en-US" w:eastAsia="zh-CN"/>
        </w:rPr>
        <w:t>兰州</w:t>
      </w:r>
      <w:bookmarkStart w:id="3" w:name="_GoBack"/>
      <w:bookmarkEnd w:id="3"/>
      <w:r>
        <w:rPr>
          <w:rFonts w:hint="eastAsia" w:ascii="仿宋_GB2312" w:eastAsia="仿宋_GB2312"/>
          <w:sz w:val="32"/>
          <w:szCs w:val="32"/>
        </w:rPr>
        <w:t>新区疾病预防控制中心</w:t>
      </w:r>
    </w:p>
    <w:p>
      <w:pPr>
        <w:widowControl/>
        <w:spacing w:line="560" w:lineRule="exact"/>
        <w:ind w:firstLine="6080" w:firstLineChars="1900"/>
        <w:rPr>
          <w:rFonts w:ascii="仿宋_GB2312" w:eastAsia="仿宋_GB2312"/>
          <w:sz w:val="32"/>
          <w:szCs w:val="32"/>
        </w:rPr>
      </w:pPr>
      <w:r>
        <w:rPr>
          <w:rFonts w:ascii="仿宋_GB2312" w:eastAsia="仿宋_GB2312"/>
          <w:sz w:val="32"/>
          <w:szCs w:val="32"/>
        </w:rPr>
        <w:t>202</w:t>
      </w:r>
      <w:r>
        <w:rPr>
          <w:rFonts w:hint="eastAsia" w:ascii="仿宋_GB2312" w:eastAsia="仿宋_GB2312"/>
          <w:sz w:val="32"/>
          <w:szCs w:val="32"/>
        </w:rPr>
        <w:t>3年</w:t>
      </w:r>
      <w:r>
        <w:rPr>
          <w:rFonts w:hint="eastAsia" w:ascii="仿宋_GB2312" w:eastAsia="仿宋_GB2312"/>
          <w:sz w:val="32"/>
          <w:szCs w:val="32"/>
          <w:lang w:val="en-US" w:eastAsia="zh-CN"/>
        </w:rPr>
        <w:t>9</w:t>
      </w:r>
      <w:r>
        <w:rPr>
          <w:rFonts w:hint="eastAsia" w:ascii="仿宋_GB2312" w:eastAsia="仿宋_GB2312"/>
          <w:sz w:val="32"/>
          <w:szCs w:val="32"/>
        </w:rPr>
        <w:t>月1</w:t>
      </w:r>
      <w:r>
        <w:rPr>
          <w:rFonts w:hint="eastAsia" w:ascii="仿宋_GB2312" w:eastAsia="仿宋_GB2312"/>
          <w:sz w:val="32"/>
          <w:szCs w:val="32"/>
          <w:lang w:val="en-US" w:eastAsia="zh-CN"/>
        </w:rPr>
        <w:t>8</w:t>
      </w:r>
      <w:r>
        <w:rPr>
          <w:rFonts w:hint="eastAsia" w:ascii="仿宋_GB2312" w:eastAsia="仿宋_GB2312"/>
          <w:sz w:val="32"/>
          <w:szCs w:val="32"/>
        </w:rPr>
        <w:t>日</w:t>
      </w:r>
    </w:p>
    <w:sectPr>
      <w:headerReference r:id="rId3" w:type="default"/>
      <w:footerReference r:id="rId4" w:type="default"/>
      <w:pgSz w:w="11906" w:h="16838"/>
      <w:pgMar w:top="1587" w:right="1587" w:bottom="1587"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0D4A7E"/>
    <w:multiLevelType w:val="singleLevel"/>
    <w:tmpl w:val="9E0D4A7E"/>
    <w:lvl w:ilvl="0" w:tentative="0">
      <w:start w:val="2"/>
      <w:numFmt w:val="decimal"/>
      <w:suff w:val="nothing"/>
      <w:lvlText w:val="（%1）"/>
      <w:lvlJc w:val="left"/>
    </w:lvl>
  </w:abstractNum>
  <w:abstractNum w:abstractNumId="1">
    <w:nsid w:val="BF98240F"/>
    <w:multiLevelType w:val="singleLevel"/>
    <w:tmpl w:val="BF98240F"/>
    <w:lvl w:ilvl="0" w:tentative="0">
      <w:start w:val="2"/>
      <w:numFmt w:val="decimal"/>
      <w:lvlText w:val="(%1)"/>
      <w:lvlJc w:val="left"/>
      <w:pPr>
        <w:tabs>
          <w:tab w:val="left" w:pos="312"/>
        </w:tabs>
      </w:pPr>
    </w:lvl>
  </w:abstractNum>
  <w:abstractNum w:abstractNumId="2">
    <w:nsid w:val="1C079BD5"/>
    <w:multiLevelType w:val="singleLevel"/>
    <w:tmpl w:val="1C079BD5"/>
    <w:lvl w:ilvl="0" w:tentative="0">
      <w:start w:val="2"/>
      <w:numFmt w:val="chineseCounting"/>
      <w:suff w:val="nothing"/>
      <w:lvlText w:val="%1、"/>
      <w:lvlJc w:val="left"/>
      <w:rPr>
        <w:rFonts w:hint="eastAsia"/>
      </w:rPr>
    </w:lvl>
  </w:abstractNum>
  <w:abstractNum w:abstractNumId="3">
    <w:nsid w:val="57FAE3F2"/>
    <w:multiLevelType w:val="singleLevel"/>
    <w:tmpl w:val="57FAE3F2"/>
    <w:lvl w:ilvl="0" w:tentative="0">
      <w:start w:val="2"/>
      <w:numFmt w:val="decimal"/>
      <w:suff w:val="nothing"/>
      <w:lvlText w:val="（%1）"/>
      <w:lvlJc w:val="left"/>
    </w:lvl>
  </w:abstractNum>
  <w:abstractNum w:abstractNumId="4">
    <w:nsid w:val="59A65064"/>
    <w:multiLevelType w:val="multilevel"/>
    <w:tmpl w:val="59A65064"/>
    <w:lvl w:ilvl="0" w:tentative="0">
      <w:start w:val="1"/>
      <w:numFmt w:val="chineseCounting"/>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suff w:val="nothing"/>
      <w:lvlText w:val="%3、"/>
      <w:lvlJc w:val="left"/>
      <w:pPr>
        <w:tabs>
          <w:tab w:val="left" w:pos="0"/>
        </w:tabs>
        <w:ind w:left="0" w:firstLine="400"/>
      </w:pPr>
      <w:rPr>
        <w:rFonts w:hint="eastAsia" w:ascii="宋体" w:hAnsi="宋体" w:eastAsia="宋体" w:cs="宋体"/>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pStyle w:val="2"/>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M3NTkzN2NjMDgxZWQ1YWJiOTU5YzE5YzgwODViYjEifQ=="/>
  </w:docVars>
  <w:rsids>
    <w:rsidRoot w:val="3C3B6BC0"/>
    <w:rsid w:val="00372F68"/>
    <w:rsid w:val="004E7C7A"/>
    <w:rsid w:val="00880A50"/>
    <w:rsid w:val="00A5688A"/>
    <w:rsid w:val="00BC79E9"/>
    <w:rsid w:val="00BD341F"/>
    <w:rsid w:val="07536558"/>
    <w:rsid w:val="0A914B7A"/>
    <w:rsid w:val="0CD8398F"/>
    <w:rsid w:val="185C342C"/>
    <w:rsid w:val="18FE29CF"/>
    <w:rsid w:val="1B326960"/>
    <w:rsid w:val="1E803E86"/>
    <w:rsid w:val="21D544E9"/>
    <w:rsid w:val="302402A4"/>
    <w:rsid w:val="33CA19D4"/>
    <w:rsid w:val="34AC732B"/>
    <w:rsid w:val="360867DE"/>
    <w:rsid w:val="383218F5"/>
    <w:rsid w:val="39F71049"/>
    <w:rsid w:val="3C3B6BC0"/>
    <w:rsid w:val="3CC23296"/>
    <w:rsid w:val="3D6A5F84"/>
    <w:rsid w:val="42380450"/>
    <w:rsid w:val="4246491B"/>
    <w:rsid w:val="44017FF9"/>
    <w:rsid w:val="44E66977"/>
    <w:rsid w:val="45617CBE"/>
    <w:rsid w:val="4C2E2DFE"/>
    <w:rsid w:val="51183927"/>
    <w:rsid w:val="51621046"/>
    <w:rsid w:val="51A11B6E"/>
    <w:rsid w:val="53130849"/>
    <w:rsid w:val="53511372"/>
    <w:rsid w:val="54EB1352"/>
    <w:rsid w:val="603B7BFD"/>
    <w:rsid w:val="626F1FD6"/>
    <w:rsid w:val="64322AF9"/>
    <w:rsid w:val="66F10A4A"/>
    <w:rsid w:val="689618A9"/>
    <w:rsid w:val="69BD2E65"/>
    <w:rsid w:val="6A2904FB"/>
    <w:rsid w:val="6A3337AC"/>
    <w:rsid w:val="6C67530A"/>
    <w:rsid w:val="6CA7080E"/>
    <w:rsid w:val="70653C0C"/>
    <w:rsid w:val="73AF3792"/>
    <w:rsid w:val="751A5610"/>
    <w:rsid w:val="7C1C1C6D"/>
    <w:rsid w:val="7D951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0"/>
    <w:pPr>
      <w:keepNext/>
      <w:keepLines/>
      <w:numPr>
        <w:ilvl w:val="5"/>
        <w:numId w:val="1"/>
      </w:numPr>
      <w:spacing w:line="317" w:lineRule="auto"/>
      <w:outlineLvl w:val="5"/>
    </w:pPr>
    <w:rPr>
      <w:rFonts w:ascii="Arial" w:hAnsi="Arial" w:eastAsia="宋体"/>
      <w:b/>
      <w:sz w:val="28"/>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toc 3"/>
    <w:basedOn w:val="1"/>
    <w:next w:val="1"/>
    <w:unhideWhenUsed/>
    <w:qFormat/>
    <w:uiPriority w:val="0"/>
    <w:pPr>
      <w:ind w:left="840" w:leftChars="400"/>
    </w:pPr>
    <w:rPr>
      <w:rFonts w:ascii="Times New Roman" w:hAnsi="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jc w:val="left"/>
    </w:pPr>
    <w:rPr>
      <w:rFonts w:ascii="微软雅黑" w:hAnsi="微软雅黑" w:eastAsia="微软雅黑" w:cs="Times New Roman"/>
      <w:kern w:val="0"/>
      <w:sz w:val="24"/>
    </w:rPr>
  </w:style>
  <w:style w:type="paragraph" w:customStyle="1" w:styleId="9">
    <w:name w:val="Body text|1"/>
    <w:basedOn w:val="1"/>
    <w:qFormat/>
    <w:uiPriority w:val="0"/>
    <w:pPr>
      <w:spacing w:line="442" w:lineRule="auto"/>
      <w:ind w:firstLine="400"/>
      <w:jc w:val="left"/>
    </w:pPr>
    <w:rPr>
      <w:rFonts w:ascii="宋体" w:hAnsi="宋体" w:eastAsia="宋体" w:cs="宋体"/>
      <w:color w:val="000000"/>
      <w:kern w:val="0"/>
      <w:sz w:val="28"/>
      <w:szCs w:val="28"/>
      <w:lang w:val="zh-TW" w:eastAsia="zh-TW" w:bidi="zh-TW"/>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BF6D42-8DEF-4EEC-A638-544D5BB7DBCE}">
  <ds:schemaRefs/>
</ds:datastoreItem>
</file>

<file path=docProps/app.xml><?xml version="1.0" encoding="utf-8"?>
<Properties xmlns="http://schemas.openxmlformats.org/officeDocument/2006/extended-properties" xmlns:vt="http://schemas.openxmlformats.org/officeDocument/2006/docPropsVTypes">
  <Template>Normal</Template>
  <Pages>25</Pages>
  <Words>11958</Words>
  <Characters>12573</Characters>
  <Lines>95</Lines>
  <Paragraphs>27</Paragraphs>
  <TotalTime>35</TotalTime>
  <ScaleCrop>false</ScaleCrop>
  <LinksUpToDate>false</LinksUpToDate>
  <CharactersWithSpaces>12578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2023-03-16T05:26:00Z</dcterms:created>
  <dc:creator>hp</dc:creator>
  <cp:lastModifiedBy>hp</cp:lastModifiedBy>
  <cp:lastPrinted>2023-03-16T06:51:00Z</cp:lastPrinted>
  <dcterms:modified xsi:type="dcterms:W3CDTF">2023-09-20T08:46:18Z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6A6C343338194B628156F38D88F3955A_13</vt:lpwstr>
  </property>
</Properties>
</file>