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21"/>
          <w:szCs w:val="21"/>
          <w:lang w:bidi="ar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bidi="ar"/>
        </w:rPr>
        <w:t>年度兰州新区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 w:bidi="ar"/>
        </w:rPr>
        <w:t>西岔综合门诊部</w:t>
      </w:r>
      <w:bookmarkStart w:id="0" w:name="_Toc5851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b/>
          <w:bCs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部门预算执行情况自评报告</w:t>
      </w:r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一、部门基本情况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）单位主要职责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兰州新区西岔综合门诊部（兰州新区精神卫生中心）是经兰州新区党工委批准建立的一家以精神卫生、大学生健康服务为特色的，融合医疗、急救、教学、预防保健为一体的现代化、区域性、标志性医疗卫生服务机构，直属兰州新区卫生健康委员会管理，主要承担辖区常见病、多发病、较疑难病症诊治任务；开展精神卫生、创伤等专科服务，开展传染病预防、诊治工作；承担基层医疗卫生机构医疗、康复和预防保健等业务指导任务；承担危急重症抢救和各类突发事件现场急救等诊治任务；承担辖区大中专院校健康教育、健康体检、心理咨询等诊疗任务。重点打造兰州新区精神卫生中心防治中心，现已成为甘肃省精神卫生临床医学研究中心分中心、甘肃省精神卫生专科联盟单位。承担精神心理疾病诊治任务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）内设机构及所属单位概况。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兰州新区西岔综合门诊部（兰州新区精神卫生中心）办公用房面积共五层约6867.8㎡，核定床位60张。配备全自动生化分析仪、多普勒彩超机、便携式彩超机、心电图、全血细胞分析仪和血凝分析仪、DR、移动DR等检验、检查设备，还配置心理健康测评系统、磁刺激仪（TMS）、团体生物反馈仪、失眠治疗仪、脑循环治疗仪、脑电图等设备。内设内科（妇科、儿科）、外科（皮肤）、精神卫生科、公共卫生科（健康服务中心）、全科医疗科、门急诊、心理卫生诊室等科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本单位共有职工68人，其中正式职工23人，临聘人员45人，其中：离休0人，退休0人。</w:t>
      </w:r>
    </w:p>
    <w:p>
      <w:pPr>
        <w:pStyle w:val="6"/>
        <w:pageBreakBefore w:val="0"/>
        <w:widowControl/>
        <w:tabs>
          <w:tab w:val="left" w:pos="695"/>
        </w:tabs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二、绩效自评工作组织开展情况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为确实做好202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年度部门整体绩效自评工作，提高财政资金使用效益，根据《兰州新区财政局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国有资产监督管理局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）关于开展2</w:t>
      </w:r>
      <w:r>
        <w:rPr>
          <w:rFonts w:ascii="仿宋_GB2312" w:eastAsia="仿宋_GB2312" w:hAnsiTheme="minorEastAsia" w:cstheme="minorEastAsia"/>
          <w:sz w:val="32"/>
          <w:szCs w:val="32"/>
        </w:rPr>
        <w:t>0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年度预算执行情况绩效单位自评工作的通知》（兰新财发</w:t>
      </w:r>
      <w:r>
        <w:rPr>
          <w:rFonts w:hint="eastAsia" w:ascii="仿宋_GB2312" w:hAnsi="仿宋_GB2312" w:eastAsia="仿宋_GB2312" w:cs="仿宋_GB2312"/>
          <w:sz w:val="32"/>
          <w:szCs w:val="32"/>
        </w:rPr>
        <w:t>〔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</w:t>
      </w:r>
      <w:r>
        <w:rPr>
          <w:rFonts w:ascii="仿宋_GB2312" w:eastAsia="仿宋_GB2312" w:hAnsiTheme="minorEastAsia" w:cstheme="minorEastAsia"/>
          <w:sz w:val="32"/>
          <w:szCs w:val="32"/>
        </w:rPr>
        <w:t>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号）文件精神，结合实际，我单位组织成立了绩效评价工作小组，检查支出相关资料，并根据绩效自评材料进行分析、总结。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三、部门整体支出绩效自评情况分析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（一）部门决算情况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1.收入决算情况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2022年度总收入1683.26万元，其中一般公共预算财政收入476.37万元，占总收入的28.30%；上级补助收入212.82万元，占总收入的12.64%；事业收入994.07万元，占总收入的59.06%。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2.支出决算情况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2022年度总支出1659.28万元，其中基本支出人员经费434.10万元，占26.16%；公用经费1019.57万元，占61.45%；专项支出205.60万元，占12.39%；其中基层医疗卫生支出37.51万元，公共卫生监督机构支出1.25万元，基本公共卫生服务支出112.90万元，重大公共卫生服务支出2.70万元，突发公共卫生事件应急处理支出38.33万元，中医（民族医）药专项支出3万元，其他中医药支出9.91万元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基本支出用于为保障机构正常运转、完成日常工作任务而发生的支出，包括人员经费和公用经费。202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年度本单位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一般公共预算财政拨款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人员经费支出434.10万元，公用经费支出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42.27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万元。本年度基本支出与调整后的预算基本一致。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（二）总体绩效目标完成情况分析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1.总体绩效目标</w:t>
      </w:r>
    </w:p>
    <w:p>
      <w:pPr>
        <w:pStyle w:val="2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目标1：发放医护人员工资，缴纳各类保险；办公经费开支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目标2：加强基层医疗机构管理及医护人员队伍建设</w:t>
      </w:r>
    </w:p>
    <w:p>
      <w:pPr>
        <w:pStyle w:val="2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目标3：重点打造兰州新区精神卫生中心防治中心，现已成为甘肃省精神卫生临床医学研究中心分中心、甘肃省精神卫生专科联盟单位。承担精神心理疾病诊治任务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目标4：强化院校合作，推进职教园区公共卫生工作情况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：进一步解决居民以及辖区大中专学生看病难，看病远的难题；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开展辖区内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大中专院校健康教育、健康体检、心理咨询等诊疗任务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2.完情况分析</w:t>
      </w:r>
    </w:p>
    <w:p>
      <w:pPr>
        <w:pStyle w:val="2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目标1完成情况：人员经费支出434.10万元；公用经费支出42.27万元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目标2完成情况：建立健全各项规章制度，单位班子及医护队伍，团结务实，职责分明，能够相互配合，协调一致</w:t>
      </w:r>
    </w:p>
    <w:p>
      <w:pPr>
        <w:pStyle w:val="2"/>
        <w:pageBreakBefore w:val="0"/>
        <w:widowControl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目标3完成情况：截至目前，累计兜底托养救助患者21人次，收入4.4万元；累计收住入院患者287人次，最长住院410余天，最短住院3天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目标4完成情况：制定《职教园区大中专院校国家基本公共卫生服务工作实施方案》，合理使用项目经费，开发信息化工作平台，高效覆盖完成职教园区常驻院校5万学生（指居住半年以上的户籍及非户籍）的健康档案建档和校园医生签约工作，共计完成建档55012人份，签约43019人次，签约率达78%以上，成功上传甘肃省城乡居民健康档案管理平台18372人份，做到了基本医疗全覆盖，健康教育全覆盖，健康体检全覆盖，心理筛查全覆盖，真正实现了有病早诊治、无病早预防的基本公共卫生服务目标。</w:t>
      </w:r>
    </w:p>
    <w:p>
      <w:pPr>
        <w:pStyle w:val="2"/>
        <w:numPr>
          <w:ilvl w:val="5"/>
          <w:numId w:val="0"/>
        </w:numPr>
        <w:ind w:firstLine="640" w:firstLineChars="200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目标5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完成情况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：截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至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目前，在学校广泛开展心理测评工作，完成心理测评2512人次，并对风险状况和重点人群及时管控，及时干预和心理治疗。多形式开展健康教育活动，进校园、进班级开展健康教育讲座及咨询30余次，普及学生15001人次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（三）各项指标完成情况分析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根据本次自评工作要求，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</w:t>
      </w:r>
      <w:r>
        <w:rPr>
          <w:rFonts w:hint="eastAsia" w:ascii="仿宋" w:hAnsi="仿宋" w:eastAsia="仿宋" w:cs="仿宋"/>
          <w:sz w:val="32"/>
          <w:szCs w:val="32"/>
        </w:rPr>
        <w:t>结合202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年度履职工作实际，从部门管理、履职效果、能力建设及服务对象满意度四个方面开展部门整体支出绩效自评。经对各项履职工作相关资料的整理、汇总分析，综合评分为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97</w:t>
      </w:r>
      <w:r>
        <w:rPr>
          <w:rFonts w:hint="eastAsia" w:ascii="仿宋" w:hAnsi="仿宋" w:eastAsia="仿宋" w:cs="仿宋"/>
          <w:sz w:val="32"/>
          <w:szCs w:val="32"/>
        </w:rPr>
        <w:t>分。各项指标完成情况分析如下：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1.部门整体支出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部门整体支出指标分值10分，2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022</w:t>
      </w:r>
      <w:r>
        <w:rPr>
          <w:rFonts w:hint="eastAsia" w:ascii="仿宋" w:hAnsi="仿宋" w:eastAsia="仿宋" w:cs="仿宋"/>
          <w:sz w:val="32"/>
          <w:szCs w:val="32"/>
        </w:rPr>
        <w:t>年度我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 w:cs="仿宋"/>
          <w:sz w:val="32"/>
          <w:szCs w:val="32"/>
        </w:rPr>
        <w:t>整体支出年初预算数为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476.37</w:t>
      </w:r>
      <w:r>
        <w:rPr>
          <w:rFonts w:hint="eastAsia" w:ascii="仿宋" w:hAnsi="仿宋" w:eastAsia="仿宋" w:cs="仿宋"/>
          <w:sz w:val="32"/>
          <w:szCs w:val="32"/>
        </w:rPr>
        <w:t>万元，全年预算数为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1683.26</w:t>
      </w:r>
      <w:r>
        <w:rPr>
          <w:rFonts w:hint="eastAsia" w:ascii="仿宋" w:hAnsi="仿宋" w:eastAsia="仿宋" w:cs="仿宋"/>
          <w:sz w:val="32"/>
          <w:szCs w:val="32"/>
        </w:rPr>
        <w:t>万元，实际支出数为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1659.28</w:t>
      </w:r>
      <w:r>
        <w:rPr>
          <w:rFonts w:hint="eastAsia" w:ascii="仿宋" w:hAnsi="仿宋" w:eastAsia="仿宋" w:cs="仿宋"/>
          <w:sz w:val="32"/>
          <w:szCs w:val="32"/>
        </w:rPr>
        <w:t>万元，执行率为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98.58</w:t>
      </w:r>
      <w:r>
        <w:rPr>
          <w:rFonts w:hint="eastAsia" w:ascii="仿宋" w:hAnsi="仿宋" w:eastAsia="仿宋" w:cs="仿宋"/>
          <w:sz w:val="32"/>
          <w:szCs w:val="32"/>
        </w:rPr>
        <w:t>%，按比例，指标得分为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9.5</w:t>
      </w:r>
      <w:r>
        <w:rPr>
          <w:rFonts w:hint="eastAsia" w:ascii="仿宋" w:hAnsi="仿宋" w:eastAsia="仿宋" w:cs="仿宋"/>
          <w:sz w:val="32"/>
          <w:szCs w:val="32"/>
        </w:rPr>
        <w:t>分。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jc w:val="both"/>
        <w:textAlignment w:val="auto"/>
        <w:rPr>
          <w:rFonts w:ascii="仿宋_GB2312" w:eastAsia="仿宋_GB2312" w:hAnsiTheme="minorEastAsia" w:cstheme="minorEastAsia"/>
          <w:b/>
          <w:bCs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 w:hAnsiTheme="minorEastAsia" w:cstheme="minorEastAsia"/>
          <w:b/>
          <w:bCs/>
          <w:sz w:val="32"/>
          <w:szCs w:val="32"/>
        </w:rPr>
        <w:t>部门管理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部门管理指标分值20分，从资金投入、财务管理、采购管理、资产管理、人员管理及重点工作管理六方面对我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单位2022</w:t>
      </w:r>
      <w:r>
        <w:rPr>
          <w:rFonts w:hint="eastAsia" w:ascii="仿宋" w:hAnsi="仿宋" w:eastAsia="仿宋" w:cs="仿宋"/>
          <w:sz w:val="32"/>
          <w:szCs w:val="32"/>
        </w:rPr>
        <w:t>年度部门管理情况进行自评分析，得分为19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.5</w:t>
      </w:r>
      <w:r>
        <w:rPr>
          <w:rFonts w:hint="eastAsia" w:ascii="仿宋" w:hAnsi="仿宋" w:eastAsia="仿宋" w:cs="仿宋"/>
          <w:sz w:val="32"/>
          <w:szCs w:val="32"/>
        </w:rPr>
        <w:t>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资产管理指标分值为2分，得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1.5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我单位对于固定资产管理不够全面，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为进一步规范和加强行政事业性国有资产管理，维护资产的安全和完整，提高资产使用效益。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我单位将对</w:t>
      </w:r>
      <w:r>
        <w:rPr>
          <w:rFonts w:hint="eastAsia" w:ascii="仿宋" w:hAnsi="仿宋" w:eastAsia="仿宋" w:cs="仿宋"/>
          <w:sz w:val="32"/>
          <w:szCs w:val="32"/>
        </w:rPr>
        <w:t>资产配置、资产使用和管理、资产处置等内容进行明确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及制定相关制度，并</w:t>
      </w:r>
      <w:r>
        <w:rPr>
          <w:rFonts w:hint="eastAsia" w:ascii="仿宋" w:hAnsi="仿宋" w:eastAsia="仿宋" w:cs="仿宋"/>
          <w:sz w:val="32"/>
          <w:szCs w:val="32"/>
        </w:rPr>
        <w:t>根据相关要求按期完成涉改单位资产清查工作。</w:t>
      </w:r>
    </w:p>
    <w:p>
      <w:pPr>
        <w:pStyle w:val="2"/>
        <w:pageBreakBefore w:val="0"/>
        <w:numPr>
          <w:ilvl w:val="5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ascii="仿宋_GB2312" w:eastAsia="仿宋_GB2312" w:hAnsiTheme="minorEastAsia" w:cstheme="minorEastAsia"/>
          <w:b/>
          <w:bCs w:val="0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b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 w:hAnsiTheme="minorEastAsia" w:cstheme="minorEastAsia"/>
          <w:b/>
          <w:bCs w:val="0"/>
          <w:sz w:val="32"/>
          <w:szCs w:val="32"/>
        </w:rPr>
        <w:t>履职效果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部门履职目标指标根据我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工作职责及年度工作安排，从疫情防控完成情况、卫生健康知识普及情况、患者就医情况、精神卫生创伤服务、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基本公共卫生服务、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心理咨询、健康体检服务等方面对我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单位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年度部门履职工作完成情况进行分析说明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，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得分为54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分</w:t>
      </w:r>
      <w:r>
        <w:rPr>
          <w:rFonts w:hint="eastAsia" w:ascii="仿宋_GB2312" w:eastAsia="仿宋_GB2312" w:hAnsiTheme="minorEastAsia" w:cstheme="minorEastAsia"/>
          <w:sz w:val="32"/>
          <w:szCs w:val="32"/>
          <w:lang w:eastAsia="zh-CN"/>
        </w:rPr>
        <w:t>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  <w:highlight w:val="none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highlight w:val="none"/>
          <w:lang w:eastAsia="zh-CN"/>
        </w:rPr>
        <w:t>卫生健康知识普及情况</w:t>
      </w:r>
      <w:r>
        <w:rPr>
          <w:rFonts w:hint="eastAsia" w:ascii="仿宋_GB2312" w:eastAsia="仿宋_GB2312" w:hAnsiTheme="minorEastAsia" w:cstheme="minorEastAsia"/>
          <w:sz w:val="32"/>
          <w:szCs w:val="32"/>
          <w:highlight w:val="none"/>
          <w:lang w:val="en-US" w:eastAsia="zh-CN"/>
        </w:rPr>
        <w:t>指标分值为5分，得分4分。我单位对于卫生健康知识的普及不够到位。接下来我们将重点对卫生健康知识普及工作做进一步的推进，高度重视防护意识提升、防护知识普及、防护技能提升；对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专业防护、公共场所消毒、消毒用品使用等知识开展培训</w:t>
      </w:r>
      <w:r>
        <w:rPr>
          <w:rFonts w:hint="eastAsia" w:ascii="仿宋_GB2312" w:eastAsia="仿宋_GB2312" w:hAnsiTheme="minorEastAsia" w:cstheme="minorEastAsia"/>
          <w:sz w:val="32"/>
          <w:szCs w:val="32"/>
          <w:highlight w:val="none"/>
          <w:lang w:val="en-US" w:eastAsia="zh-CN"/>
        </w:rPr>
        <w:t>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4.能力建设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能力建设指标分值为10分，得9.5分。2022年度我单位坚持做好人力资源建设工作，强化人员工作能力，进一步加强各项档案资料的管理，为后续相关工作开展带来可持续影响。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人力资源建设指标分值为2分，得1.5分，培训机制不够完备。我单位将积极开展相关人员培训工作，以完备的培训机制来促进人员能力的提升，保障部门整体工作的有效开展。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绩效自评结果拟应用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年预算绩效</w:t>
      </w:r>
      <w:r>
        <w:rPr>
          <w:rFonts w:hint="eastAsia" w:ascii="仿宋_GB2312" w:eastAsia="仿宋_GB2312"/>
          <w:sz w:val="32"/>
          <w:szCs w:val="32"/>
        </w:rPr>
        <w:t>评价的相关规定，积极完善预算绩效评价指标体系，本着客观、公正、实事求是的原则，认真对照考核内容及标准，进行了逐</w:t>
      </w:r>
      <w:r>
        <w:rPr>
          <w:rFonts w:hint="eastAsia" w:ascii="仿宋_GB2312" w:eastAsia="仿宋_GB2312"/>
          <w:color w:val="000000"/>
          <w:sz w:val="32"/>
          <w:szCs w:val="32"/>
        </w:rPr>
        <w:t>一自查，认为在本次考核期间和范围内，部门预算整体支出绩效自评得分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97.5</w:t>
      </w:r>
      <w:r>
        <w:rPr>
          <w:rFonts w:hint="eastAsia" w:ascii="仿宋_GB2312" w:eastAsia="仿宋_GB2312"/>
          <w:color w:val="000000"/>
          <w:sz w:val="32"/>
          <w:szCs w:val="32"/>
        </w:rPr>
        <w:t>分（详见附表）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。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</w:rPr>
      </w:pP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仿宋_GB2312" w:eastAsia="仿宋_GB2312" w:hAnsiTheme="minorEastAsia" w:cstheme="minorEastAsia"/>
          <w:sz w:val="32"/>
          <w:szCs w:val="32"/>
        </w:rPr>
      </w:pP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center"/>
        <w:textAlignment w:val="auto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兰州新区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西岔综合门诊部</w:t>
      </w:r>
    </w:p>
    <w:p>
      <w:pPr>
        <w:pStyle w:val="6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right="480" w:firstLine="640" w:firstLineChars="200"/>
        <w:jc w:val="center"/>
        <w:textAlignment w:val="auto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202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年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月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13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E626EA-A1AE-4B15-AD3A-F7617E1660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28200C6-5F52-4B15-ACB4-A11146973CF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86C44AF-055A-4EE0-87FA-EDEC25FBAC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6AC6FA5-A0BC-4AE5-A5E8-A04F276954C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06A819D-4FD9-4E19-B469-8F705FD31D2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A65064"/>
    <w:multiLevelType w:val="multilevel"/>
    <w:tmpl w:val="59A6506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、"/>
      <w:lvlJc w:val="left"/>
      <w:pPr>
        <w:tabs>
          <w:tab w:val="left" w:pos="0"/>
        </w:tabs>
        <w:ind w:left="0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2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wOGRmMmJmMjg2NTNjMmY5ODk5NjlmYmUyOGYxNTQifQ=="/>
  </w:docVars>
  <w:rsids>
    <w:rsidRoot w:val="57764F14"/>
    <w:rsid w:val="000049D8"/>
    <w:rsid w:val="0009075B"/>
    <w:rsid w:val="000E5DF2"/>
    <w:rsid w:val="0022685A"/>
    <w:rsid w:val="002B42F1"/>
    <w:rsid w:val="002F0A30"/>
    <w:rsid w:val="004306E3"/>
    <w:rsid w:val="004E0E53"/>
    <w:rsid w:val="00500157"/>
    <w:rsid w:val="00600035"/>
    <w:rsid w:val="00736C3E"/>
    <w:rsid w:val="00745A5A"/>
    <w:rsid w:val="007D54CB"/>
    <w:rsid w:val="007F6879"/>
    <w:rsid w:val="009B4203"/>
    <w:rsid w:val="00AD4832"/>
    <w:rsid w:val="00BE409E"/>
    <w:rsid w:val="00BE60B3"/>
    <w:rsid w:val="00DE687B"/>
    <w:rsid w:val="00E2538C"/>
    <w:rsid w:val="00E679A0"/>
    <w:rsid w:val="00ED6B80"/>
    <w:rsid w:val="00F04304"/>
    <w:rsid w:val="017B2F92"/>
    <w:rsid w:val="025C79C4"/>
    <w:rsid w:val="028B36A9"/>
    <w:rsid w:val="042913CB"/>
    <w:rsid w:val="04A46CA4"/>
    <w:rsid w:val="04CB4231"/>
    <w:rsid w:val="04CB5FDF"/>
    <w:rsid w:val="05504736"/>
    <w:rsid w:val="056B6662"/>
    <w:rsid w:val="06400C4E"/>
    <w:rsid w:val="065D391F"/>
    <w:rsid w:val="06782196"/>
    <w:rsid w:val="071C0D73"/>
    <w:rsid w:val="0749552A"/>
    <w:rsid w:val="07D17DB0"/>
    <w:rsid w:val="0828199A"/>
    <w:rsid w:val="08805332"/>
    <w:rsid w:val="08F57ACE"/>
    <w:rsid w:val="092A0578"/>
    <w:rsid w:val="0969226A"/>
    <w:rsid w:val="098826F0"/>
    <w:rsid w:val="0A4C1970"/>
    <w:rsid w:val="0A5D17C7"/>
    <w:rsid w:val="0AAC68B2"/>
    <w:rsid w:val="0B0B35D9"/>
    <w:rsid w:val="0B7C44D7"/>
    <w:rsid w:val="0B855DD7"/>
    <w:rsid w:val="0C7156BE"/>
    <w:rsid w:val="0CBB4B8B"/>
    <w:rsid w:val="0CEE31B2"/>
    <w:rsid w:val="0E9B4C74"/>
    <w:rsid w:val="0F533EB5"/>
    <w:rsid w:val="1053332C"/>
    <w:rsid w:val="11301FEB"/>
    <w:rsid w:val="12C624DB"/>
    <w:rsid w:val="13906D71"/>
    <w:rsid w:val="13D53509"/>
    <w:rsid w:val="14164D9C"/>
    <w:rsid w:val="142C636E"/>
    <w:rsid w:val="152534E9"/>
    <w:rsid w:val="1537146E"/>
    <w:rsid w:val="15F86E50"/>
    <w:rsid w:val="16377978"/>
    <w:rsid w:val="1683496B"/>
    <w:rsid w:val="169A1667"/>
    <w:rsid w:val="16C86822"/>
    <w:rsid w:val="16D2144F"/>
    <w:rsid w:val="171F21BA"/>
    <w:rsid w:val="173E6AE4"/>
    <w:rsid w:val="185A5BA0"/>
    <w:rsid w:val="18860743"/>
    <w:rsid w:val="18B352B0"/>
    <w:rsid w:val="195C14A3"/>
    <w:rsid w:val="19F636A6"/>
    <w:rsid w:val="1AF851FC"/>
    <w:rsid w:val="1B83540D"/>
    <w:rsid w:val="1C0A168B"/>
    <w:rsid w:val="1C4F677C"/>
    <w:rsid w:val="1CB5415E"/>
    <w:rsid w:val="1D4604A0"/>
    <w:rsid w:val="1D9456B0"/>
    <w:rsid w:val="1DBE272D"/>
    <w:rsid w:val="1E4F15D7"/>
    <w:rsid w:val="1F784B5D"/>
    <w:rsid w:val="1FC102B2"/>
    <w:rsid w:val="1FDB15EE"/>
    <w:rsid w:val="20174376"/>
    <w:rsid w:val="20C462AC"/>
    <w:rsid w:val="20E52609"/>
    <w:rsid w:val="211C7E96"/>
    <w:rsid w:val="232748D0"/>
    <w:rsid w:val="24861ACA"/>
    <w:rsid w:val="24A0493A"/>
    <w:rsid w:val="24AC1531"/>
    <w:rsid w:val="24DB1E16"/>
    <w:rsid w:val="25A70A35"/>
    <w:rsid w:val="25F0369F"/>
    <w:rsid w:val="266876DA"/>
    <w:rsid w:val="26F307A6"/>
    <w:rsid w:val="271433BD"/>
    <w:rsid w:val="27B5694E"/>
    <w:rsid w:val="27BC5F2F"/>
    <w:rsid w:val="27D23622"/>
    <w:rsid w:val="27FF7BCA"/>
    <w:rsid w:val="28A01DEF"/>
    <w:rsid w:val="294F4B81"/>
    <w:rsid w:val="297A1086"/>
    <w:rsid w:val="29CC61D1"/>
    <w:rsid w:val="2A157B78"/>
    <w:rsid w:val="2ABA2D1A"/>
    <w:rsid w:val="2AF21C68"/>
    <w:rsid w:val="2BF50DCA"/>
    <w:rsid w:val="2D12039F"/>
    <w:rsid w:val="2D5E1836"/>
    <w:rsid w:val="2E045F3A"/>
    <w:rsid w:val="2E3A195C"/>
    <w:rsid w:val="2ED2526C"/>
    <w:rsid w:val="2F454A5C"/>
    <w:rsid w:val="2F9E23BE"/>
    <w:rsid w:val="2FCA4F61"/>
    <w:rsid w:val="306B6744"/>
    <w:rsid w:val="30B359F5"/>
    <w:rsid w:val="31172428"/>
    <w:rsid w:val="31C23E0E"/>
    <w:rsid w:val="31F66987"/>
    <w:rsid w:val="3275602C"/>
    <w:rsid w:val="33C65A3F"/>
    <w:rsid w:val="344D2B19"/>
    <w:rsid w:val="348E2AAD"/>
    <w:rsid w:val="34AE30A3"/>
    <w:rsid w:val="35421371"/>
    <w:rsid w:val="35B42B20"/>
    <w:rsid w:val="36AB1C62"/>
    <w:rsid w:val="36E42DAC"/>
    <w:rsid w:val="379522F8"/>
    <w:rsid w:val="38A47554"/>
    <w:rsid w:val="39382F3B"/>
    <w:rsid w:val="3B5F50F7"/>
    <w:rsid w:val="3B6224F2"/>
    <w:rsid w:val="3BB865B6"/>
    <w:rsid w:val="3D2D6B2F"/>
    <w:rsid w:val="3EBB52CA"/>
    <w:rsid w:val="3EC15FB5"/>
    <w:rsid w:val="3EC62D97"/>
    <w:rsid w:val="3EED6576"/>
    <w:rsid w:val="3EF06066"/>
    <w:rsid w:val="40161AFD"/>
    <w:rsid w:val="40494752"/>
    <w:rsid w:val="40BE466E"/>
    <w:rsid w:val="40DC2D46"/>
    <w:rsid w:val="416A2EEF"/>
    <w:rsid w:val="42417305"/>
    <w:rsid w:val="42C6780A"/>
    <w:rsid w:val="43B92ECB"/>
    <w:rsid w:val="43C24475"/>
    <w:rsid w:val="4404683C"/>
    <w:rsid w:val="441954CB"/>
    <w:rsid w:val="44677A8E"/>
    <w:rsid w:val="449556E6"/>
    <w:rsid w:val="44D75CFE"/>
    <w:rsid w:val="44FD2E8A"/>
    <w:rsid w:val="454B7F63"/>
    <w:rsid w:val="45DD7344"/>
    <w:rsid w:val="463B050F"/>
    <w:rsid w:val="46401681"/>
    <w:rsid w:val="47343F9D"/>
    <w:rsid w:val="47B10A89"/>
    <w:rsid w:val="482A25E9"/>
    <w:rsid w:val="483355C6"/>
    <w:rsid w:val="48AE4FC8"/>
    <w:rsid w:val="49B22896"/>
    <w:rsid w:val="4A4C4A99"/>
    <w:rsid w:val="4A5751EC"/>
    <w:rsid w:val="4ACF7478"/>
    <w:rsid w:val="4B1A6945"/>
    <w:rsid w:val="4B95421D"/>
    <w:rsid w:val="4B9A1834"/>
    <w:rsid w:val="4BE07181"/>
    <w:rsid w:val="4CD6689C"/>
    <w:rsid w:val="4D537EEC"/>
    <w:rsid w:val="4DC25072"/>
    <w:rsid w:val="4F5368C9"/>
    <w:rsid w:val="4F586034"/>
    <w:rsid w:val="504B134F"/>
    <w:rsid w:val="505A77E4"/>
    <w:rsid w:val="506C54B3"/>
    <w:rsid w:val="508F09E8"/>
    <w:rsid w:val="50C3182D"/>
    <w:rsid w:val="524E27EF"/>
    <w:rsid w:val="52D4387D"/>
    <w:rsid w:val="535D1AC5"/>
    <w:rsid w:val="538C23AA"/>
    <w:rsid w:val="53A45945"/>
    <w:rsid w:val="54212AF2"/>
    <w:rsid w:val="54DC110F"/>
    <w:rsid w:val="55326F81"/>
    <w:rsid w:val="559317CE"/>
    <w:rsid w:val="56384123"/>
    <w:rsid w:val="56815ACA"/>
    <w:rsid w:val="571C1C97"/>
    <w:rsid w:val="57764F14"/>
    <w:rsid w:val="58D25B75"/>
    <w:rsid w:val="58F46A27"/>
    <w:rsid w:val="59554FEC"/>
    <w:rsid w:val="59E7033A"/>
    <w:rsid w:val="5A252E75"/>
    <w:rsid w:val="5B04316E"/>
    <w:rsid w:val="5B41461C"/>
    <w:rsid w:val="5BA364E3"/>
    <w:rsid w:val="5BA54009"/>
    <w:rsid w:val="5D932E5D"/>
    <w:rsid w:val="5DAD57FA"/>
    <w:rsid w:val="5E8E347A"/>
    <w:rsid w:val="5E9D546B"/>
    <w:rsid w:val="5EB6477F"/>
    <w:rsid w:val="5F0059FA"/>
    <w:rsid w:val="5F1871E8"/>
    <w:rsid w:val="5FBC7B73"/>
    <w:rsid w:val="600A6B30"/>
    <w:rsid w:val="61581B1D"/>
    <w:rsid w:val="62E11ADB"/>
    <w:rsid w:val="64033FC2"/>
    <w:rsid w:val="64406FC4"/>
    <w:rsid w:val="64B74DAD"/>
    <w:rsid w:val="64DF4A2F"/>
    <w:rsid w:val="64F41B5D"/>
    <w:rsid w:val="65646CE3"/>
    <w:rsid w:val="65736B87"/>
    <w:rsid w:val="660F6502"/>
    <w:rsid w:val="679A69EC"/>
    <w:rsid w:val="67A726FB"/>
    <w:rsid w:val="67C057F6"/>
    <w:rsid w:val="683E4218"/>
    <w:rsid w:val="68633281"/>
    <w:rsid w:val="68DB72BC"/>
    <w:rsid w:val="69140A20"/>
    <w:rsid w:val="69870C3F"/>
    <w:rsid w:val="69C75A92"/>
    <w:rsid w:val="6A3A2708"/>
    <w:rsid w:val="6AAA4E8C"/>
    <w:rsid w:val="6AB853DB"/>
    <w:rsid w:val="6B347157"/>
    <w:rsid w:val="6B9B2D32"/>
    <w:rsid w:val="6BE4292B"/>
    <w:rsid w:val="6C7672FB"/>
    <w:rsid w:val="6CC30793"/>
    <w:rsid w:val="6D54588F"/>
    <w:rsid w:val="6D6F0E98"/>
    <w:rsid w:val="6D7952F5"/>
    <w:rsid w:val="6DA300CD"/>
    <w:rsid w:val="6E600263"/>
    <w:rsid w:val="6F0D3F47"/>
    <w:rsid w:val="6F2C00D4"/>
    <w:rsid w:val="6F3C482C"/>
    <w:rsid w:val="6FA32AFD"/>
    <w:rsid w:val="6FCF38F2"/>
    <w:rsid w:val="6FF375E1"/>
    <w:rsid w:val="70207CAA"/>
    <w:rsid w:val="70694649"/>
    <w:rsid w:val="70B36D70"/>
    <w:rsid w:val="70F52EE5"/>
    <w:rsid w:val="7107638D"/>
    <w:rsid w:val="71467BE4"/>
    <w:rsid w:val="714C3E17"/>
    <w:rsid w:val="71687B5B"/>
    <w:rsid w:val="716F0EE9"/>
    <w:rsid w:val="721E46BD"/>
    <w:rsid w:val="7288610B"/>
    <w:rsid w:val="729F57FE"/>
    <w:rsid w:val="73BE4472"/>
    <w:rsid w:val="73D74B24"/>
    <w:rsid w:val="7440091B"/>
    <w:rsid w:val="74AE7F7A"/>
    <w:rsid w:val="75440CCF"/>
    <w:rsid w:val="75AF0683"/>
    <w:rsid w:val="76790114"/>
    <w:rsid w:val="77304C77"/>
    <w:rsid w:val="773D7394"/>
    <w:rsid w:val="780F6F82"/>
    <w:rsid w:val="78104AA8"/>
    <w:rsid w:val="78D12489"/>
    <w:rsid w:val="78F9331C"/>
    <w:rsid w:val="78FA3D25"/>
    <w:rsid w:val="79AE0980"/>
    <w:rsid w:val="7AA37E55"/>
    <w:rsid w:val="7AD718AD"/>
    <w:rsid w:val="7C02295A"/>
    <w:rsid w:val="7C181D26"/>
    <w:rsid w:val="7C653614"/>
    <w:rsid w:val="7CC3658D"/>
    <w:rsid w:val="7D3F47E6"/>
    <w:rsid w:val="7D5B7641"/>
    <w:rsid w:val="7D782ED3"/>
    <w:rsid w:val="7E29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317" w:lineRule="auto"/>
      <w:outlineLvl w:val="5"/>
    </w:pPr>
    <w:rPr>
      <w:rFonts w:ascii="Arial" w:hAnsi="Arial" w:eastAsia="宋体"/>
      <w:b/>
      <w:sz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33"/>
    <w:qFormat/>
    <w:uiPriority w:val="0"/>
    <w:rPr>
      <w:sz w:val="18"/>
      <w:szCs w:val="18"/>
    </w:rPr>
  </w:style>
  <w:style w:type="paragraph" w:styleId="4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3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Emphasis"/>
    <w:basedOn w:val="8"/>
    <w:qFormat/>
    <w:uiPriority w:val="0"/>
    <w:rPr>
      <w:rFonts w:hint="eastAsia" w:ascii="微软雅黑" w:hAnsi="微软雅黑" w:eastAsia="微软雅黑" w:cs="微软雅黑"/>
    </w:rPr>
  </w:style>
  <w:style w:type="character" w:styleId="11">
    <w:name w:val="Hyperlink"/>
    <w:basedOn w:val="8"/>
    <w:qFormat/>
    <w:uiPriority w:val="0"/>
    <w:rPr>
      <w:color w:val="333333"/>
      <w:u w:val="none"/>
    </w:rPr>
  </w:style>
  <w:style w:type="character" w:customStyle="1" w:styleId="12">
    <w:name w:val="after"/>
    <w:basedOn w:val="8"/>
    <w:qFormat/>
    <w:uiPriority w:val="0"/>
    <w:rPr>
      <w:shd w:val="clear" w:color="auto" w:fill="FFFFFF"/>
    </w:rPr>
  </w:style>
  <w:style w:type="character" w:customStyle="1" w:styleId="13">
    <w:name w:val="text"/>
    <w:basedOn w:val="8"/>
    <w:qFormat/>
    <w:uiPriority w:val="0"/>
    <w:rPr>
      <w:color w:val="666666"/>
    </w:rPr>
  </w:style>
  <w:style w:type="character" w:customStyle="1" w:styleId="14">
    <w:name w:val="bsharetext"/>
    <w:basedOn w:val="8"/>
    <w:qFormat/>
    <w:uiPriority w:val="0"/>
  </w:style>
  <w:style w:type="character" w:customStyle="1" w:styleId="15">
    <w:name w:val="last"/>
    <w:basedOn w:val="8"/>
    <w:qFormat/>
    <w:uiPriority w:val="0"/>
  </w:style>
  <w:style w:type="character" w:customStyle="1" w:styleId="16">
    <w:name w:val="wx-space"/>
    <w:basedOn w:val="8"/>
    <w:qFormat/>
    <w:uiPriority w:val="0"/>
  </w:style>
  <w:style w:type="character" w:customStyle="1" w:styleId="17">
    <w:name w:val="wx-space1"/>
    <w:basedOn w:val="8"/>
    <w:qFormat/>
    <w:uiPriority w:val="0"/>
  </w:style>
  <w:style w:type="character" w:customStyle="1" w:styleId="18">
    <w:name w:val="hover20"/>
    <w:basedOn w:val="8"/>
    <w:qFormat/>
    <w:uiPriority w:val="0"/>
    <w:rPr>
      <w:color w:val="000000"/>
      <w:shd w:val="clear" w:color="auto" w:fill="FFFFFF"/>
    </w:rPr>
  </w:style>
  <w:style w:type="character" w:customStyle="1" w:styleId="19">
    <w:name w:val="line"/>
    <w:basedOn w:val="8"/>
    <w:qFormat/>
    <w:uiPriority w:val="0"/>
  </w:style>
  <w:style w:type="character" w:customStyle="1" w:styleId="20">
    <w:name w:val="line1"/>
    <w:basedOn w:val="8"/>
    <w:qFormat/>
    <w:uiPriority w:val="0"/>
  </w:style>
  <w:style w:type="character" w:customStyle="1" w:styleId="21">
    <w:name w:val="hover29"/>
    <w:basedOn w:val="8"/>
    <w:qFormat/>
    <w:uiPriority w:val="0"/>
    <w:rPr>
      <w:color w:val="000000"/>
      <w:shd w:val="clear" w:color="auto" w:fill="FFFFFF"/>
    </w:rPr>
  </w:style>
  <w:style w:type="character" w:customStyle="1" w:styleId="22">
    <w:name w:val="n3"/>
    <w:basedOn w:val="8"/>
    <w:qFormat/>
    <w:uiPriority w:val="0"/>
  </w:style>
  <w:style w:type="character" w:customStyle="1" w:styleId="23">
    <w:name w:val="a1"/>
    <w:basedOn w:val="8"/>
    <w:qFormat/>
    <w:uiPriority w:val="0"/>
  </w:style>
  <w:style w:type="character" w:customStyle="1" w:styleId="24">
    <w:name w:val="a2"/>
    <w:basedOn w:val="8"/>
    <w:qFormat/>
    <w:uiPriority w:val="0"/>
  </w:style>
  <w:style w:type="character" w:customStyle="1" w:styleId="25">
    <w:name w:val="a3"/>
    <w:basedOn w:val="8"/>
    <w:qFormat/>
    <w:uiPriority w:val="0"/>
  </w:style>
  <w:style w:type="character" w:customStyle="1" w:styleId="26">
    <w:name w:val="a4"/>
    <w:basedOn w:val="8"/>
    <w:qFormat/>
    <w:uiPriority w:val="0"/>
  </w:style>
  <w:style w:type="character" w:customStyle="1" w:styleId="27">
    <w:name w:val="n1"/>
    <w:basedOn w:val="8"/>
    <w:qFormat/>
    <w:uiPriority w:val="0"/>
  </w:style>
  <w:style w:type="character" w:customStyle="1" w:styleId="28">
    <w:name w:val="n2"/>
    <w:basedOn w:val="8"/>
    <w:qFormat/>
    <w:uiPriority w:val="0"/>
  </w:style>
  <w:style w:type="character" w:customStyle="1" w:styleId="29">
    <w:name w:val="n4"/>
    <w:basedOn w:val="8"/>
    <w:qFormat/>
    <w:uiPriority w:val="0"/>
  </w:style>
  <w:style w:type="character" w:customStyle="1" w:styleId="30">
    <w:name w:val="n5"/>
    <w:basedOn w:val="8"/>
    <w:qFormat/>
    <w:uiPriority w:val="0"/>
  </w:style>
  <w:style w:type="character" w:customStyle="1" w:styleId="31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页脚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3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2494</Words>
  <Characters>2702</Characters>
  <Lines>9</Lines>
  <Paragraphs>2</Paragraphs>
  <TotalTime>2</TotalTime>
  <ScaleCrop>false</ScaleCrop>
  <LinksUpToDate>false</LinksUpToDate>
  <CharactersWithSpaces>2702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香蕉梨的夏天</cp:lastModifiedBy>
  <cp:lastPrinted>2021-03-11T08:46:00Z</cp:lastPrinted>
  <dcterms:modified xsi:type="dcterms:W3CDTF">2023-09-21T10:01:25Z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8FA2F2D9B30047798BF85EBB72537FFA</vt:lpwstr>
  </property>
</Properties>
</file>