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Fonts w:asciiTheme="majorEastAsia" w:hAnsiTheme="majorEastAsia" w:eastAsiaTheme="majorEastAsia" w:cstheme="minorEastAsia"/>
          <w:b/>
          <w:kern w:val="0"/>
          <w:sz w:val="44"/>
          <w:szCs w:val="44"/>
        </w:rPr>
      </w:pPr>
      <w:r>
        <w:rPr>
          <w:rFonts w:hint="eastAsia" w:asciiTheme="majorEastAsia" w:hAnsiTheme="majorEastAsia" w:eastAsiaTheme="majorEastAsia" w:cstheme="minorEastAsia"/>
          <w:b/>
          <w:kern w:val="0"/>
          <w:sz w:val="44"/>
          <w:szCs w:val="44"/>
        </w:rPr>
        <w:t>兰州新区第</w:t>
      </w:r>
      <w:r>
        <w:rPr>
          <w:rFonts w:hint="eastAsia" w:asciiTheme="majorEastAsia" w:hAnsiTheme="majorEastAsia" w:eastAsiaTheme="majorEastAsia" w:cstheme="minorEastAsia"/>
          <w:b/>
          <w:kern w:val="0"/>
          <w:sz w:val="44"/>
          <w:szCs w:val="44"/>
          <w:lang w:eastAsia="zh-CN"/>
        </w:rPr>
        <w:t>五</w:t>
      </w:r>
      <w:r>
        <w:rPr>
          <w:rFonts w:hint="eastAsia" w:asciiTheme="majorEastAsia" w:hAnsiTheme="majorEastAsia" w:eastAsiaTheme="majorEastAsia" w:cstheme="minorEastAsia"/>
          <w:b/>
          <w:kern w:val="0"/>
          <w:sz w:val="44"/>
          <w:szCs w:val="44"/>
        </w:rPr>
        <w:t>小学</w:t>
      </w:r>
    </w:p>
    <w:p>
      <w:pPr>
        <w:widowControl/>
        <w:spacing w:line="560" w:lineRule="exact"/>
        <w:ind w:firstLine="883" w:firstLineChars="200"/>
        <w:jc w:val="left"/>
        <w:rPr>
          <w:rFonts w:asciiTheme="majorEastAsia" w:hAnsiTheme="majorEastAsia" w:eastAsiaTheme="majorEastAsia" w:cstheme="minorEastAsia"/>
          <w:b/>
          <w:sz w:val="44"/>
          <w:szCs w:val="44"/>
        </w:rPr>
      </w:pPr>
      <w:r>
        <w:rPr>
          <w:rFonts w:hint="eastAsia" w:asciiTheme="majorEastAsia" w:hAnsiTheme="majorEastAsia" w:eastAsiaTheme="majorEastAsia" w:cstheme="minorEastAsia"/>
          <w:b/>
          <w:kern w:val="0"/>
          <w:sz w:val="44"/>
          <w:szCs w:val="44"/>
        </w:rPr>
        <w:t>202</w:t>
      </w:r>
      <w:r>
        <w:rPr>
          <w:rFonts w:hint="eastAsia" w:asciiTheme="majorEastAsia" w:hAnsiTheme="majorEastAsia" w:eastAsiaTheme="majorEastAsia" w:cstheme="minorEastAsia"/>
          <w:b/>
          <w:kern w:val="0"/>
          <w:sz w:val="44"/>
          <w:szCs w:val="44"/>
          <w:lang w:val="en-US" w:eastAsia="zh-CN"/>
        </w:rPr>
        <w:t>1</w:t>
      </w:r>
      <w:r>
        <w:rPr>
          <w:rFonts w:hint="eastAsia" w:asciiTheme="majorEastAsia" w:hAnsiTheme="majorEastAsia" w:eastAsiaTheme="majorEastAsia" w:cstheme="minorEastAsia"/>
          <w:b/>
          <w:kern w:val="0"/>
          <w:sz w:val="44"/>
          <w:szCs w:val="44"/>
        </w:rPr>
        <w:t>年度部门整体绩效自评报告</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为切实做好202</w:t>
      </w:r>
      <w:r>
        <w:rPr>
          <w:rFonts w:hint="eastAsia" w:ascii="仿宋" w:hAnsi="仿宋" w:eastAsia="仿宋" w:cstheme="minorEastAsia"/>
          <w:sz w:val="32"/>
          <w:szCs w:val="32"/>
          <w:lang w:val="en-US" w:eastAsia="zh-CN"/>
        </w:rPr>
        <w:t>1</w:t>
      </w:r>
      <w:r>
        <w:rPr>
          <w:rFonts w:hint="eastAsia" w:ascii="仿宋" w:hAnsi="仿宋" w:eastAsia="仿宋" w:cstheme="minorEastAsia"/>
          <w:sz w:val="32"/>
          <w:szCs w:val="32"/>
        </w:rPr>
        <w:t>年度部门整体绩效自评工作，提高财政资金使用效益，根据《兰州新区财政局关于开展县级财政资金绩效自评和绩效监控工作的通知》文件精神，结合实际，我校组织成立了绩效评价工作小组，评价小组采取多种方式检查基本支出、项目支出有关账目，收集整理支出相关资料，对绩效自评材料进行分析、总结，现将我校整体支出绩效自评结果报告如下：</w:t>
      </w:r>
    </w:p>
    <w:p>
      <w:pPr>
        <w:pStyle w:val="4"/>
        <w:widowControl/>
        <w:spacing w:line="560" w:lineRule="exact"/>
        <w:ind w:firstLine="640" w:firstLineChars="200"/>
        <w:rPr>
          <w:rFonts w:ascii="黑体" w:hAnsi="黑体" w:eastAsia="黑体" w:cstheme="minorEastAsia"/>
          <w:sz w:val="32"/>
          <w:szCs w:val="32"/>
        </w:rPr>
      </w:pPr>
      <w:r>
        <w:rPr>
          <w:rFonts w:hint="eastAsia" w:ascii="黑体" w:hAnsi="黑体" w:eastAsia="黑体" w:cstheme="minorEastAsia"/>
          <w:sz w:val="32"/>
          <w:szCs w:val="32"/>
        </w:rPr>
        <w:t>一、部门基本情况</w:t>
      </w:r>
    </w:p>
    <w:p>
      <w:pPr>
        <w:pStyle w:val="4"/>
        <w:widowControl/>
        <w:spacing w:line="560" w:lineRule="exact"/>
        <w:ind w:firstLine="643" w:firstLineChars="200"/>
        <w:rPr>
          <w:rFonts w:ascii="仿宋" w:hAnsi="仿宋" w:eastAsia="仿宋" w:cstheme="minorEastAsia"/>
          <w:b/>
          <w:sz w:val="32"/>
          <w:szCs w:val="32"/>
        </w:rPr>
      </w:pPr>
      <w:r>
        <w:rPr>
          <w:rFonts w:hint="eastAsia" w:ascii="仿宋" w:hAnsi="仿宋" w:eastAsia="仿宋" w:cstheme="minorEastAsia"/>
          <w:b/>
          <w:sz w:val="32"/>
          <w:szCs w:val="32"/>
        </w:rPr>
        <w:t>（一）单位主要职责</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1.</w:t>
      </w:r>
      <w:r>
        <w:rPr>
          <w:rFonts w:ascii="仿宋" w:hAnsi="仿宋" w:eastAsia="仿宋" w:cstheme="minorEastAsia"/>
          <w:sz w:val="32"/>
          <w:szCs w:val="32"/>
        </w:rPr>
        <w:t>正确贯彻执行党和国家的教育方针、政策、法规。</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2.</w:t>
      </w:r>
      <w:r>
        <w:rPr>
          <w:rFonts w:ascii="仿宋" w:hAnsi="仿宋" w:eastAsia="仿宋" w:cstheme="minorEastAsia"/>
          <w:sz w:val="32"/>
          <w:szCs w:val="32"/>
        </w:rPr>
        <w:t>维护学校的教学秩序，为学生创造良好的学习环境；</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3.</w:t>
      </w:r>
      <w:r>
        <w:rPr>
          <w:rFonts w:ascii="仿宋" w:hAnsi="仿宋" w:eastAsia="仿宋" w:cstheme="minorEastAsia"/>
          <w:sz w:val="32"/>
          <w:szCs w:val="32"/>
        </w:rPr>
        <w:t>积极稳妥地推进教育改革，按教育规律办事，不断提高教育质量；</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4.</w:t>
      </w:r>
      <w:r>
        <w:rPr>
          <w:rFonts w:ascii="仿宋" w:hAnsi="仿宋" w:eastAsia="仿宋" w:cstheme="minorEastAsia"/>
          <w:sz w:val="32"/>
          <w:szCs w:val="32"/>
        </w:rPr>
        <w:t>根据学校规模，设置学校管理机构，建立健全各项规章制度和岗位责任制。</w:t>
      </w:r>
      <w:r>
        <w:rPr>
          <w:rFonts w:ascii="仿宋" w:hAnsi="仿宋" w:eastAsia="仿宋" w:cstheme="minorEastAsia"/>
          <w:sz w:val="32"/>
          <w:szCs w:val="32"/>
        </w:rPr>
        <w:br w:type="textWrapping"/>
      </w:r>
      <w:r>
        <w:rPr>
          <w:rFonts w:hint="eastAsia" w:ascii="仿宋" w:hAnsi="仿宋" w:eastAsia="仿宋" w:cstheme="minorEastAsia"/>
          <w:sz w:val="32"/>
          <w:szCs w:val="32"/>
        </w:rPr>
        <w:t xml:space="preserve">    5.</w:t>
      </w:r>
      <w:r>
        <w:rPr>
          <w:rFonts w:ascii="仿宋" w:hAnsi="仿宋" w:eastAsia="仿宋" w:cstheme="minorEastAsia"/>
          <w:sz w:val="32"/>
          <w:szCs w:val="32"/>
        </w:rPr>
        <w:t xml:space="preserve">坚持教书育人，服务育人，环境育人方针，加强对学生的思想品德教育，使学生的德智体全面发展。 </w:t>
      </w:r>
      <w:r>
        <w:rPr>
          <w:rFonts w:ascii="仿宋" w:hAnsi="仿宋" w:eastAsia="仿宋" w:cstheme="minorEastAsia"/>
          <w:sz w:val="32"/>
          <w:szCs w:val="32"/>
        </w:rPr>
        <w:br w:type="textWrapping"/>
      </w:r>
      <w:r>
        <w:rPr>
          <w:rFonts w:hint="eastAsia" w:ascii="仿宋" w:hAnsi="仿宋" w:eastAsia="仿宋" w:cstheme="minorEastAsia"/>
          <w:sz w:val="32"/>
          <w:szCs w:val="32"/>
        </w:rPr>
        <w:t xml:space="preserve">    6.</w:t>
      </w:r>
      <w:r>
        <w:rPr>
          <w:rFonts w:ascii="仿宋" w:hAnsi="仿宋" w:eastAsia="仿宋" w:cstheme="minorEastAsia"/>
          <w:sz w:val="32"/>
          <w:szCs w:val="32"/>
        </w:rPr>
        <w:t>抓好教师队伍建设，使每个教师都热心于教育事业；</w:t>
      </w:r>
      <w:r>
        <w:rPr>
          <w:rFonts w:ascii="仿宋" w:hAnsi="仿宋" w:eastAsia="仿宋" w:cstheme="minorEastAsia"/>
          <w:sz w:val="32"/>
          <w:szCs w:val="32"/>
        </w:rPr>
        <w:br w:type="textWrapping"/>
      </w:r>
      <w:r>
        <w:rPr>
          <w:rFonts w:hint="eastAsia" w:ascii="仿宋" w:hAnsi="仿宋" w:eastAsia="仿宋" w:cstheme="minorEastAsia"/>
          <w:sz w:val="32"/>
          <w:szCs w:val="32"/>
        </w:rPr>
        <w:t xml:space="preserve">    7.</w:t>
      </w:r>
      <w:r>
        <w:rPr>
          <w:rFonts w:ascii="仿宋" w:hAnsi="仿宋" w:eastAsia="仿宋" w:cstheme="minorEastAsia"/>
          <w:sz w:val="32"/>
          <w:szCs w:val="32"/>
        </w:rPr>
        <w:t>做好安全防范，保证学生的人</w:t>
      </w:r>
      <w:r>
        <w:rPr>
          <w:rFonts w:hint="eastAsia" w:ascii="仿宋" w:hAnsi="仿宋" w:eastAsia="仿宋" w:cstheme="minorEastAsia"/>
          <w:sz w:val="32"/>
          <w:szCs w:val="32"/>
          <w:lang w:val="en-US" w:eastAsia="zh-CN"/>
        </w:rPr>
        <w:t>身</w:t>
      </w:r>
      <w:bookmarkStart w:id="0" w:name="_GoBack"/>
      <w:bookmarkEnd w:id="0"/>
      <w:r>
        <w:rPr>
          <w:rFonts w:ascii="仿宋" w:hAnsi="仿宋" w:eastAsia="仿宋" w:cstheme="minorEastAsia"/>
          <w:sz w:val="32"/>
          <w:szCs w:val="32"/>
        </w:rPr>
        <w:t>安全。</w:t>
      </w:r>
    </w:p>
    <w:p>
      <w:pPr>
        <w:pStyle w:val="4"/>
        <w:widowControl/>
        <w:spacing w:line="560" w:lineRule="exact"/>
        <w:ind w:firstLine="643" w:firstLineChars="200"/>
        <w:rPr>
          <w:rFonts w:ascii="仿宋" w:hAnsi="仿宋" w:eastAsia="仿宋" w:cstheme="minorEastAsia"/>
          <w:b/>
          <w:sz w:val="32"/>
          <w:szCs w:val="32"/>
        </w:rPr>
      </w:pPr>
      <w:r>
        <w:rPr>
          <w:rFonts w:hint="eastAsia" w:ascii="仿宋" w:hAnsi="仿宋" w:eastAsia="仿宋" w:cstheme="minorEastAsia"/>
          <w:b/>
          <w:sz w:val="32"/>
          <w:szCs w:val="32"/>
        </w:rPr>
        <w:t>（二）机构、人员构成</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我校经教育体育局核定编制人数为</w:t>
      </w:r>
      <w:r>
        <w:rPr>
          <w:rFonts w:hint="eastAsia" w:ascii="仿宋" w:hAnsi="仿宋" w:eastAsia="仿宋" w:cstheme="minorEastAsia"/>
          <w:sz w:val="32"/>
          <w:szCs w:val="32"/>
          <w:lang w:val="en-US" w:eastAsia="zh-CN"/>
        </w:rPr>
        <w:t>90</w:t>
      </w:r>
      <w:r>
        <w:rPr>
          <w:rFonts w:hint="eastAsia" w:ascii="仿宋" w:hAnsi="仿宋" w:eastAsia="仿宋" w:cstheme="minorEastAsia"/>
          <w:sz w:val="32"/>
          <w:szCs w:val="32"/>
        </w:rPr>
        <w:t>人，其中：事业编制</w:t>
      </w:r>
      <w:r>
        <w:rPr>
          <w:rFonts w:hint="eastAsia" w:ascii="仿宋" w:hAnsi="仿宋" w:eastAsia="仿宋" w:cstheme="minorEastAsia"/>
          <w:sz w:val="32"/>
          <w:szCs w:val="32"/>
          <w:lang w:val="en-US" w:eastAsia="zh-CN"/>
        </w:rPr>
        <w:t>77</w:t>
      </w:r>
      <w:r>
        <w:rPr>
          <w:rFonts w:hint="eastAsia" w:ascii="仿宋" w:hAnsi="仿宋" w:eastAsia="仿宋" w:cstheme="minorEastAsia"/>
          <w:sz w:val="32"/>
          <w:szCs w:val="32"/>
        </w:rPr>
        <w:t>人，聘用编制</w:t>
      </w:r>
      <w:r>
        <w:rPr>
          <w:rFonts w:hint="eastAsia" w:ascii="仿宋" w:hAnsi="仿宋" w:eastAsia="仿宋" w:cstheme="minorEastAsia"/>
          <w:sz w:val="32"/>
          <w:szCs w:val="32"/>
          <w:lang w:val="en-US" w:eastAsia="zh-CN"/>
        </w:rPr>
        <w:t>13</w:t>
      </w:r>
      <w:r>
        <w:rPr>
          <w:rFonts w:hint="eastAsia" w:ascii="仿宋" w:hAnsi="仿宋" w:eastAsia="仿宋" w:cstheme="minorEastAsia"/>
          <w:sz w:val="32"/>
          <w:szCs w:val="32"/>
        </w:rPr>
        <w:t>人。</w:t>
      </w:r>
    </w:p>
    <w:p>
      <w:pPr>
        <w:spacing w:line="560" w:lineRule="exact"/>
        <w:ind w:firstLine="640" w:firstLineChars="200"/>
        <w:jc w:val="left"/>
        <w:rPr>
          <w:rFonts w:ascii="黑体" w:hAnsi="黑体" w:eastAsia="黑体" w:cstheme="minorEastAsia"/>
          <w:sz w:val="32"/>
          <w:szCs w:val="32"/>
        </w:rPr>
      </w:pPr>
      <w:r>
        <w:rPr>
          <w:rFonts w:hint="eastAsia" w:ascii="黑体" w:hAnsi="黑体" w:eastAsia="黑体" w:cstheme="minorEastAsia"/>
          <w:sz w:val="32"/>
          <w:szCs w:val="32"/>
        </w:rPr>
        <w:t>二、绩效自评工作组织开展情况</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本单位为认真做好202</w:t>
      </w:r>
      <w:r>
        <w:rPr>
          <w:rFonts w:hint="eastAsia" w:ascii="仿宋" w:hAnsi="仿宋" w:eastAsia="仿宋" w:cstheme="minorEastAsia"/>
          <w:sz w:val="32"/>
          <w:szCs w:val="32"/>
          <w:lang w:val="en-US" w:eastAsia="zh-CN"/>
        </w:rPr>
        <w:t>1</w:t>
      </w:r>
      <w:r>
        <w:rPr>
          <w:rFonts w:hint="eastAsia" w:ascii="仿宋" w:hAnsi="仿宋" w:eastAsia="仿宋" w:cstheme="minorEastAsia"/>
          <w:sz w:val="32"/>
          <w:szCs w:val="32"/>
        </w:rPr>
        <w:t>年度预算执行情况绩效单位自评工作，按照</w:t>
      </w:r>
      <w:r>
        <w:rPr>
          <w:rFonts w:hint="eastAsia" w:ascii="仿宋" w:hAnsi="仿宋" w:eastAsia="仿宋" w:cstheme="minorEastAsia"/>
          <w:sz w:val="32"/>
          <w:szCs w:val="32"/>
          <w:lang w:eastAsia="zh-CN"/>
        </w:rPr>
        <w:t>财政局</w:t>
      </w:r>
      <w:r>
        <w:rPr>
          <w:rFonts w:hint="eastAsia" w:ascii="仿宋" w:hAnsi="仿宋" w:eastAsia="仿宋" w:cstheme="minorEastAsia"/>
          <w:sz w:val="32"/>
          <w:szCs w:val="32"/>
        </w:rPr>
        <w:t>有关规定，学校成立自评工作领导小组，由白美仁校长任组长，对我单位202</w:t>
      </w:r>
      <w:r>
        <w:rPr>
          <w:rFonts w:hint="eastAsia" w:ascii="仿宋" w:hAnsi="仿宋" w:eastAsia="仿宋" w:cstheme="minorEastAsia"/>
          <w:sz w:val="32"/>
          <w:szCs w:val="32"/>
          <w:lang w:val="en-US" w:eastAsia="zh-CN"/>
        </w:rPr>
        <w:t>1</w:t>
      </w:r>
      <w:r>
        <w:rPr>
          <w:rFonts w:hint="eastAsia" w:ascii="仿宋" w:hAnsi="仿宋" w:eastAsia="仿宋" w:cstheme="minorEastAsia"/>
          <w:sz w:val="32"/>
          <w:szCs w:val="32"/>
        </w:rPr>
        <w:t>年度整体预算和预算执行情况进行绩效自评。</w:t>
      </w:r>
    </w:p>
    <w:p>
      <w:pPr>
        <w:spacing w:line="560" w:lineRule="exact"/>
        <w:ind w:firstLine="640" w:firstLineChars="200"/>
        <w:jc w:val="left"/>
        <w:rPr>
          <w:rFonts w:ascii="黑体" w:hAnsi="黑体" w:eastAsia="黑体" w:cstheme="minorEastAsia"/>
          <w:sz w:val="32"/>
          <w:szCs w:val="32"/>
        </w:rPr>
      </w:pPr>
      <w:r>
        <w:rPr>
          <w:rFonts w:hint="eastAsia" w:ascii="黑体" w:hAnsi="黑体" w:eastAsia="黑体" w:cstheme="minorEastAsia"/>
          <w:sz w:val="32"/>
          <w:szCs w:val="32"/>
        </w:rPr>
        <w:t>三、部门整体支出绩效自评情况分析</w:t>
      </w:r>
    </w:p>
    <w:p>
      <w:pPr>
        <w:spacing w:line="560" w:lineRule="exact"/>
        <w:ind w:firstLine="643" w:firstLineChars="200"/>
        <w:jc w:val="left"/>
        <w:rPr>
          <w:rFonts w:ascii="仿宋" w:hAnsi="仿宋" w:eastAsia="仿宋" w:cstheme="minorEastAsia"/>
          <w:b/>
          <w:sz w:val="32"/>
          <w:szCs w:val="32"/>
        </w:rPr>
      </w:pPr>
      <w:r>
        <w:rPr>
          <w:rFonts w:hint="eastAsia" w:ascii="仿宋" w:hAnsi="仿宋" w:eastAsia="仿宋" w:cstheme="minorEastAsia"/>
          <w:b/>
          <w:sz w:val="32"/>
          <w:szCs w:val="32"/>
        </w:rPr>
        <w:t>（一）部门决算情况</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1．收入支出与预算对比分析</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202</w:t>
      </w:r>
      <w:r>
        <w:rPr>
          <w:rFonts w:hint="eastAsia" w:ascii="仿宋" w:hAnsi="仿宋" w:eastAsia="仿宋" w:cstheme="minorEastAsia"/>
          <w:sz w:val="32"/>
          <w:szCs w:val="32"/>
          <w:lang w:val="en-US" w:eastAsia="zh-CN"/>
        </w:rPr>
        <w:t>1</w:t>
      </w:r>
      <w:r>
        <w:rPr>
          <w:rFonts w:hint="eastAsia" w:ascii="仿宋" w:hAnsi="仿宋" w:eastAsia="仿宋" w:cstheme="minorEastAsia"/>
          <w:sz w:val="32"/>
          <w:szCs w:val="32"/>
        </w:rPr>
        <w:t>年单位年初部门预算财政拨款数为</w:t>
      </w:r>
      <w:r>
        <w:rPr>
          <w:rFonts w:hint="eastAsia" w:ascii="仿宋" w:hAnsi="仿宋" w:eastAsia="仿宋" w:cstheme="minorEastAsia"/>
          <w:sz w:val="32"/>
          <w:szCs w:val="32"/>
          <w:lang w:val="en-US" w:eastAsia="zh-CN"/>
        </w:rPr>
        <w:t>1644.09</w:t>
      </w:r>
      <w:r>
        <w:rPr>
          <w:rFonts w:hint="eastAsia" w:ascii="仿宋" w:hAnsi="仿宋" w:eastAsia="仿宋" w:cstheme="minorEastAsia"/>
          <w:sz w:val="32"/>
          <w:szCs w:val="32"/>
        </w:rPr>
        <w:t>万元，实际财政拨款总收入为</w:t>
      </w:r>
      <w:r>
        <w:rPr>
          <w:rFonts w:hint="eastAsia" w:ascii="仿宋" w:hAnsi="仿宋" w:eastAsia="仿宋" w:cstheme="minorEastAsia"/>
          <w:sz w:val="32"/>
          <w:szCs w:val="32"/>
          <w:lang w:val="en-US" w:eastAsia="zh-CN"/>
        </w:rPr>
        <w:t>1854.59</w:t>
      </w:r>
      <w:r>
        <w:rPr>
          <w:rFonts w:hint="eastAsia" w:ascii="仿宋" w:hAnsi="仿宋" w:eastAsia="仿宋" w:cstheme="minorEastAsia"/>
          <w:sz w:val="32"/>
          <w:szCs w:val="32"/>
        </w:rPr>
        <w:t>万元，差异率为</w:t>
      </w:r>
      <w:r>
        <w:rPr>
          <w:rFonts w:hint="eastAsia" w:ascii="仿宋" w:hAnsi="仿宋" w:eastAsia="仿宋" w:cstheme="minorEastAsia"/>
          <w:sz w:val="32"/>
          <w:szCs w:val="32"/>
          <w:lang w:val="en-US" w:eastAsia="zh-CN"/>
        </w:rPr>
        <w:t>12.8</w:t>
      </w:r>
      <w:r>
        <w:rPr>
          <w:rFonts w:hint="eastAsia" w:ascii="仿宋" w:hAnsi="仿宋" w:eastAsia="仿宋" w:cstheme="minorEastAsia"/>
          <w:sz w:val="32"/>
          <w:szCs w:val="32"/>
        </w:rPr>
        <w:t>%，主要原因是人员工资、生活补助、各类保险缴费增加导致本年度收支经费增加。单位本年支出预算数为</w:t>
      </w:r>
      <w:r>
        <w:rPr>
          <w:rFonts w:hint="eastAsia" w:ascii="仿宋" w:hAnsi="仿宋" w:eastAsia="仿宋" w:cstheme="minorEastAsia"/>
          <w:sz w:val="32"/>
          <w:szCs w:val="32"/>
          <w:lang w:val="en-US" w:eastAsia="zh-CN"/>
        </w:rPr>
        <w:t>1858.18</w:t>
      </w:r>
      <w:r>
        <w:rPr>
          <w:rFonts w:hint="eastAsia" w:ascii="仿宋" w:hAnsi="仿宋" w:eastAsia="仿宋" w:cstheme="minorEastAsia"/>
          <w:sz w:val="32"/>
          <w:szCs w:val="32"/>
        </w:rPr>
        <w:t>万元，决算数为</w:t>
      </w:r>
      <w:r>
        <w:rPr>
          <w:rFonts w:hint="eastAsia" w:ascii="仿宋" w:hAnsi="仿宋" w:eastAsia="仿宋" w:cstheme="minorEastAsia"/>
          <w:sz w:val="32"/>
          <w:szCs w:val="32"/>
          <w:lang w:val="en-US" w:eastAsia="zh-CN"/>
        </w:rPr>
        <w:t>1858.18万</w:t>
      </w:r>
      <w:r>
        <w:rPr>
          <w:rFonts w:hint="eastAsia" w:ascii="仿宋" w:hAnsi="仿宋" w:eastAsia="仿宋" w:cstheme="minorEastAsia"/>
          <w:sz w:val="32"/>
          <w:szCs w:val="32"/>
        </w:rPr>
        <w:t>元，差异率为0；其中基本支出预算数为</w:t>
      </w:r>
      <w:r>
        <w:rPr>
          <w:rFonts w:hint="eastAsia" w:ascii="仿宋" w:hAnsi="仿宋" w:eastAsia="仿宋" w:cstheme="minorEastAsia"/>
          <w:sz w:val="32"/>
          <w:szCs w:val="32"/>
          <w:lang w:val="en-US" w:eastAsia="zh-CN"/>
        </w:rPr>
        <w:t>1858.18</w:t>
      </w:r>
      <w:r>
        <w:rPr>
          <w:rFonts w:hint="eastAsia" w:ascii="仿宋" w:hAnsi="仿宋" w:eastAsia="仿宋" w:cstheme="minorEastAsia"/>
          <w:sz w:val="32"/>
          <w:szCs w:val="32"/>
        </w:rPr>
        <w:t>万元，决算数为</w:t>
      </w:r>
      <w:r>
        <w:rPr>
          <w:rFonts w:hint="eastAsia" w:ascii="仿宋" w:hAnsi="仿宋" w:eastAsia="仿宋" w:cstheme="minorEastAsia"/>
          <w:sz w:val="32"/>
          <w:szCs w:val="32"/>
          <w:lang w:val="en-US" w:eastAsia="zh-CN"/>
        </w:rPr>
        <w:t>1858.18万</w:t>
      </w:r>
      <w:r>
        <w:rPr>
          <w:rFonts w:hint="eastAsia" w:ascii="仿宋" w:hAnsi="仿宋" w:eastAsia="仿宋" w:cstheme="minorEastAsia"/>
          <w:sz w:val="32"/>
          <w:szCs w:val="32"/>
        </w:rPr>
        <w:t>元，差异率为0；项目支出预算数为0万元，决算数为0元。</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2．收入支出结构分析</w:t>
      </w:r>
    </w:p>
    <w:p>
      <w:pPr>
        <w:spacing w:line="560" w:lineRule="exact"/>
        <w:ind w:firstLine="640" w:firstLineChars="200"/>
        <w:jc w:val="left"/>
        <w:rPr>
          <w:rFonts w:ascii="仿宋" w:hAnsi="仿宋" w:eastAsia="仿宋" w:cstheme="minorEastAsia"/>
          <w:b/>
          <w:bCs/>
          <w:sz w:val="32"/>
          <w:szCs w:val="32"/>
        </w:rPr>
      </w:pPr>
      <w:r>
        <w:rPr>
          <w:rFonts w:hint="eastAsia" w:ascii="仿宋" w:hAnsi="仿宋" w:eastAsia="仿宋" w:cstheme="minorEastAsia"/>
          <w:sz w:val="32"/>
          <w:szCs w:val="32"/>
        </w:rPr>
        <w:t>本年收入总额：</w:t>
      </w:r>
      <w:r>
        <w:rPr>
          <w:rFonts w:hint="eastAsia" w:ascii="仿宋" w:hAnsi="仿宋" w:eastAsia="仿宋" w:cstheme="minorEastAsia"/>
          <w:sz w:val="32"/>
          <w:szCs w:val="32"/>
          <w:lang w:val="en-US" w:eastAsia="zh-CN"/>
        </w:rPr>
        <w:t>1858.18</w:t>
      </w:r>
      <w:r>
        <w:rPr>
          <w:rFonts w:hint="eastAsia" w:ascii="仿宋" w:hAnsi="仿宋" w:eastAsia="仿宋" w:cstheme="minorEastAsia"/>
          <w:sz w:val="32"/>
          <w:szCs w:val="32"/>
        </w:rPr>
        <w:t>万元，总支出</w:t>
      </w:r>
      <w:r>
        <w:rPr>
          <w:rFonts w:hint="eastAsia" w:ascii="仿宋" w:hAnsi="仿宋" w:eastAsia="仿宋" w:cstheme="minorEastAsia"/>
          <w:sz w:val="32"/>
          <w:szCs w:val="32"/>
          <w:lang w:val="en-US" w:eastAsia="zh-CN"/>
        </w:rPr>
        <w:t>1858.18</w:t>
      </w:r>
      <w:r>
        <w:rPr>
          <w:rFonts w:hint="eastAsia" w:ascii="仿宋" w:hAnsi="仿宋" w:eastAsia="仿宋" w:cstheme="minorEastAsia"/>
          <w:sz w:val="32"/>
          <w:szCs w:val="32"/>
        </w:rPr>
        <w:t>万元。其中：</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（1）基本支出</w:t>
      </w:r>
      <w:r>
        <w:rPr>
          <w:rFonts w:hint="eastAsia" w:ascii="仿宋" w:hAnsi="仿宋" w:eastAsia="仿宋" w:cstheme="minorEastAsia"/>
          <w:sz w:val="32"/>
          <w:szCs w:val="32"/>
          <w:lang w:val="en-US" w:eastAsia="zh-CN"/>
        </w:rPr>
        <w:t>1858.18万</w:t>
      </w:r>
      <w:r>
        <w:rPr>
          <w:rFonts w:hint="eastAsia" w:ascii="仿宋" w:hAnsi="仿宋" w:eastAsia="仿宋" w:cstheme="minorEastAsia"/>
          <w:sz w:val="32"/>
          <w:szCs w:val="32"/>
        </w:rPr>
        <w:t>元，占总支出的100%。其中：工资福利支出</w:t>
      </w:r>
      <w:r>
        <w:rPr>
          <w:rFonts w:hint="eastAsia" w:ascii="仿宋" w:hAnsi="仿宋" w:eastAsia="仿宋" w:cstheme="minorEastAsia"/>
          <w:sz w:val="32"/>
          <w:szCs w:val="32"/>
          <w:lang w:val="en-US" w:eastAsia="zh-CN"/>
        </w:rPr>
        <w:t>872.99</w:t>
      </w:r>
      <w:r>
        <w:rPr>
          <w:rFonts w:hint="eastAsia" w:ascii="仿宋" w:hAnsi="仿宋" w:eastAsia="仿宋" w:cstheme="minorEastAsia"/>
          <w:sz w:val="32"/>
          <w:szCs w:val="32"/>
        </w:rPr>
        <w:t>万元，占总支出的</w:t>
      </w:r>
      <w:r>
        <w:rPr>
          <w:rFonts w:hint="eastAsia" w:ascii="仿宋" w:hAnsi="仿宋" w:eastAsia="仿宋" w:cstheme="minorEastAsia"/>
          <w:sz w:val="32"/>
          <w:szCs w:val="32"/>
          <w:lang w:val="en-US" w:eastAsia="zh-CN"/>
        </w:rPr>
        <w:t>46.98</w:t>
      </w:r>
      <w:r>
        <w:rPr>
          <w:rFonts w:hint="eastAsia" w:ascii="仿宋" w:hAnsi="仿宋" w:eastAsia="仿宋" w:cstheme="minorEastAsia"/>
          <w:sz w:val="32"/>
          <w:szCs w:val="32"/>
        </w:rPr>
        <w:t>%；商品和服务支出71</w:t>
      </w:r>
      <w:r>
        <w:rPr>
          <w:rFonts w:hint="eastAsia" w:ascii="仿宋" w:hAnsi="仿宋" w:eastAsia="仿宋" w:cstheme="minorEastAsia"/>
          <w:sz w:val="32"/>
          <w:szCs w:val="32"/>
          <w:lang w:val="en-US" w:eastAsia="zh-CN"/>
        </w:rPr>
        <w:t>.</w:t>
      </w:r>
      <w:r>
        <w:rPr>
          <w:rFonts w:hint="eastAsia" w:ascii="仿宋" w:hAnsi="仿宋" w:eastAsia="仿宋" w:cstheme="minorEastAsia"/>
          <w:sz w:val="32"/>
          <w:szCs w:val="32"/>
        </w:rPr>
        <w:t>36万元，占总支出的</w:t>
      </w:r>
      <w:r>
        <w:rPr>
          <w:rFonts w:hint="eastAsia" w:ascii="仿宋" w:hAnsi="仿宋" w:eastAsia="仿宋" w:cstheme="minorEastAsia"/>
          <w:sz w:val="32"/>
          <w:szCs w:val="32"/>
          <w:lang w:val="en-US" w:eastAsia="zh-CN"/>
        </w:rPr>
        <w:t>3.84</w:t>
      </w:r>
      <w:r>
        <w:rPr>
          <w:rFonts w:hint="eastAsia" w:ascii="仿宋" w:hAnsi="仿宋" w:eastAsia="仿宋" w:cstheme="minorEastAsia"/>
          <w:sz w:val="32"/>
          <w:szCs w:val="32"/>
        </w:rPr>
        <w:t>%；对个人和家庭的补助支出</w:t>
      </w:r>
      <w:r>
        <w:rPr>
          <w:rFonts w:hint="eastAsia" w:ascii="仿宋" w:hAnsi="仿宋" w:eastAsia="仿宋" w:cstheme="minorEastAsia"/>
          <w:sz w:val="32"/>
          <w:szCs w:val="32"/>
          <w:lang w:val="en-US" w:eastAsia="zh-CN"/>
        </w:rPr>
        <w:t>913.82万</w:t>
      </w:r>
      <w:r>
        <w:rPr>
          <w:rFonts w:hint="eastAsia" w:ascii="仿宋" w:hAnsi="仿宋" w:eastAsia="仿宋" w:cstheme="minorEastAsia"/>
          <w:sz w:val="32"/>
          <w:szCs w:val="32"/>
        </w:rPr>
        <w:t>元，占总支出的</w:t>
      </w:r>
      <w:r>
        <w:rPr>
          <w:rFonts w:hint="eastAsia" w:ascii="仿宋" w:hAnsi="仿宋" w:eastAsia="仿宋" w:cstheme="minorEastAsia"/>
          <w:sz w:val="32"/>
          <w:szCs w:val="32"/>
          <w:lang w:val="en-US" w:eastAsia="zh-CN"/>
        </w:rPr>
        <w:t>49.18</w:t>
      </w:r>
      <w:r>
        <w:rPr>
          <w:rFonts w:hint="eastAsia" w:ascii="仿宋" w:hAnsi="仿宋" w:eastAsia="仿宋" w:cstheme="minorEastAsia"/>
          <w:sz w:val="32"/>
          <w:szCs w:val="32"/>
        </w:rPr>
        <w:t xml:space="preserve">%； </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（2）项目支出0万元。</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3．支出按经济分类科目分析</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（1）“三公经费”支出与上年情况对比。202</w:t>
      </w:r>
      <w:r>
        <w:rPr>
          <w:rFonts w:hint="eastAsia" w:ascii="仿宋" w:hAnsi="仿宋" w:eastAsia="仿宋" w:cstheme="minorEastAsia"/>
          <w:sz w:val="32"/>
          <w:szCs w:val="32"/>
          <w:lang w:val="en-US" w:eastAsia="zh-CN"/>
        </w:rPr>
        <w:t>1</w:t>
      </w:r>
      <w:r>
        <w:rPr>
          <w:rFonts w:hint="eastAsia" w:ascii="仿宋" w:hAnsi="仿宋" w:eastAsia="仿宋" w:cstheme="minorEastAsia"/>
          <w:sz w:val="32"/>
          <w:szCs w:val="32"/>
        </w:rPr>
        <w:t>年单位部门决算“三公经费”财政拨款支出合计数为0元；20</w:t>
      </w:r>
      <w:r>
        <w:rPr>
          <w:rFonts w:hint="eastAsia" w:ascii="仿宋" w:hAnsi="仿宋" w:eastAsia="仿宋" w:cstheme="minorEastAsia"/>
          <w:sz w:val="32"/>
          <w:szCs w:val="32"/>
          <w:lang w:val="en-US" w:eastAsia="zh-CN"/>
        </w:rPr>
        <w:t>20</w:t>
      </w:r>
      <w:r>
        <w:rPr>
          <w:rFonts w:hint="eastAsia" w:ascii="仿宋" w:hAnsi="仿宋" w:eastAsia="仿宋" w:cstheme="minorEastAsia"/>
          <w:sz w:val="32"/>
          <w:szCs w:val="32"/>
        </w:rPr>
        <w:t xml:space="preserve">年单位部门决算“三公经费”财政拨款合计数为0元。 </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（2）会议费支出情况分析：202</w:t>
      </w:r>
      <w:r>
        <w:rPr>
          <w:rFonts w:hint="eastAsia" w:ascii="仿宋" w:hAnsi="仿宋" w:eastAsia="仿宋" w:cstheme="minorEastAsia"/>
          <w:sz w:val="32"/>
          <w:szCs w:val="32"/>
          <w:lang w:val="en-US" w:eastAsia="zh-CN"/>
        </w:rPr>
        <w:t>1</w:t>
      </w:r>
      <w:r>
        <w:rPr>
          <w:rFonts w:hint="eastAsia" w:ascii="仿宋" w:hAnsi="仿宋" w:eastAsia="仿宋" w:cstheme="minorEastAsia"/>
          <w:sz w:val="32"/>
          <w:szCs w:val="32"/>
        </w:rPr>
        <w:t>年度单位均无会议费方面支出。</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（3）培训费支出情况分析：培训费年初预算数5</w:t>
      </w:r>
      <w:r>
        <w:rPr>
          <w:rFonts w:hint="eastAsia" w:ascii="仿宋" w:hAnsi="仿宋" w:eastAsia="仿宋" w:cstheme="minorEastAsia"/>
          <w:sz w:val="32"/>
          <w:szCs w:val="32"/>
          <w:lang w:val="en-US" w:eastAsia="zh-CN"/>
        </w:rPr>
        <w:t>.</w:t>
      </w:r>
      <w:r>
        <w:rPr>
          <w:rFonts w:hint="eastAsia" w:ascii="仿宋" w:hAnsi="仿宋" w:eastAsia="仿宋" w:cstheme="minorEastAsia"/>
          <w:sz w:val="32"/>
          <w:szCs w:val="32"/>
        </w:rPr>
        <w:t>18万元，决算数</w:t>
      </w:r>
      <w:r>
        <w:rPr>
          <w:rFonts w:hint="eastAsia" w:ascii="仿宋" w:hAnsi="仿宋" w:eastAsia="仿宋" w:cstheme="minorEastAsia"/>
          <w:sz w:val="32"/>
          <w:szCs w:val="32"/>
          <w:lang w:val="en-US" w:eastAsia="zh-CN"/>
        </w:rPr>
        <w:t>0</w:t>
      </w:r>
      <w:r>
        <w:rPr>
          <w:rFonts w:hint="eastAsia" w:ascii="仿宋" w:hAnsi="仿宋" w:eastAsia="仿宋" w:cstheme="minorEastAsia"/>
          <w:sz w:val="32"/>
          <w:szCs w:val="32"/>
        </w:rPr>
        <w:t>万元</w:t>
      </w:r>
      <w:r>
        <w:rPr>
          <w:rFonts w:hint="eastAsia" w:ascii="仿宋" w:hAnsi="仿宋" w:eastAsia="仿宋" w:cstheme="minorEastAsia"/>
          <w:sz w:val="32"/>
          <w:szCs w:val="32"/>
          <w:lang w:eastAsia="zh-CN"/>
        </w:rPr>
        <w:t>，主要原因为培训费全部转教体局由教体局统一列支</w:t>
      </w:r>
      <w:r>
        <w:rPr>
          <w:rFonts w:hint="eastAsia" w:ascii="仿宋" w:hAnsi="仿宋" w:eastAsia="仿宋" w:cstheme="minorEastAsia"/>
          <w:sz w:val="32"/>
          <w:szCs w:val="32"/>
        </w:rPr>
        <w:t>。</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4.年末结转和结余情况</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本年度末结转资金0万元（基本支出结转0万元,项目支出结转0万元</w:t>
      </w:r>
      <w:r>
        <w:rPr>
          <w:rFonts w:ascii="仿宋" w:hAnsi="仿宋" w:eastAsia="仿宋" w:cstheme="minorEastAsia"/>
          <w:bCs/>
          <w:sz w:val="32"/>
          <w:szCs w:val="32"/>
        </w:rPr>
        <w:t>）</w:t>
      </w:r>
      <w:r>
        <w:rPr>
          <w:rFonts w:hint="eastAsia" w:ascii="仿宋" w:hAnsi="仿宋" w:eastAsia="仿宋" w:cstheme="minorEastAsia"/>
          <w:bCs/>
          <w:sz w:val="32"/>
          <w:szCs w:val="32"/>
        </w:rPr>
        <w:t xml:space="preserve">。                </w:t>
      </w:r>
    </w:p>
    <w:p>
      <w:pPr>
        <w:spacing w:line="560" w:lineRule="exact"/>
        <w:ind w:firstLine="643" w:firstLineChars="200"/>
        <w:jc w:val="left"/>
        <w:rPr>
          <w:rFonts w:ascii="仿宋" w:hAnsi="仿宋" w:eastAsia="仿宋" w:cstheme="minorEastAsia"/>
          <w:b/>
          <w:bCs/>
          <w:sz w:val="32"/>
          <w:szCs w:val="32"/>
        </w:rPr>
      </w:pPr>
      <w:r>
        <w:rPr>
          <w:rFonts w:hint="eastAsia" w:ascii="仿宋" w:hAnsi="仿宋" w:eastAsia="仿宋" w:cstheme="minorEastAsia"/>
          <w:b/>
          <w:bCs/>
          <w:sz w:val="32"/>
          <w:szCs w:val="32"/>
        </w:rPr>
        <w:t>（二）总体绩效目标完成情况分析</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一年来在上级教育部门的正确领导下，全面贯彻执行党的教育方针，坚持以教育教学质量为中心，强化教育教学研究和常规管理，深入实行改革，执行教育行政的各种准则，理论、规章、制度，加强教师队伍建设，调动全体教师、学生的积极性和高度热情，发扬光大优良的校风、教风、学风，上下一致，团结协作，以认真务实的工作作风，加强教学研究，不断解决教学中的新问题，全面提高教学质量，</w:t>
      </w:r>
    </w:p>
    <w:p>
      <w:pPr>
        <w:spacing w:line="560" w:lineRule="exact"/>
        <w:ind w:firstLine="643" w:firstLineChars="200"/>
        <w:jc w:val="left"/>
        <w:rPr>
          <w:rFonts w:ascii="仿宋" w:hAnsi="仿宋" w:eastAsia="仿宋" w:cstheme="minorEastAsia"/>
          <w:b/>
          <w:bCs/>
          <w:sz w:val="32"/>
          <w:szCs w:val="32"/>
        </w:rPr>
      </w:pPr>
      <w:r>
        <w:rPr>
          <w:rFonts w:hint="eastAsia" w:ascii="仿宋" w:hAnsi="仿宋" w:eastAsia="仿宋" w:cstheme="minorEastAsia"/>
          <w:b/>
          <w:bCs/>
          <w:sz w:val="32"/>
          <w:szCs w:val="32"/>
        </w:rPr>
        <w:t>（三）各项指标完成情况分析</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1.部门管理指标分析</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我单位历来重视单位内部管理制度建设及监督，加强财务管理，强化财务监督，增强法纪观念，遵守规章制度。为保证财务管理工作规范有序进行，20</w:t>
      </w:r>
      <w:r>
        <w:rPr>
          <w:rFonts w:ascii="仿宋" w:hAnsi="仿宋" w:eastAsia="仿宋" w:cstheme="minorEastAsia"/>
          <w:bCs/>
          <w:sz w:val="32"/>
          <w:szCs w:val="32"/>
        </w:rPr>
        <w:t>2</w:t>
      </w:r>
      <w:r>
        <w:rPr>
          <w:rFonts w:hint="eastAsia" w:ascii="仿宋" w:hAnsi="仿宋" w:eastAsia="仿宋" w:cstheme="minorEastAsia"/>
          <w:bCs/>
          <w:sz w:val="32"/>
          <w:szCs w:val="32"/>
          <w:lang w:val="en-US" w:eastAsia="zh-CN"/>
        </w:rPr>
        <w:t>1</w:t>
      </w:r>
      <w:r>
        <w:rPr>
          <w:rFonts w:hint="eastAsia" w:ascii="仿宋" w:hAnsi="仿宋" w:eastAsia="仿宋" w:cstheme="minorEastAsia"/>
          <w:bCs/>
          <w:sz w:val="32"/>
          <w:szCs w:val="32"/>
        </w:rPr>
        <w:t>年我们修改完善了相关财务管理的制度、规定，成立了财务监督小组，加强内部控制和监督。对各项资金的管理、经费收支审批等均做了明确规定，正确组织资金的筹集、调度和使用，债权债务及时结算、结清。各项经费支出实行限额把关、一支笔审批制度。严格执行上级关于“一把手不直接分管财务”的规定，安排学校党支部书记分管财务并一支笔签批财务单据。开支金额在一万元以下的由分管财务的领导直接把关签批；开支金额在三万元以下、一万元以上的需出示专题报告，经单位主要领导把关在报告上签署意见后，再履行“一单五签”的程序；非日常开支在三万元以上的，专题报告需经会议研究通过。分管财务的领导经手的费用开支，由主要领导签批。</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2.部门履职效果指标分析</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认真履行职责，落实工作责任,为了更好地加强教学管理，了解师生教学动态，为改变学校教育观念，办学方向，利于指导教师开展教育教学工作，拟定学校教育教学发展规划等提供依据，校领导经常深入课堂开展教学实践，向其他老师学习好的教学方法和管理学生的有效手段，力所能及地为广大教职工解决生活和工作上的困难，及时认真地传达各级组织召开的会议精神，按时完成交付的各项工作任务。将学校管理工作进行合理分工，层层落实责任，进行责任分解，使学校每项工作都有专人负责，互相配合，形成了齐抓共管的良好局面。把学校发展工作放在首位，科学民主规范地推进学校向前发展，找教师个别谈心，探讨学校的中心工作，征求教师的宝贵意见，做到决策民主，不武断，顾全大局。有较高威望和信服力，政令畅通，各项工作得以顺利开展。</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3.部门能力建设效果分析</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（1） 加强内部控制。我单位历来重视单位内部管理制度建设及监督，加强财务管理，强化财务监督，增强法纪观念，遵守规章制度。为保证财务管理工作规范有序进行，20</w:t>
      </w:r>
      <w:r>
        <w:rPr>
          <w:rFonts w:ascii="仿宋" w:hAnsi="仿宋" w:eastAsia="仿宋" w:cstheme="minorEastAsia"/>
          <w:sz w:val="32"/>
          <w:szCs w:val="32"/>
        </w:rPr>
        <w:t>2</w:t>
      </w:r>
      <w:r>
        <w:rPr>
          <w:rFonts w:hint="eastAsia" w:ascii="仿宋" w:hAnsi="仿宋" w:eastAsia="仿宋" w:cstheme="minorEastAsia"/>
          <w:sz w:val="32"/>
          <w:szCs w:val="32"/>
          <w:lang w:val="en-US" w:eastAsia="zh-CN"/>
        </w:rPr>
        <w:t>1</w:t>
      </w:r>
      <w:r>
        <w:rPr>
          <w:rFonts w:hint="eastAsia" w:ascii="仿宋" w:hAnsi="仿宋" w:eastAsia="仿宋" w:cstheme="minorEastAsia"/>
          <w:sz w:val="32"/>
          <w:szCs w:val="32"/>
        </w:rPr>
        <w:t>年我们修改完善了相关财务管理的制度、规定，成立了财务监督小组，加强内部控制和监督。对各项资金的管理、经费收支审批等均做了明确规定，正确组织资金的筹集、调度和使用，债权债务及时结算、结清。各项经费支出实行限额把关、一支笔审批制度。严格执行上级关于“一把手不直接分管财务”的规定，安排学校党支部书记分管财务并一支笔签批财务单据。开支金额在一万元以下的由分管财务的领导直接把关签批；开支金额在三万元以下、一万元以上的需出示专题报告，经单位主要领导把关在报告上签署意见后，再履行“一单五签”的程序；非日常开支在三万元以上的，专题报告需经会议研究通过。分管财务的领导经手的费用开支，由主要领导签批。</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2）强化制度执行。切实做好厉行节约工作，全面落实各项管理制度要求，努力降低行政成本。严格公务接待费、差旅费、会议费和培训费审核审批程序，加强对公务用车的管理，实行限额把关、一支笔审批制度，做到一事一公函、一事一审批、一事一结账，会议费和培训费严格按年初计划和制度规定的标准执行。各项费用严格履行“一单五签”程序，“三公”经费</w:t>
      </w:r>
      <w:r>
        <w:rPr>
          <w:rFonts w:ascii="仿宋" w:hAnsi="仿宋" w:eastAsia="仿宋" w:cstheme="minorEastAsia"/>
          <w:sz w:val="32"/>
          <w:szCs w:val="32"/>
        </w:rPr>
        <w:t>支出为0.00元</w:t>
      </w:r>
      <w:r>
        <w:rPr>
          <w:rFonts w:hint="eastAsia" w:ascii="仿宋" w:hAnsi="仿宋" w:eastAsia="仿宋" w:cstheme="minorEastAsia"/>
          <w:sz w:val="32"/>
          <w:szCs w:val="32"/>
        </w:rPr>
        <w:t>。</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4.服务对象满意度指标分析</w:t>
      </w:r>
    </w:p>
    <w:p>
      <w:pPr>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学校重视学生思想品德教育，积极组织学生参加社会实践活动、提升了学生实践能力，全面实现了“进得来、留得住、学得好”的目标。孩子的进步，集体的成长，离不开教师，也离不开家长。为了更好地全面了解学生情况，学校通过多种形式与家长建立密切联系，进行友好交往。通过电话家访，给他们汇报学生在学校的表现以及了解在家里的表现，以达到双向管理学生的目的。通过这样的方法不仅沟通信息还增进了情感的交流。教师对孩子的一片爱心不仅赢得了孩子对教师的爱，也赢得了家长的信任、鼓励和支持。这是家长对学校工作的肯定认同，也是学校继续努力的动力。使得学生对学校教学活动的满意率达98%以上、家长满意度达9</w:t>
      </w:r>
      <w:r>
        <w:rPr>
          <w:rFonts w:hint="eastAsia" w:ascii="仿宋" w:hAnsi="仿宋" w:eastAsia="仿宋" w:cs="仿宋_GB2312"/>
          <w:sz w:val="32"/>
          <w:szCs w:val="32"/>
          <w:lang w:val="en-US" w:eastAsia="zh-CN"/>
        </w:rPr>
        <w:t>7</w:t>
      </w:r>
      <w:r>
        <w:rPr>
          <w:rFonts w:hint="eastAsia" w:ascii="仿宋" w:hAnsi="仿宋" w:eastAsia="仿宋" w:cs="仿宋_GB2312"/>
          <w:sz w:val="32"/>
          <w:szCs w:val="32"/>
        </w:rPr>
        <w:t>%以上、教师满意度达9</w:t>
      </w:r>
      <w:r>
        <w:rPr>
          <w:rFonts w:hint="eastAsia" w:ascii="仿宋" w:hAnsi="仿宋" w:eastAsia="仿宋" w:cs="仿宋_GB2312"/>
          <w:sz w:val="32"/>
          <w:szCs w:val="32"/>
          <w:lang w:val="en-US" w:eastAsia="zh-CN"/>
        </w:rPr>
        <w:t>8</w:t>
      </w:r>
      <w:r>
        <w:rPr>
          <w:rFonts w:hint="eastAsia" w:ascii="仿宋" w:hAnsi="仿宋" w:eastAsia="仿宋" w:cs="仿宋_GB2312"/>
          <w:sz w:val="32"/>
          <w:szCs w:val="32"/>
        </w:rPr>
        <w:t>%以上。</w:t>
      </w:r>
    </w:p>
    <w:p>
      <w:pPr>
        <w:spacing w:line="560" w:lineRule="exact"/>
        <w:jc w:val="left"/>
        <w:rPr>
          <w:rFonts w:ascii="仿宋" w:hAnsi="仿宋" w:eastAsia="仿宋" w:cstheme="minorEastAsia"/>
          <w:b/>
          <w:bCs/>
          <w:sz w:val="32"/>
          <w:szCs w:val="32"/>
        </w:rPr>
      </w:pPr>
      <w:r>
        <w:rPr>
          <w:rFonts w:hint="eastAsia" w:ascii="仿宋" w:hAnsi="仿宋" w:eastAsia="仿宋" w:cstheme="minorEastAsia"/>
          <w:b/>
          <w:bCs/>
          <w:sz w:val="32"/>
          <w:szCs w:val="32"/>
        </w:rPr>
        <w:t>（四）偏离绩效目标的原因及下一步改进措施</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针对整体绩效管理工作的需要，拟实施的改进措施如下：</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学校应充分发挥家委会的作用，积极与家委会沟通，通过家委会，家长会等多种形式了解家长需求，合理采纳家长意见，进一步提高家长满意度。</w:t>
      </w:r>
    </w:p>
    <w:p>
      <w:pPr>
        <w:spacing w:line="560" w:lineRule="exact"/>
        <w:ind w:firstLine="640" w:firstLineChars="200"/>
        <w:jc w:val="left"/>
        <w:rPr>
          <w:rFonts w:ascii="黑体" w:hAnsi="黑体" w:eastAsia="黑体" w:cstheme="minorEastAsia"/>
          <w:bCs/>
          <w:sz w:val="32"/>
          <w:szCs w:val="32"/>
        </w:rPr>
      </w:pPr>
      <w:r>
        <w:rPr>
          <w:rFonts w:hint="eastAsia" w:ascii="黑体" w:hAnsi="黑体" w:eastAsia="黑体" w:cstheme="minorEastAsia"/>
          <w:bCs/>
          <w:sz w:val="32"/>
          <w:szCs w:val="32"/>
        </w:rPr>
        <w:t>四、部门预算项目支出绩效自评情况分析</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本单位202</w:t>
      </w:r>
      <w:r>
        <w:rPr>
          <w:rFonts w:hint="eastAsia" w:ascii="仿宋" w:hAnsi="仿宋" w:eastAsia="仿宋" w:cstheme="minorEastAsia"/>
          <w:bCs/>
          <w:sz w:val="32"/>
          <w:szCs w:val="32"/>
          <w:lang w:val="en-US" w:eastAsia="zh-CN"/>
        </w:rPr>
        <w:t>1</w:t>
      </w:r>
      <w:r>
        <w:rPr>
          <w:rFonts w:hint="eastAsia" w:ascii="仿宋" w:hAnsi="仿宋" w:eastAsia="仿宋" w:cstheme="minorEastAsia"/>
          <w:bCs/>
          <w:sz w:val="32"/>
          <w:szCs w:val="32"/>
        </w:rPr>
        <w:t>年无项目支出</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五、绩效自评结果拟应用和公开情况</w:t>
      </w:r>
    </w:p>
    <w:p>
      <w:pPr>
        <w:spacing w:line="600" w:lineRule="exact"/>
        <w:ind w:left="580" w:leftChars="200" w:hanging="160" w:hangingChars="50"/>
        <w:rPr>
          <w:rFonts w:ascii="仿宋" w:hAnsi="仿宋" w:eastAsia="仿宋" w:cs="仿宋_GB2312"/>
          <w:sz w:val="32"/>
          <w:szCs w:val="32"/>
        </w:rPr>
      </w:pPr>
      <w:r>
        <w:rPr>
          <w:rFonts w:hint="eastAsia" w:ascii="仿宋" w:hAnsi="仿宋" w:eastAsia="仿宋" w:cs="仿宋_GB2312"/>
          <w:sz w:val="32"/>
          <w:szCs w:val="32"/>
        </w:rPr>
        <w:t>202</w:t>
      </w:r>
      <w:r>
        <w:rPr>
          <w:rFonts w:hint="eastAsia" w:ascii="仿宋" w:hAnsi="仿宋" w:eastAsia="仿宋" w:cs="仿宋_GB2312"/>
          <w:sz w:val="32"/>
          <w:szCs w:val="32"/>
          <w:lang w:val="en-US" w:eastAsia="zh-CN"/>
        </w:rPr>
        <w:t>1</w:t>
      </w:r>
      <w:r>
        <w:rPr>
          <w:rFonts w:hint="eastAsia" w:ascii="仿宋" w:hAnsi="仿宋" w:eastAsia="仿宋" w:cs="仿宋_GB2312"/>
          <w:sz w:val="32"/>
          <w:szCs w:val="32"/>
        </w:rPr>
        <w:t>年兰州新区第</w:t>
      </w:r>
      <w:r>
        <w:rPr>
          <w:rFonts w:hint="eastAsia" w:ascii="仿宋" w:hAnsi="仿宋" w:eastAsia="仿宋" w:cs="仿宋_GB2312"/>
          <w:sz w:val="32"/>
          <w:szCs w:val="32"/>
          <w:lang w:eastAsia="zh-CN"/>
        </w:rPr>
        <w:t>五</w:t>
      </w:r>
      <w:r>
        <w:rPr>
          <w:rFonts w:hint="eastAsia" w:ascii="仿宋" w:hAnsi="仿宋" w:eastAsia="仿宋" w:cs="仿宋_GB2312"/>
          <w:sz w:val="32"/>
          <w:szCs w:val="32"/>
        </w:rPr>
        <w:t>小学部门整体绩效自评结果9</w:t>
      </w:r>
      <w:r>
        <w:rPr>
          <w:rFonts w:hint="eastAsia" w:ascii="仿宋" w:hAnsi="仿宋" w:eastAsia="仿宋" w:cs="仿宋_GB2312"/>
          <w:sz w:val="32"/>
          <w:szCs w:val="32"/>
          <w:lang w:val="en-US" w:eastAsia="zh-CN"/>
        </w:rPr>
        <w:t>9</w:t>
      </w:r>
      <w:r>
        <w:rPr>
          <w:rFonts w:hint="eastAsia" w:ascii="仿宋" w:hAnsi="仿宋" w:eastAsia="仿宋" w:cs="仿宋_GB2312"/>
          <w:sz w:val="32"/>
          <w:szCs w:val="32"/>
        </w:rPr>
        <w:t xml:space="preserve">分。    </w:t>
      </w:r>
    </w:p>
    <w:p>
      <w:pPr>
        <w:spacing w:line="600" w:lineRule="exact"/>
        <w:ind w:left="525" w:leftChars="250" w:firstLine="160" w:firstLineChars="50"/>
        <w:rPr>
          <w:rFonts w:ascii="黑体" w:hAnsi="黑体" w:eastAsia="黑体" w:cs="黑体"/>
          <w:sz w:val="32"/>
          <w:szCs w:val="32"/>
        </w:rPr>
      </w:pPr>
      <w:r>
        <w:rPr>
          <w:rFonts w:hint="eastAsia" w:ascii="黑体" w:hAnsi="黑体" w:eastAsia="黑体" w:cs="黑体"/>
          <w:sz w:val="32"/>
          <w:szCs w:val="32"/>
        </w:rPr>
        <w:t>六、其他需要说明的问题</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兰州新区第</w:t>
      </w:r>
      <w:r>
        <w:rPr>
          <w:rFonts w:hint="eastAsia" w:ascii="仿宋" w:hAnsi="仿宋" w:eastAsia="仿宋" w:cs="仿宋"/>
          <w:sz w:val="32"/>
          <w:szCs w:val="32"/>
          <w:lang w:eastAsia="zh-CN"/>
        </w:rPr>
        <w:t>五</w:t>
      </w:r>
      <w:r>
        <w:rPr>
          <w:rFonts w:hint="eastAsia" w:ascii="仿宋" w:hAnsi="仿宋" w:eastAsia="仿宋" w:cs="仿宋"/>
          <w:sz w:val="32"/>
          <w:szCs w:val="32"/>
        </w:rPr>
        <w:t>小学校不存在中央巡视、各级审计和财政监督中发现的问题及其所涉及的金额。</w:t>
      </w:r>
    </w:p>
    <w:p>
      <w:pPr>
        <w:pStyle w:val="4"/>
        <w:widowControl/>
        <w:spacing w:line="560" w:lineRule="exact"/>
        <w:ind w:firstLine="640" w:firstLineChars="200"/>
        <w:rPr>
          <w:rFonts w:ascii="仿宋" w:hAnsi="仿宋" w:eastAsia="仿宋" w:cstheme="minorEastAsia"/>
          <w:sz w:val="32"/>
          <w:szCs w:val="32"/>
        </w:rPr>
      </w:pPr>
    </w:p>
    <w:p>
      <w:pPr>
        <w:pStyle w:val="4"/>
        <w:widowControl/>
        <w:spacing w:line="560" w:lineRule="exact"/>
        <w:ind w:firstLine="640" w:firstLineChars="200"/>
        <w:rPr>
          <w:rFonts w:ascii="仿宋" w:hAnsi="仿宋" w:eastAsia="仿宋" w:cstheme="minorEastAsia"/>
          <w:sz w:val="32"/>
          <w:szCs w:val="32"/>
        </w:rPr>
      </w:pPr>
    </w:p>
    <w:p>
      <w:pPr>
        <w:pStyle w:val="4"/>
        <w:widowControl/>
        <w:spacing w:line="560" w:lineRule="exact"/>
        <w:ind w:firstLine="640" w:firstLineChars="200"/>
        <w:rPr>
          <w:rFonts w:ascii="仿宋" w:hAnsi="仿宋" w:eastAsia="仿宋" w:cstheme="minorEastAsia"/>
          <w:sz w:val="32"/>
          <w:szCs w:val="32"/>
        </w:rPr>
      </w:pPr>
    </w:p>
    <w:p>
      <w:pPr>
        <w:pStyle w:val="4"/>
        <w:widowControl/>
        <w:spacing w:line="560" w:lineRule="exact"/>
        <w:ind w:firstLine="640" w:firstLineChars="200"/>
        <w:rPr>
          <w:rFonts w:ascii="仿宋" w:hAnsi="仿宋" w:eastAsia="仿宋" w:cstheme="minorEastAsia"/>
          <w:sz w:val="32"/>
          <w:szCs w:val="32"/>
        </w:rPr>
      </w:pPr>
    </w:p>
    <w:p>
      <w:pPr>
        <w:pStyle w:val="4"/>
        <w:widowControl/>
        <w:spacing w:line="560" w:lineRule="exact"/>
        <w:ind w:firstLine="4320" w:firstLineChars="1350"/>
        <w:rPr>
          <w:rFonts w:ascii="仿宋" w:hAnsi="仿宋" w:eastAsia="仿宋" w:cstheme="minorEastAsia"/>
          <w:sz w:val="32"/>
          <w:szCs w:val="32"/>
        </w:rPr>
      </w:pPr>
    </w:p>
    <w:p>
      <w:pPr>
        <w:pStyle w:val="4"/>
        <w:widowControl/>
        <w:spacing w:line="560" w:lineRule="exact"/>
        <w:ind w:firstLine="4320" w:firstLineChars="1350"/>
        <w:rPr>
          <w:rFonts w:ascii="仿宋" w:hAnsi="仿宋" w:eastAsia="仿宋" w:cstheme="minorEastAsia"/>
          <w:sz w:val="32"/>
          <w:szCs w:val="32"/>
        </w:rPr>
      </w:pPr>
    </w:p>
    <w:p>
      <w:pPr>
        <w:pStyle w:val="4"/>
        <w:widowControl/>
        <w:spacing w:line="560" w:lineRule="exact"/>
        <w:ind w:firstLine="4320" w:firstLineChars="1350"/>
        <w:rPr>
          <w:rFonts w:ascii="仿宋" w:hAnsi="仿宋" w:eastAsia="仿宋" w:cstheme="minorEastAsia"/>
          <w:sz w:val="32"/>
          <w:szCs w:val="32"/>
        </w:rPr>
      </w:pPr>
    </w:p>
    <w:p>
      <w:pPr>
        <w:pStyle w:val="4"/>
        <w:widowControl/>
        <w:spacing w:line="560" w:lineRule="exact"/>
        <w:ind w:firstLine="4320" w:firstLineChars="1350"/>
        <w:rPr>
          <w:rFonts w:ascii="仿宋" w:hAnsi="仿宋" w:eastAsia="仿宋" w:cstheme="minorEastAsia"/>
          <w:sz w:val="32"/>
          <w:szCs w:val="32"/>
        </w:rPr>
      </w:pPr>
      <w:r>
        <w:rPr>
          <w:rFonts w:hint="eastAsia" w:ascii="仿宋" w:hAnsi="仿宋" w:eastAsia="仿宋" w:cstheme="minorEastAsia"/>
          <w:sz w:val="32"/>
          <w:szCs w:val="32"/>
        </w:rPr>
        <w:t>兰州新区第</w:t>
      </w:r>
      <w:r>
        <w:rPr>
          <w:rFonts w:hint="eastAsia" w:ascii="仿宋" w:hAnsi="仿宋" w:eastAsia="仿宋" w:cstheme="minorEastAsia"/>
          <w:sz w:val="32"/>
          <w:szCs w:val="32"/>
          <w:lang w:eastAsia="zh-CN"/>
        </w:rPr>
        <w:t>五</w:t>
      </w:r>
      <w:r>
        <w:rPr>
          <w:rFonts w:hint="eastAsia" w:ascii="仿宋" w:hAnsi="仿宋" w:eastAsia="仿宋" w:cstheme="minorEastAsia"/>
          <w:sz w:val="32"/>
          <w:szCs w:val="32"/>
        </w:rPr>
        <w:t>小学</w:t>
      </w:r>
    </w:p>
    <w:p>
      <w:pPr>
        <w:pStyle w:val="4"/>
        <w:widowControl/>
        <w:spacing w:line="560" w:lineRule="exact"/>
        <w:ind w:firstLine="4480" w:firstLineChars="1400"/>
        <w:rPr>
          <w:rFonts w:ascii="仿宋" w:hAnsi="仿宋" w:eastAsia="仿宋" w:cstheme="minorEastAsia"/>
          <w:sz w:val="32"/>
          <w:szCs w:val="32"/>
        </w:rPr>
      </w:pPr>
      <w:r>
        <w:rPr>
          <w:rFonts w:hint="eastAsia" w:ascii="仿宋" w:hAnsi="仿宋" w:eastAsia="仿宋" w:cstheme="minorEastAsia"/>
          <w:sz w:val="32"/>
          <w:szCs w:val="32"/>
        </w:rPr>
        <w:t>202</w:t>
      </w:r>
      <w:r>
        <w:rPr>
          <w:rFonts w:hint="eastAsia" w:ascii="仿宋" w:hAnsi="仿宋" w:eastAsia="仿宋" w:cstheme="minorEastAsia"/>
          <w:sz w:val="32"/>
          <w:szCs w:val="32"/>
          <w:lang w:val="en-US" w:eastAsia="zh-CN"/>
        </w:rPr>
        <w:t>2</w:t>
      </w:r>
      <w:r>
        <w:rPr>
          <w:rFonts w:hint="eastAsia" w:ascii="仿宋" w:hAnsi="仿宋" w:eastAsia="仿宋" w:cstheme="minorEastAsia"/>
          <w:sz w:val="32"/>
          <w:szCs w:val="32"/>
        </w:rPr>
        <w:t>年</w:t>
      </w:r>
      <w:r>
        <w:rPr>
          <w:rFonts w:hint="eastAsia" w:ascii="仿宋" w:hAnsi="仿宋" w:eastAsia="仿宋" w:cstheme="minorEastAsia"/>
          <w:sz w:val="32"/>
          <w:szCs w:val="32"/>
          <w:lang w:val="en-US" w:eastAsia="zh-CN"/>
        </w:rPr>
        <w:t>9</w:t>
      </w:r>
      <w:r>
        <w:rPr>
          <w:rFonts w:hint="eastAsia" w:ascii="仿宋" w:hAnsi="仿宋" w:eastAsia="仿宋" w:cstheme="minorEastAsia"/>
          <w:sz w:val="32"/>
          <w:szCs w:val="32"/>
        </w:rPr>
        <w:t>月</w:t>
      </w:r>
      <w:r>
        <w:rPr>
          <w:rFonts w:hint="eastAsia" w:ascii="仿宋" w:hAnsi="仿宋" w:eastAsia="仿宋" w:cstheme="minorEastAsia"/>
          <w:sz w:val="32"/>
          <w:szCs w:val="32"/>
          <w:lang w:val="en-US" w:eastAsia="zh-CN"/>
        </w:rPr>
        <w:t>13</w:t>
      </w:r>
      <w:r>
        <w:rPr>
          <w:rFonts w:hint="eastAsia" w:ascii="仿宋" w:hAnsi="仿宋" w:eastAsia="仿宋" w:cstheme="minorEastAsia"/>
          <w:sz w:val="32"/>
          <w:szCs w:val="32"/>
        </w:rPr>
        <w:t>日</w:t>
      </w:r>
    </w:p>
    <w:p>
      <w:pPr>
        <w:spacing w:line="560" w:lineRule="exact"/>
        <w:ind w:firstLine="640" w:firstLineChars="200"/>
        <w:jc w:val="left"/>
        <w:rPr>
          <w:rFonts w:ascii="仿宋" w:hAnsi="仿宋" w:eastAsia="仿宋" w:cstheme="minorEastAsia"/>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wOGRmMmJmMjg2NTNjMmY5ODk5NjlmYmUyOGYxNTQifQ=="/>
  </w:docVars>
  <w:rsids>
    <w:rsidRoot w:val="57764F14"/>
    <w:rsid w:val="000A4D88"/>
    <w:rsid w:val="000F045E"/>
    <w:rsid w:val="00102D49"/>
    <w:rsid w:val="00113987"/>
    <w:rsid w:val="0019796A"/>
    <w:rsid w:val="0020565D"/>
    <w:rsid w:val="00251A03"/>
    <w:rsid w:val="00266223"/>
    <w:rsid w:val="002D68F7"/>
    <w:rsid w:val="003439A5"/>
    <w:rsid w:val="00360EF8"/>
    <w:rsid w:val="003A2F36"/>
    <w:rsid w:val="004773EF"/>
    <w:rsid w:val="004F7355"/>
    <w:rsid w:val="0054272C"/>
    <w:rsid w:val="00596792"/>
    <w:rsid w:val="005C796E"/>
    <w:rsid w:val="00635E4D"/>
    <w:rsid w:val="00651A22"/>
    <w:rsid w:val="006810E9"/>
    <w:rsid w:val="00702C94"/>
    <w:rsid w:val="0072589D"/>
    <w:rsid w:val="007B553A"/>
    <w:rsid w:val="00853059"/>
    <w:rsid w:val="00941339"/>
    <w:rsid w:val="00972D3E"/>
    <w:rsid w:val="00976133"/>
    <w:rsid w:val="00AF107D"/>
    <w:rsid w:val="00B42E57"/>
    <w:rsid w:val="00B5730E"/>
    <w:rsid w:val="00C14EF6"/>
    <w:rsid w:val="00C22A12"/>
    <w:rsid w:val="00C23235"/>
    <w:rsid w:val="00CC48DB"/>
    <w:rsid w:val="00D25FDA"/>
    <w:rsid w:val="00D345A0"/>
    <w:rsid w:val="00D62F36"/>
    <w:rsid w:val="00DC4189"/>
    <w:rsid w:val="00E65A2C"/>
    <w:rsid w:val="00EC28F4"/>
    <w:rsid w:val="00ED04D6"/>
    <w:rsid w:val="00F315BC"/>
    <w:rsid w:val="025C79C4"/>
    <w:rsid w:val="03556A3C"/>
    <w:rsid w:val="044A0D45"/>
    <w:rsid w:val="23887A65"/>
    <w:rsid w:val="27F06E8E"/>
    <w:rsid w:val="31C23E0E"/>
    <w:rsid w:val="4AE471B2"/>
    <w:rsid w:val="54EE34B8"/>
    <w:rsid w:val="55E4027B"/>
    <w:rsid w:val="57764F14"/>
    <w:rsid w:val="7107638D"/>
    <w:rsid w:val="75440CCF"/>
    <w:rsid w:val="75AF0683"/>
    <w:rsid w:val="7FF230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30"/>
    <w:qFormat/>
    <w:uiPriority w:val="0"/>
    <w:pPr>
      <w:tabs>
        <w:tab w:val="center" w:pos="4153"/>
        <w:tab w:val="right" w:pos="8306"/>
      </w:tabs>
      <w:snapToGrid w:val="0"/>
      <w:jc w:val="left"/>
    </w:pPr>
    <w:rPr>
      <w:sz w:val="18"/>
      <w:szCs w:val="18"/>
    </w:rPr>
  </w:style>
  <w:style w:type="paragraph" w:styleId="3">
    <w:name w:val="header"/>
    <w:basedOn w:val="1"/>
    <w:link w:val="2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jc w:val="left"/>
    </w:pPr>
    <w:rPr>
      <w:rFonts w:ascii="微软雅黑" w:hAnsi="微软雅黑" w:eastAsia="微软雅黑" w:cs="Times New Roman"/>
      <w:kern w:val="0"/>
      <w:sz w:val="24"/>
    </w:rPr>
  </w:style>
  <w:style w:type="character" w:styleId="7">
    <w:name w:val="FollowedHyperlink"/>
    <w:basedOn w:val="6"/>
    <w:qFormat/>
    <w:uiPriority w:val="0"/>
    <w:rPr>
      <w:color w:val="333333"/>
      <w:u w:val="none"/>
    </w:rPr>
  </w:style>
  <w:style w:type="character" w:styleId="8">
    <w:name w:val="Emphasis"/>
    <w:basedOn w:val="6"/>
    <w:qFormat/>
    <w:uiPriority w:val="0"/>
    <w:rPr>
      <w:rFonts w:hint="eastAsia" w:ascii="微软雅黑" w:hAnsi="微软雅黑" w:eastAsia="微软雅黑" w:cs="微软雅黑"/>
    </w:rPr>
  </w:style>
  <w:style w:type="character" w:styleId="9">
    <w:name w:val="Hyperlink"/>
    <w:basedOn w:val="6"/>
    <w:qFormat/>
    <w:uiPriority w:val="0"/>
    <w:rPr>
      <w:color w:val="333333"/>
      <w:u w:val="none"/>
    </w:rPr>
  </w:style>
  <w:style w:type="character" w:customStyle="1" w:styleId="10">
    <w:name w:val="after"/>
    <w:basedOn w:val="6"/>
    <w:qFormat/>
    <w:uiPriority w:val="0"/>
    <w:rPr>
      <w:shd w:val="clear" w:color="auto" w:fill="FFFFFF"/>
    </w:rPr>
  </w:style>
  <w:style w:type="character" w:customStyle="1" w:styleId="11">
    <w:name w:val="text"/>
    <w:basedOn w:val="6"/>
    <w:qFormat/>
    <w:uiPriority w:val="0"/>
    <w:rPr>
      <w:color w:val="666666"/>
    </w:rPr>
  </w:style>
  <w:style w:type="character" w:customStyle="1" w:styleId="12">
    <w:name w:val="bsharetext"/>
    <w:basedOn w:val="6"/>
    <w:qFormat/>
    <w:uiPriority w:val="0"/>
  </w:style>
  <w:style w:type="character" w:customStyle="1" w:styleId="13">
    <w:name w:val="last"/>
    <w:basedOn w:val="6"/>
    <w:qFormat/>
    <w:uiPriority w:val="0"/>
  </w:style>
  <w:style w:type="character" w:customStyle="1" w:styleId="14">
    <w:name w:val="wx-space"/>
    <w:basedOn w:val="6"/>
    <w:qFormat/>
    <w:uiPriority w:val="0"/>
  </w:style>
  <w:style w:type="character" w:customStyle="1" w:styleId="15">
    <w:name w:val="wx-space1"/>
    <w:basedOn w:val="6"/>
    <w:qFormat/>
    <w:uiPriority w:val="0"/>
  </w:style>
  <w:style w:type="character" w:customStyle="1" w:styleId="16">
    <w:name w:val="hover20"/>
    <w:basedOn w:val="6"/>
    <w:qFormat/>
    <w:uiPriority w:val="0"/>
    <w:rPr>
      <w:color w:val="000000"/>
      <w:shd w:val="clear" w:color="auto" w:fill="FFFFFF"/>
    </w:rPr>
  </w:style>
  <w:style w:type="character" w:customStyle="1" w:styleId="17">
    <w:name w:val="line"/>
    <w:basedOn w:val="6"/>
    <w:qFormat/>
    <w:uiPriority w:val="0"/>
  </w:style>
  <w:style w:type="character" w:customStyle="1" w:styleId="18">
    <w:name w:val="line1"/>
    <w:basedOn w:val="6"/>
    <w:qFormat/>
    <w:uiPriority w:val="0"/>
  </w:style>
  <w:style w:type="character" w:customStyle="1" w:styleId="19">
    <w:name w:val="hover29"/>
    <w:basedOn w:val="6"/>
    <w:qFormat/>
    <w:uiPriority w:val="0"/>
    <w:rPr>
      <w:color w:val="000000"/>
      <w:shd w:val="clear" w:color="auto" w:fill="FFFFFF"/>
    </w:rPr>
  </w:style>
  <w:style w:type="character" w:customStyle="1" w:styleId="20">
    <w:name w:val="n3"/>
    <w:basedOn w:val="6"/>
    <w:qFormat/>
    <w:uiPriority w:val="0"/>
  </w:style>
  <w:style w:type="character" w:customStyle="1" w:styleId="21">
    <w:name w:val="a1"/>
    <w:basedOn w:val="6"/>
    <w:qFormat/>
    <w:uiPriority w:val="0"/>
  </w:style>
  <w:style w:type="character" w:customStyle="1" w:styleId="22">
    <w:name w:val="a2"/>
    <w:basedOn w:val="6"/>
    <w:qFormat/>
    <w:uiPriority w:val="0"/>
  </w:style>
  <w:style w:type="character" w:customStyle="1" w:styleId="23">
    <w:name w:val="a3"/>
    <w:basedOn w:val="6"/>
    <w:qFormat/>
    <w:uiPriority w:val="0"/>
  </w:style>
  <w:style w:type="character" w:customStyle="1" w:styleId="24">
    <w:name w:val="a4"/>
    <w:basedOn w:val="6"/>
    <w:qFormat/>
    <w:uiPriority w:val="0"/>
  </w:style>
  <w:style w:type="character" w:customStyle="1" w:styleId="25">
    <w:name w:val="n1"/>
    <w:basedOn w:val="6"/>
    <w:qFormat/>
    <w:uiPriority w:val="0"/>
  </w:style>
  <w:style w:type="character" w:customStyle="1" w:styleId="26">
    <w:name w:val="n2"/>
    <w:basedOn w:val="6"/>
    <w:qFormat/>
    <w:uiPriority w:val="0"/>
  </w:style>
  <w:style w:type="character" w:customStyle="1" w:styleId="27">
    <w:name w:val="n4"/>
    <w:basedOn w:val="6"/>
    <w:qFormat/>
    <w:uiPriority w:val="0"/>
  </w:style>
  <w:style w:type="character" w:customStyle="1" w:styleId="28">
    <w:name w:val="n5"/>
    <w:basedOn w:val="6"/>
    <w:qFormat/>
    <w:uiPriority w:val="0"/>
  </w:style>
  <w:style w:type="character" w:customStyle="1" w:styleId="29">
    <w:name w:val="页眉 Char"/>
    <w:basedOn w:val="6"/>
    <w:link w:val="3"/>
    <w:qFormat/>
    <w:uiPriority w:val="0"/>
    <w:rPr>
      <w:rFonts w:asciiTheme="minorHAnsi" w:hAnsiTheme="minorHAnsi" w:eastAsiaTheme="minorEastAsia" w:cstheme="minorBidi"/>
      <w:kern w:val="2"/>
      <w:sz w:val="18"/>
      <w:szCs w:val="18"/>
    </w:rPr>
  </w:style>
  <w:style w:type="character" w:customStyle="1" w:styleId="30">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8A1C8CC-BB08-4B12-838E-5B38C5386F4D}">
  <ds:schemaRefs/>
</ds:datastoreItem>
</file>

<file path=docProps/app.xml><?xml version="1.0" encoding="utf-8"?>
<Properties xmlns="http://schemas.openxmlformats.org/officeDocument/2006/extended-properties" xmlns:vt="http://schemas.openxmlformats.org/officeDocument/2006/docPropsVTypes">
  <Template>Normal</Template>
  <Pages>7</Pages>
  <Words>3178</Words>
  <Characters>3346</Characters>
  <Lines>24</Lines>
  <Paragraphs>6</Paragraphs>
  <TotalTime>7</TotalTime>
  <ScaleCrop>false</ScaleCrop>
  <LinksUpToDate>false</LinksUpToDate>
  <CharactersWithSpaces>3383</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2021-03-04T06:20:00Z</dcterms:created>
  <dc:creator>Administrator</dc:creator>
  <cp:lastModifiedBy>香蕉梨的夏天</cp:lastModifiedBy>
  <cp:lastPrinted>2021-03-12T01:27:00Z</cp:lastPrinted>
  <dcterms:modified xsi:type="dcterms:W3CDTF">2023-11-22T09:47:56Z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3DC192644E7F40FF88DB0D5B91833778_13</vt:lpwstr>
  </property>
</Properties>
</file>