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ind w:firstLine="0" w:firstLineChars="0"/>
        <w:outlineLvl w:val="0"/>
        <w:rPr>
          <w:rFonts w:hint="eastAsia" w:ascii="黑体" w:hAnsi="黑体" w:eastAsia="黑体" w:cs="黑体"/>
          <w:kern w:val="0"/>
          <w:sz w:val="32"/>
          <w:szCs w:val="32"/>
          <w:lang w:eastAsia="zh-CN"/>
        </w:rPr>
      </w:pPr>
      <w:bookmarkStart w:id="0" w:name="_Toc18546"/>
      <w:bookmarkStart w:id="1" w:name="_Toc16620"/>
      <w:bookmarkStart w:id="2" w:name="_Toc28991"/>
      <w:bookmarkStart w:id="3" w:name="_Toc124"/>
      <w:bookmarkStart w:id="4" w:name="_Toc55679007"/>
      <w:r>
        <w:rPr>
          <w:rFonts w:hint="eastAsia" w:ascii="黑体" w:hAnsi="黑体" w:eastAsia="黑体" w:cs="黑体"/>
          <w:kern w:val="0"/>
          <w:sz w:val="32"/>
          <w:szCs w:val="32"/>
        </w:rPr>
        <w:t>附件</w:t>
      </w:r>
      <w:bookmarkEnd w:id="0"/>
      <w:bookmarkEnd w:id="1"/>
      <w:bookmarkEnd w:id="2"/>
      <w:r>
        <w:rPr>
          <w:rFonts w:hint="eastAsia" w:ascii="黑体" w:hAnsi="黑体" w:eastAsia="黑体" w:cs="黑体"/>
          <w:kern w:val="0"/>
          <w:sz w:val="32"/>
          <w:szCs w:val="32"/>
          <w:lang w:val="en-US" w:eastAsia="zh-CN"/>
        </w:rPr>
        <w:t>1</w:t>
      </w:r>
    </w:p>
    <w:p>
      <w:pPr>
        <w:spacing w:before="204" w:beforeLines="50" w:after="204" w:afterLines="50" w:line="640" w:lineRule="exact"/>
        <w:ind w:firstLine="0" w:firstLineChars="0"/>
        <w:jc w:val="center"/>
        <w:outlineLvl w:val="0"/>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pPr>
      <w:bookmarkStart w:id="5" w:name="_Toc16718"/>
      <w:bookmarkStart w:id="6" w:name="_Toc25178"/>
      <w:bookmarkStart w:id="7" w:name="_Toc12557"/>
      <w:bookmarkStart w:id="8" w:name="OLE_LINK7"/>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兰州新区绿色项目分类目录</w:t>
      </w:r>
      <w:bookmarkEnd w:id="3"/>
      <w:bookmarkEnd w:id="4"/>
      <w:bookmarkEnd w:id="5"/>
      <w:bookmarkEnd w:id="6"/>
      <w:bookmarkEnd w:id="7"/>
    </w:p>
    <w:bookmarkEnd w:id="8"/>
    <w:tbl>
      <w:tblPr>
        <w:tblStyle w:val="12"/>
        <w:tblpPr w:leftFromText="180" w:rightFromText="180" w:vertAnchor="text" w:horzAnchor="page" w:tblpX="1783" w:tblpY="242"/>
        <w:tblOverlap w:val="never"/>
        <w:tblW w:w="475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4"/>
        <w:gridCol w:w="1005"/>
        <w:gridCol w:w="1501"/>
        <w:gridCol w:w="2981"/>
        <w:gridCol w:w="2650"/>
        <w:gridCol w:w="639"/>
        <w:gridCol w:w="1108"/>
        <w:gridCol w:w="983"/>
        <w:gridCol w:w="966"/>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375" w:type="pct"/>
            <w:vMerge w:val="restart"/>
            <w:shd w:val="clear" w:color="auto" w:fill="auto"/>
            <w:vAlign w:val="center"/>
          </w:tcPr>
          <w:p>
            <w:pPr>
              <w:widowControl/>
              <w:spacing w:line="300" w:lineRule="exact"/>
              <w:ind w:firstLine="0" w:firstLineChars="0"/>
              <w:jc w:val="center"/>
              <w:rPr>
                <w:b/>
                <w:bCs/>
                <w:color w:val="000000"/>
                <w:kern w:val="0"/>
                <w:sz w:val="21"/>
                <w:szCs w:val="21"/>
              </w:rPr>
            </w:pPr>
            <w:bookmarkStart w:id="9" w:name="OLE_LINK15"/>
            <w:r>
              <w:rPr>
                <w:b/>
                <w:bCs/>
                <w:color w:val="000000"/>
                <w:kern w:val="0"/>
                <w:sz w:val="21"/>
                <w:szCs w:val="21"/>
              </w:rPr>
              <w:t>一级分类</w:t>
            </w:r>
          </w:p>
        </w:tc>
        <w:tc>
          <w:tcPr>
            <w:tcW w:w="357" w:type="pct"/>
            <w:vMerge w:val="restart"/>
            <w:shd w:val="clear" w:color="auto" w:fill="auto"/>
            <w:vAlign w:val="center"/>
          </w:tcPr>
          <w:p>
            <w:pPr>
              <w:widowControl/>
              <w:spacing w:line="300" w:lineRule="exact"/>
              <w:ind w:firstLine="0" w:firstLineChars="0"/>
              <w:jc w:val="center"/>
              <w:rPr>
                <w:b/>
                <w:bCs/>
                <w:color w:val="000000"/>
                <w:kern w:val="0"/>
                <w:sz w:val="21"/>
                <w:szCs w:val="21"/>
              </w:rPr>
            </w:pPr>
            <w:r>
              <w:rPr>
                <w:b/>
                <w:bCs/>
                <w:color w:val="000000"/>
                <w:kern w:val="0"/>
                <w:sz w:val="21"/>
                <w:szCs w:val="21"/>
              </w:rPr>
              <w:t>二级分类</w:t>
            </w:r>
          </w:p>
        </w:tc>
        <w:tc>
          <w:tcPr>
            <w:tcW w:w="534" w:type="pct"/>
            <w:vMerge w:val="restart"/>
            <w:shd w:val="clear" w:color="auto" w:fill="auto"/>
            <w:vAlign w:val="center"/>
          </w:tcPr>
          <w:p>
            <w:pPr>
              <w:widowControl/>
              <w:spacing w:line="300" w:lineRule="exact"/>
              <w:ind w:firstLine="0" w:firstLineChars="0"/>
              <w:jc w:val="center"/>
              <w:rPr>
                <w:b/>
                <w:bCs/>
                <w:color w:val="000000"/>
                <w:kern w:val="0"/>
                <w:sz w:val="21"/>
                <w:szCs w:val="21"/>
              </w:rPr>
            </w:pPr>
            <w:r>
              <w:rPr>
                <w:b/>
                <w:bCs/>
                <w:color w:val="000000"/>
                <w:kern w:val="0"/>
                <w:sz w:val="21"/>
                <w:szCs w:val="21"/>
              </w:rPr>
              <w:t>三级分类</w:t>
            </w:r>
          </w:p>
        </w:tc>
        <w:tc>
          <w:tcPr>
            <w:tcW w:w="1061" w:type="pct"/>
            <w:vMerge w:val="restart"/>
            <w:shd w:val="clear" w:color="auto" w:fill="auto"/>
            <w:vAlign w:val="center"/>
          </w:tcPr>
          <w:p>
            <w:pPr>
              <w:widowControl/>
              <w:spacing w:line="300" w:lineRule="exact"/>
              <w:ind w:firstLine="0" w:firstLineChars="0"/>
              <w:jc w:val="center"/>
              <w:rPr>
                <w:b/>
                <w:bCs/>
                <w:color w:val="000000"/>
                <w:kern w:val="0"/>
                <w:sz w:val="21"/>
                <w:szCs w:val="21"/>
              </w:rPr>
            </w:pPr>
            <w:r>
              <w:rPr>
                <w:b/>
                <w:bCs/>
                <w:color w:val="000000"/>
                <w:kern w:val="0"/>
                <w:sz w:val="21"/>
                <w:szCs w:val="21"/>
              </w:rPr>
              <w:t>主要范围</w:t>
            </w:r>
          </w:p>
        </w:tc>
        <w:tc>
          <w:tcPr>
            <w:tcW w:w="943" w:type="pct"/>
            <w:vMerge w:val="restart"/>
            <w:shd w:val="clear" w:color="auto" w:fill="auto"/>
            <w:vAlign w:val="center"/>
          </w:tcPr>
          <w:p>
            <w:pPr>
              <w:widowControl/>
              <w:spacing w:line="300" w:lineRule="exact"/>
              <w:ind w:firstLine="0" w:firstLineChars="0"/>
              <w:jc w:val="center"/>
              <w:rPr>
                <w:b/>
                <w:bCs/>
                <w:color w:val="000000"/>
                <w:kern w:val="0"/>
                <w:sz w:val="21"/>
                <w:szCs w:val="21"/>
              </w:rPr>
            </w:pPr>
            <w:r>
              <w:rPr>
                <w:b/>
                <w:bCs/>
                <w:color w:val="000000"/>
                <w:kern w:val="0"/>
                <w:sz w:val="21"/>
                <w:szCs w:val="21"/>
              </w:rPr>
              <w:t>技术要求</w:t>
            </w:r>
          </w:p>
        </w:tc>
        <w:tc>
          <w:tcPr>
            <w:tcW w:w="227" w:type="pct"/>
            <w:vMerge w:val="restart"/>
            <w:shd w:val="clear" w:color="auto" w:fill="auto"/>
            <w:vAlign w:val="center"/>
          </w:tcPr>
          <w:p>
            <w:pPr>
              <w:widowControl/>
              <w:spacing w:line="300" w:lineRule="exact"/>
              <w:ind w:firstLine="0" w:firstLineChars="0"/>
              <w:jc w:val="center"/>
              <w:rPr>
                <w:b/>
                <w:bCs/>
                <w:color w:val="000000"/>
                <w:kern w:val="0"/>
                <w:sz w:val="21"/>
                <w:szCs w:val="21"/>
              </w:rPr>
            </w:pPr>
            <w:r>
              <w:rPr>
                <w:b/>
                <w:bCs/>
                <w:color w:val="000000"/>
                <w:kern w:val="0"/>
                <w:sz w:val="21"/>
                <w:szCs w:val="21"/>
              </w:rPr>
              <w:t>绿色评级</w:t>
            </w:r>
          </w:p>
        </w:tc>
        <w:tc>
          <w:tcPr>
            <w:tcW w:w="1499" w:type="pct"/>
            <w:gridSpan w:val="4"/>
            <w:shd w:val="clear" w:color="auto" w:fill="auto"/>
            <w:vAlign w:val="center"/>
          </w:tcPr>
          <w:p>
            <w:pPr>
              <w:widowControl/>
              <w:spacing w:line="300" w:lineRule="exact"/>
              <w:ind w:firstLine="0" w:firstLineChars="0"/>
              <w:jc w:val="center"/>
              <w:rPr>
                <w:b/>
                <w:bCs/>
                <w:color w:val="000000"/>
                <w:kern w:val="0"/>
                <w:sz w:val="21"/>
                <w:szCs w:val="21"/>
              </w:rPr>
            </w:pPr>
            <w:r>
              <w:rPr>
                <w:b/>
                <w:bCs/>
                <w:color w:val="000000"/>
                <w:kern w:val="0"/>
                <w:sz w:val="21"/>
                <w:szCs w:val="21"/>
              </w:rPr>
              <w:t>国内标准对标（指标编号）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375" w:type="pct"/>
            <w:vMerge w:val="continue"/>
            <w:vAlign w:val="center"/>
          </w:tcPr>
          <w:p>
            <w:pPr>
              <w:widowControl/>
              <w:spacing w:line="300" w:lineRule="exact"/>
              <w:ind w:firstLine="0" w:firstLineChars="0"/>
              <w:jc w:val="left"/>
              <w:rPr>
                <w:b/>
                <w:bCs/>
                <w:color w:val="000000"/>
                <w:kern w:val="0"/>
                <w:sz w:val="21"/>
                <w:szCs w:val="21"/>
              </w:rPr>
            </w:pPr>
          </w:p>
        </w:tc>
        <w:tc>
          <w:tcPr>
            <w:tcW w:w="357" w:type="pct"/>
            <w:vMerge w:val="continue"/>
            <w:vAlign w:val="center"/>
          </w:tcPr>
          <w:p>
            <w:pPr>
              <w:widowControl/>
              <w:spacing w:line="300" w:lineRule="exact"/>
              <w:ind w:firstLine="0" w:firstLineChars="0"/>
              <w:jc w:val="left"/>
              <w:rPr>
                <w:b/>
                <w:bCs/>
                <w:color w:val="000000"/>
                <w:kern w:val="0"/>
                <w:sz w:val="21"/>
                <w:szCs w:val="21"/>
              </w:rPr>
            </w:pPr>
          </w:p>
        </w:tc>
        <w:tc>
          <w:tcPr>
            <w:tcW w:w="534" w:type="pct"/>
            <w:vMerge w:val="continue"/>
            <w:vAlign w:val="center"/>
          </w:tcPr>
          <w:p>
            <w:pPr>
              <w:widowControl/>
              <w:spacing w:line="300" w:lineRule="exact"/>
              <w:ind w:firstLine="0" w:firstLineChars="0"/>
              <w:jc w:val="left"/>
              <w:rPr>
                <w:b/>
                <w:bCs/>
                <w:color w:val="000000"/>
                <w:kern w:val="0"/>
                <w:sz w:val="21"/>
                <w:szCs w:val="21"/>
              </w:rPr>
            </w:pPr>
          </w:p>
        </w:tc>
        <w:tc>
          <w:tcPr>
            <w:tcW w:w="1061" w:type="pct"/>
            <w:vMerge w:val="continue"/>
            <w:vAlign w:val="center"/>
          </w:tcPr>
          <w:p>
            <w:pPr>
              <w:widowControl/>
              <w:spacing w:line="300" w:lineRule="exact"/>
              <w:ind w:firstLine="0" w:firstLineChars="0"/>
              <w:jc w:val="left"/>
              <w:rPr>
                <w:b/>
                <w:bCs/>
                <w:color w:val="000000"/>
                <w:kern w:val="0"/>
                <w:sz w:val="21"/>
                <w:szCs w:val="21"/>
              </w:rPr>
            </w:pPr>
          </w:p>
        </w:tc>
        <w:tc>
          <w:tcPr>
            <w:tcW w:w="943" w:type="pct"/>
            <w:vMerge w:val="continue"/>
            <w:vAlign w:val="center"/>
          </w:tcPr>
          <w:p>
            <w:pPr>
              <w:widowControl/>
              <w:spacing w:line="300" w:lineRule="exact"/>
              <w:ind w:firstLine="0" w:firstLineChars="0"/>
              <w:jc w:val="left"/>
              <w:rPr>
                <w:b/>
                <w:bCs/>
                <w:color w:val="000000"/>
                <w:kern w:val="0"/>
                <w:sz w:val="21"/>
                <w:szCs w:val="21"/>
              </w:rPr>
            </w:pPr>
          </w:p>
        </w:tc>
        <w:tc>
          <w:tcPr>
            <w:tcW w:w="227" w:type="pct"/>
            <w:vMerge w:val="continue"/>
            <w:vAlign w:val="center"/>
          </w:tcPr>
          <w:p>
            <w:pPr>
              <w:widowControl/>
              <w:spacing w:line="300" w:lineRule="exact"/>
              <w:ind w:firstLine="0" w:firstLineChars="0"/>
              <w:jc w:val="left"/>
              <w:rPr>
                <w:b/>
                <w:bCs/>
                <w:color w:val="000000"/>
                <w:kern w:val="0"/>
                <w:sz w:val="21"/>
                <w:szCs w:val="21"/>
              </w:rPr>
            </w:pPr>
          </w:p>
        </w:tc>
        <w:tc>
          <w:tcPr>
            <w:tcW w:w="394" w:type="pct"/>
            <w:shd w:val="clear" w:color="auto" w:fill="auto"/>
            <w:vAlign w:val="center"/>
          </w:tcPr>
          <w:p>
            <w:pPr>
              <w:widowControl/>
              <w:spacing w:line="300" w:lineRule="exact"/>
              <w:ind w:firstLine="0" w:firstLineChars="0"/>
              <w:jc w:val="center"/>
              <w:rPr>
                <w:b/>
                <w:bCs/>
                <w:color w:val="000000"/>
                <w:kern w:val="0"/>
                <w:sz w:val="21"/>
                <w:szCs w:val="21"/>
              </w:rPr>
            </w:pPr>
            <w:r>
              <w:rPr>
                <w:b/>
                <w:bCs/>
                <w:color w:val="000000"/>
                <w:kern w:val="0"/>
                <w:sz w:val="21"/>
                <w:szCs w:val="21"/>
              </w:rPr>
              <w:t>产业指导目录（2019年版）</w:t>
            </w:r>
          </w:p>
        </w:tc>
        <w:tc>
          <w:tcPr>
            <w:tcW w:w="350" w:type="pct"/>
            <w:shd w:val="clear" w:color="auto" w:fill="auto"/>
            <w:vAlign w:val="center"/>
          </w:tcPr>
          <w:p>
            <w:pPr>
              <w:widowControl/>
              <w:spacing w:line="300" w:lineRule="exact"/>
              <w:ind w:firstLine="0" w:firstLineChars="0"/>
              <w:jc w:val="center"/>
              <w:rPr>
                <w:b/>
                <w:bCs/>
                <w:color w:val="000000"/>
                <w:kern w:val="0"/>
                <w:sz w:val="21"/>
                <w:szCs w:val="21"/>
              </w:rPr>
            </w:pPr>
            <w:r>
              <w:rPr>
                <w:b/>
                <w:bCs/>
                <w:color w:val="000000"/>
                <w:kern w:val="0"/>
                <w:sz w:val="21"/>
                <w:szCs w:val="21"/>
              </w:rPr>
              <w:t>绿色债券目录（2021年版）</w:t>
            </w:r>
          </w:p>
        </w:tc>
        <w:tc>
          <w:tcPr>
            <w:tcW w:w="343" w:type="pct"/>
            <w:shd w:val="clear" w:color="auto" w:fill="auto"/>
            <w:vAlign w:val="center"/>
          </w:tcPr>
          <w:p>
            <w:pPr>
              <w:widowControl/>
              <w:spacing w:line="300" w:lineRule="exact"/>
              <w:ind w:firstLine="0" w:firstLineChars="0"/>
              <w:jc w:val="center"/>
              <w:rPr>
                <w:b/>
                <w:bCs/>
                <w:color w:val="000000"/>
                <w:kern w:val="0"/>
                <w:sz w:val="21"/>
                <w:szCs w:val="21"/>
              </w:rPr>
            </w:pPr>
            <w:r>
              <w:rPr>
                <w:b/>
                <w:bCs/>
                <w:color w:val="000000"/>
                <w:kern w:val="0"/>
                <w:sz w:val="21"/>
                <w:szCs w:val="21"/>
              </w:rPr>
              <w:t>绿色融资统计（2020年版）</w:t>
            </w:r>
          </w:p>
        </w:tc>
        <w:tc>
          <w:tcPr>
            <w:tcW w:w="411" w:type="pct"/>
            <w:shd w:val="clear" w:color="auto" w:fill="auto"/>
            <w:vAlign w:val="center"/>
          </w:tcPr>
          <w:p>
            <w:pPr>
              <w:widowControl/>
              <w:spacing w:line="300" w:lineRule="exact"/>
              <w:ind w:firstLine="0" w:firstLineChars="0"/>
              <w:jc w:val="center"/>
              <w:rPr>
                <w:b/>
                <w:bCs/>
                <w:color w:val="000000"/>
                <w:kern w:val="0"/>
                <w:sz w:val="21"/>
                <w:szCs w:val="21"/>
              </w:rPr>
            </w:pPr>
            <w:r>
              <w:rPr>
                <w:b/>
                <w:bCs/>
                <w:color w:val="000000"/>
                <w:kern w:val="0"/>
                <w:sz w:val="21"/>
                <w:szCs w:val="21"/>
              </w:rPr>
              <w:t>产业指导目录（2023年版）（征求意见稿）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375" w:type="pct"/>
            <w:vMerge w:val="restart"/>
            <w:shd w:val="clear" w:color="auto" w:fill="auto"/>
            <w:vAlign w:val="center"/>
          </w:tcPr>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1 节能降碳环保产业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1 节能降碳环保产业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1 节能降碳环保产业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1 节能降碳环保产业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1 节能降碳环保产业</w:t>
            </w:r>
          </w:p>
        </w:tc>
        <w:tc>
          <w:tcPr>
            <w:tcW w:w="357" w:type="pct"/>
            <w:vMerge w:val="restart"/>
            <w:shd w:val="clear" w:color="auto" w:fill="auto"/>
            <w:vAlign w:val="center"/>
          </w:tcPr>
          <w:p>
            <w:pPr>
              <w:widowControl/>
              <w:numPr>
                <w:ilvl w:val="-1"/>
                <w:numId w:val="0"/>
              </w:numPr>
              <w:spacing w:line="240" w:lineRule="auto"/>
              <w:ind w:firstLine="0" w:firstLineChars="0"/>
              <w:rPr>
                <w:color w:val="000000"/>
                <w:kern w:val="0"/>
                <w:sz w:val="21"/>
                <w:szCs w:val="21"/>
              </w:rPr>
            </w:pPr>
          </w:p>
          <w:p>
            <w:pPr>
              <w:widowControl/>
              <w:numPr>
                <w:ilvl w:val="-1"/>
                <w:numId w:val="0"/>
              </w:numPr>
              <w:spacing w:line="240" w:lineRule="auto"/>
              <w:ind w:firstLine="0" w:firstLineChars="0"/>
              <w:rPr>
                <w:color w:val="000000"/>
                <w:kern w:val="0"/>
                <w:sz w:val="21"/>
                <w:szCs w:val="21"/>
              </w:rPr>
            </w:pPr>
          </w:p>
          <w:p>
            <w:pPr>
              <w:widowControl/>
              <w:numPr>
                <w:ilvl w:val="-1"/>
                <w:numId w:val="0"/>
              </w:numPr>
              <w:spacing w:line="240" w:lineRule="auto"/>
              <w:ind w:firstLine="0" w:firstLineChars="0"/>
              <w:rPr>
                <w:color w:val="000000"/>
                <w:kern w:val="0"/>
                <w:sz w:val="21"/>
                <w:szCs w:val="21"/>
              </w:rPr>
            </w:pPr>
          </w:p>
          <w:p>
            <w:pPr>
              <w:widowControl/>
              <w:numPr>
                <w:ilvl w:val="-1"/>
                <w:numId w:val="0"/>
              </w:numPr>
              <w:spacing w:line="240" w:lineRule="auto"/>
              <w:ind w:firstLine="0" w:firstLineChars="0"/>
              <w:rPr>
                <w:color w:val="000000"/>
                <w:kern w:val="0"/>
                <w:sz w:val="21"/>
                <w:szCs w:val="21"/>
              </w:rPr>
            </w:pPr>
          </w:p>
          <w:p>
            <w:pPr>
              <w:widowControl/>
              <w:numPr>
                <w:ilvl w:val="-1"/>
                <w:numId w:val="0"/>
              </w:numPr>
              <w:spacing w:line="240" w:lineRule="auto"/>
              <w:ind w:firstLine="0" w:firstLineChars="0"/>
              <w:rPr>
                <w:color w:val="000000"/>
                <w:kern w:val="0"/>
                <w:sz w:val="21"/>
                <w:szCs w:val="21"/>
              </w:rPr>
            </w:pPr>
            <w:r>
              <w:rPr>
                <w:rFonts w:hint="eastAsia"/>
                <w:color w:val="000000"/>
                <w:kern w:val="0"/>
                <w:sz w:val="21"/>
                <w:szCs w:val="21"/>
                <w:lang w:val="en-US" w:eastAsia="zh-CN"/>
              </w:rPr>
              <w:t>1.1</w:t>
            </w:r>
            <w:r>
              <w:rPr>
                <w:color w:val="000000"/>
                <w:kern w:val="0"/>
                <w:sz w:val="21"/>
                <w:szCs w:val="21"/>
              </w:rPr>
              <w:t>节能装备制造产业</w:t>
            </w:r>
          </w:p>
          <w:p>
            <w:pPr>
              <w:widowControl/>
              <w:numPr>
                <w:ilvl w:val="-1"/>
                <w:numId w:val="0"/>
              </w:numPr>
              <w:spacing w:line="240" w:lineRule="auto"/>
              <w:ind w:firstLine="0" w:firstLineChars="0"/>
              <w:rPr>
                <w:color w:val="000000"/>
                <w:kern w:val="0"/>
                <w:sz w:val="21"/>
                <w:szCs w:val="21"/>
              </w:rPr>
            </w:pPr>
          </w:p>
          <w:p>
            <w:pPr>
              <w:widowControl/>
              <w:numPr>
                <w:ilvl w:val="-1"/>
                <w:numId w:val="0"/>
              </w:numPr>
              <w:spacing w:line="240" w:lineRule="auto"/>
              <w:ind w:firstLine="0" w:firstLineChars="0"/>
              <w:rPr>
                <w:color w:val="000000"/>
                <w:kern w:val="0"/>
                <w:sz w:val="21"/>
                <w:szCs w:val="21"/>
              </w:rPr>
            </w:pPr>
          </w:p>
          <w:p>
            <w:pPr>
              <w:widowControl/>
              <w:numPr>
                <w:ilvl w:val="-1"/>
                <w:numId w:val="0"/>
              </w:numPr>
              <w:spacing w:line="240" w:lineRule="auto"/>
              <w:ind w:firstLine="0" w:firstLineChars="0"/>
              <w:rPr>
                <w:color w:val="000000"/>
                <w:kern w:val="0"/>
                <w:sz w:val="21"/>
                <w:szCs w:val="21"/>
              </w:rPr>
            </w:pPr>
          </w:p>
          <w:p>
            <w:pPr>
              <w:widowControl/>
              <w:numPr>
                <w:ilvl w:val="-1"/>
                <w:numId w:val="0"/>
              </w:numPr>
              <w:spacing w:line="240" w:lineRule="auto"/>
              <w:ind w:firstLine="0" w:firstLineChars="0"/>
              <w:rPr>
                <w:color w:val="000000"/>
                <w:kern w:val="0"/>
                <w:sz w:val="21"/>
                <w:szCs w:val="21"/>
              </w:rPr>
            </w:pPr>
          </w:p>
          <w:p>
            <w:pPr>
              <w:widowControl/>
              <w:numPr>
                <w:ilvl w:val="-1"/>
                <w:numId w:val="0"/>
              </w:numPr>
              <w:spacing w:line="240" w:lineRule="auto"/>
              <w:ind w:firstLine="0" w:firstLineChars="0"/>
              <w:rPr>
                <w:color w:val="000000"/>
                <w:kern w:val="0"/>
                <w:sz w:val="21"/>
                <w:szCs w:val="21"/>
              </w:rPr>
            </w:pPr>
          </w:p>
          <w:p>
            <w:pPr>
              <w:widowControl/>
              <w:numPr>
                <w:ilvl w:val="-1"/>
                <w:numId w:val="0"/>
              </w:numPr>
              <w:spacing w:line="240" w:lineRule="auto"/>
              <w:ind w:firstLine="0" w:firstLineChars="0"/>
              <w:rPr>
                <w:color w:val="000000"/>
                <w:kern w:val="0"/>
                <w:sz w:val="21"/>
                <w:szCs w:val="21"/>
              </w:rPr>
            </w:pPr>
          </w:p>
          <w:p>
            <w:pPr>
              <w:widowControl/>
              <w:numPr>
                <w:ilvl w:val="-1"/>
                <w:numId w:val="0"/>
              </w:numPr>
              <w:spacing w:line="240" w:lineRule="auto"/>
              <w:ind w:firstLine="0" w:firstLineChars="0"/>
              <w:rPr>
                <w:color w:val="000000"/>
                <w:kern w:val="0"/>
                <w:sz w:val="21"/>
                <w:szCs w:val="21"/>
              </w:rPr>
            </w:pPr>
          </w:p>
          <w:p>
            <w:pPr>
              <w:widowControl/>
              <w:numPr>
                <w:ilvl w:val="-1"/>
                <w:numId w:val="0"/>
              </w:numPr>
              <w:spacing w:line="240" w:lineRule="auto"/>
              <w:ind w:firstLine="0" w:firstLineChars="0"/>
              <w:rPr>
                <w:color w:val="000000"/>
                <w:kern w:val="0"/>
                <w:sz w:val="21"/>
                <w:szCs w:val="21"/>
              </w:rPr>
            </w:pPr>
          </w:p>
          <w:p>
            <w:pPr>
              <w:widowControl/>
              <w:numPr>
                <w:ilvl w:val="-1"/>
                <w:numId w:val="0"/>
              </w:numPr>
              <w:spacing w:line="240" w:lineRule="auto"/>
              <w:ind w:firstLine="0" w:firstLineChars="0"/>
              <w:rPr>
                <w:color w:val="000000"/>
                <w:kern w:val="0"/>
                <w:sz w:val="21"/>
                <w:szCs w:val="21"/>
              </w:rPr>
            </w:pPr>
          </w:p>
          <w:p>
            <w:pPr>
              <w:widowControl/>
              <w:numPr>
                <w:ilvl w:val="-1"/>
                <w:numId w:val="0"/>
              </w:numPr>
              <w:spacing w:line="240" w:lineRule="auto"/>
              <w:ind w:firstLine="0" w:firstLineChars="0"/>
              <w:rPr>
                <w:color w:val="000000"/>
                <w:kern w:val="0"/>
                <w:sz w:val="21"/>
                <w:szCs w:val="21"/>
              </w:rPr>
            </w:pPr>
          </w:p>
          <w:p>
            <w:pPr>
              <w:widowControl/>
              <w:numPr>
                <w:ilvl w:val="-1"/>
                <w:numId w:val="0"/>
              </w:numPr>
              <w:spacing w:line="240" w:lineRule="auto"/>
              <w:ind w:firstLine="0" w:firstLineChars="0"/>
              <w:rPr>
                <w:color w:val="000000"/>
                <w:kern w:val="0"/>
                <w:sz w:val="21"/>
                <w:szCs w:val="21"/>
              </w:rPr>
            </w:pPr>
          </w:p>
          <w:p>
            <w:pPr>
              <w:widowControl/>
              <w:numPr>
                <w:ilvl w:val="-1"/>
                <w:numId w:val="0"/>
              </w:numPr>
              <w:spacing w:line="240" w:lineRule="auto"/>
              <w:ind w:firstLine="0" w:firstLineChars="0"/>
              <w:rPr>
                <w:color w:val="000000"/>
                <w:kern w:val="0"/>
                <w:sz w:val="21"/>
                <w:szCs w:val="21"/>
              </w:rPr>
            </w:pPr>
          </w:p>
          <w:p>
            <w:pPr>
              <w:widowControl/>
              <w:numPr>
                <w:ilvl w:val="-1"/>
                <w:numId w:val="0"/>
              </w:numPr>
              <w:spacing w:line="240" w:lineRule="auto"/>
              <w:ind w:firstLine="0" w:firstLineChars="0"/>
              <w:rPr>
                <w:color w:val="000000"/>
                <w:kern w:val="0"/>
                <w:sz w:val="21"/>
                <w:szCs w:val="21"/>
              </w:rPr>
            </w:pPr>
          </w:p>
          <w:p>
            <w:pPr>
              <w:widowControl/>
              <w:numPr>
                <w:ilvl w:val="-1"/>
                <w:numId w:val="0"/>
              </w:numPr>
              <w:spacing w:line="240" w:lineRule="auto"/>
              <w:ind w:firstLine="0" w:firstLineChars="0"/>
              <w:rPr>
                <w:color w:val="000000"/>
                <w:kern w:val="0"/>
                <w:sz w:val="21"/>
                <w:szCs w:val="21"/>
              </w:rPr>
            </w:pPr>
          </w:p>
          <w:p>
            <w:pPr>
              <w:widowControl/>
              <w:numPr>
                <w:ilvl w:val="-1"/>
                <w:numId w:val="0"/>
              </w:numPr>
              <w:spacing w:line="240" w:lineRule="auto"/>
              <w:ind w:firstLine="0" w:firstLineChars="0"/>
              <w:rPr>
                <w:color w:val="000000"/>
                <w:kern w:val="0"/>
                <w:sz w:val="21"/>
                <w:szCs w:val="21"/>
              </w:rPr>
            </w:pPr>
            <w:r>
              <w:rPr>
                <w:color w:val="000000"/>
                <w:kern w:val="0"/>
                <w:sz w:val="21"/>
                <w:szCs w:val="21"/>
              </w:rPr>
              <w:t>1.1 节能装备制造产业</w:t>
            </w:r>
          </w:p>
          <w:p>
            <w:pPr>
              <w:widowControl/>
              <w:numPr>
                <w:ilvl w:val="-1"/>
                <w:numId w:val="0"/>
              </w:numPr>
              <w:spacing w:line="240" w:lineRule="auto"/>
              <w:ind w:firstLine="0" w:firstLineChars="0"/>
              <w:rPr>
                <w:color w:val="000000"/>
                <w:kern w:val="0"/>
                <w:sz w:val="21"/>
                <w:szCs w:val="21"/>
              </w:rPr>
            </w:pPr>
          </w:p>
          <w:p>
            <w:pPr>
              <w:widowControl/>
              <w:numPr>
                <w:ilvl w:val="-1"/>
                <w:numId w:val="0"/>
              </w:numPr>
              <w:spacing w:line="240" w:lineRule="auto"/>
              <w:ind w:firstLine="0" w:firstLineChars="0"/>
              <w:rPr>
                <w:color w:val="000000"/>
                <w:kern w:val="0"/>
                <w:sz w:val="21"/>
                <w:szCs w:val="21"/>
              </w:rPr>
            </w:pPr>
          </w:p>
          <w:p>
            <w:pPr>
              <w:widowControl/>
              <w:numPr>
                <w:ilvl w:val="-1"/>
                <w:numId w:val="0"/>
              </w:numPr>
              <w:spacing w:line="240" w:lineRule="auto"/>
              <w:ind w:firstLine="0" w:firstLineChars="0"/>
              <w:rPr>
                <w:color w:val="000000"/>
                <w:kern w:val="0"/>
                <w:sz w:val="21"/>
                <w:szCs w:val="21"/>
              </w:rPr>
            </w:pPr>
          </w:p>
          <w:p>
            <w:pPr>
              <w:widowControl/>
              <w:numPr>
                <w:ilvl w:val="-1"/>
                <w:numId w:val="0"/>
              </w:numPr>
              <w:spacing w:line="240" w:lineRule="auto"/>
              <w:ind w:firstLine="0" w:firstLineChars="0"/>
              <w:rPr>
                <w:color w:val="000000"/>
                <w:kern w:val="0"/>
                <w:sz w:val="21"/>
                <w:szCs w:val="21"/>
              </w:rPr>
            </w:pPr>
          </w:p>
          <w:p>
            <w:pPr>
              <w:widowControl/>
              <w:numPr>
                <w:ilvl w:val="-1"/>
                <w:numId w:val="0"/>
              </w:numPr>
              <w:spacing w:line="240" w:lineRule="auto"/>
              <w:ind w:firstLine="0" w:firstLineChars="0"/>
              <w:rPr>
                <w:color w:val="000000"/>
                <w:kern w:val="0"/>
                <w:sz w:val="21"/>
                <w:szCs w:val="21"/>
              </w:rPr>
            </w:pPr>
          </w:p>
          <w:p>
            <w:pPr>
              <w:widowControl/>
              <w:numPr>
                <w:ilvl w:val="-1"/>
                <w:numId w:val="0"/>
              </w:numPr>
              <w:spacing w:line="240" w:lineRule="auto"/>
              <w:ind w:firstLine="0" w:firstLineChars="0"/>
              <w:rPr>
                <w:color w:val="000000"/>
                <w:kern w:val="0"/>
                <w:sz w:val="21"/>
                <w:szCs w:val="21"/>
              </w:rPr>
            </w:pPr>
          </w:p>
          <w:p>
            <w:pPr>
              <w:widowControl/>
              <w:numPr>
                <w:ilvl w:val="-1"/>
                <w:numId w:val="0"/>
              </w:numPr>
              <w:spacing w:line="240" w:lineRule="auto"/>
              <w:ind w:firstLine="0" w:firstLineChars="0"/>
              <w:rPr>
                <w:color w:val="000000"/>
                <w:kern w:val="0"/>
                <w:sz w:val="21"/>
                <w:szCs w:val="21"/>
              </w:rPr>
            </w:pPr>
          </w:p>
          <w:p>
            <w:pPr>
              <w:widowControl/>
              <w:numPr>
                <w:ilvl w:val="-1"/>
                <w:numId w:val="0"/>
              </w:numPr>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1.1.1节能型泵及真空设备制造</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包括节能泵、节能型真空干燥设备、节能型真空炉等设备制造及贸易活动。</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设备及产品能耗水平应优于相应设备、产品能效限定值及能效等级标准1级能效指标。</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G3</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1.1.3</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1.1.1.3</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1.1</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1.1.2节能电机制造</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包括节能型直流电动机、节能型交流电动机、节能型交直流两用电动机、节能型小功率电动机、节能型微电机、稀土永磁电机等设备制造及贸易活动。</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节能型电机设备能效达到或优于《电动机能效限定值及能效等级》（GB 18613）、《永磁同步电动机能效限定值及能效等级》（GB 30253）、《高压三相笼型异步电动机能效限定值及能效等级》（GB 30254）国家标准一级能效，其他节能电机设备，需要满足对应能效要求。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G3</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1.1.8</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1.1.1.8</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1.1</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1.1.3余热余压余气利用设备制造</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包括低温烟气余热深度回收装置、窑炉余热利用装置、基于热泵技术的循环水及乏汽余热回收集中供热装置、高效换热器、高效蓄能器、高效冷凝器等余热余压余气利用设备制造及贸易活动。</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lang w:bidi="ar"/>
              </w:rPr>
              <w:t>热交换器能效不低于《热交换器能效测试与评价规则》（TSG R0010）中1级能效水平，其他余热余压余气利用设备需满足对应能效标准要求。余能利用需符合《工业余能资源评价方法（GB/T 1028）、《工业余热梯级综合利用导则》（GB/T 39091）等标准规范要求。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G3</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1.1.10</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1.1.1.10</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1.1</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1.1.4绿色建筑材料制造</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包括节能墙体材料、外墙保温材料、节能玻璃、装配式建筑部品部件、预拌混凝土、预拌砂浆等绿色建材产品制造。</w:t>
            </w:r>
          </w:p>
        </w:tc>
        <w:tc>
          <w:tcPr>
            <w:tcW w:w="943"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ind w:firstLine="0" w:firstLineChars="0"/>
              <w:textAlignment w:val="auto"/>
              <w:rPr>
                <w:color w:val="000000"/>
                <w:kern w:val="0"/>
                <w:sz w:val="21"/>
                <w:szCs w:val="21"/>
              </w:rPr>
            </w:pPr>
            <w:r>
              <w:rPr>
                <w:color w:val="000000"/>
                <w:kern w:val="0"/>
                <w:sz w:val="21"/>
                <w:szCs w:val="21"/>
              </w:rPr>
              <w:t>建筑玻璃、墙体材料、绝热材料、防水与密封材料、陶瓷砖（板）等产品需符合《绿色产品评价 建筑玻璃》（GB/T 35604）、《绿色产品评价 墙体材料》（GB/T 35605）、《绿色产品评价 绝热材料》（GB/T 35608）、《绿色产品评价防水与密封材料》（GB/T 35609）、《绿色产品评价陶瓷砖（板）》（GB/T 35610）等标准规范要求。预拌混凝土需符合《环境标志产品技术要求 预拌混凝土》（HJ/T 412）等标准规范要求。建筑绝热材料需符合《建筑用绝热制品六溴环十二烷的限值》（GB/T 41077）等标准规范要求。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G3</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1.1.14</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1.2.1.1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1.1</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restart"/>
            <w:shd w:val="clear" w:color="auto" w:fill="auto"/>
            <w:vAlign w:val="center"/>
          </w:tcPr>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1.2 环保装备制造产业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1.2.1水污染防治装备制造</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城镇、农村生活污水、工业废水处理与再生利用、回用装备，地表水、地下水污染防控治理与修复装备，清淤机械、排水管网维护检测装备、海绵城市建设配套装备、城镇雨水收集与处理装备，饮用水安全保障及漏损控制装备等装备制造及贸易活动。</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装备技术指标应达到或优于有效期内《环境保护综合目录》《国家鼓励发展的重大环保装备技术目录》等技术政策或标准的要求，并符合《污水处理用旋转曝气机能效限定值及能效等级》（GB 37483）、《污水处理用潜水推流式搅拌机能效限定值及能效等级》（GB 37485）、《高效能水污染物控制装备评价技术要求 旋转曝气机》（GB/T 38220）等国家标准要求。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G3</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1.2.1</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1.3.1.1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1.2</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1.2.2大气污染防治装备制造</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包括烟气除尘、脱硫脱硝，挥发性有机污染物（VOCs）处理、机动车尾气后处理、食品业油烟净化等装备制造及贸易活动。</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装备技术指标应达到或优于有效期内《环境保护综合目录》《国家鼓励发展的重大环保装备技术目录》等技术政策或标准的要求，并符合《除尘器能效限定值及能效等级》（GB 37484）、《高效能大气污染物控制装备评价技术要求》（GB/T 33017）等国家标准要求。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G3</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1.2.2</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1.3.1.2</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1.2</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6"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1.2.3土壤污染治理与修复装备制造</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包括农用地土壤污染修复装备、污染地块治理与修复装备等装备制造及贸易活动。</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装备技术指标鼓励达到有效期内《环境保护综合目录》《国家鼓励发展的重大环保装备技术目录》等的相关技术标准要求。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G3</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1.2.3</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1.3.1.3</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1.2</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1.2.4环境污染处理药剂、材料制造</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包括除磷药剂、杀菌灭藻剂、絮凝剂等环保药剂和袋式除尘滤料及纤维、袋除尘用大口径脉冲阀、无膜片高压低能耗脉冲阀、膜材料和膜组件等设备、零部件制造及贸易活动。</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药剂与材料达到有效期内《国家鼓励发展的重大环保装备技术目录》相关技术标准要求。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G3</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1.2.7</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1.3.1.7</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1.2</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5"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restart"/>
            <w:shd w:val="clear" w:color="auto" w:fill="auto"/>
            <w:vAlign w:val="center"/>
          </w:tcPr>
          <w:p>
            <w:pPr>
              <w:widowControl/>
              <w:spacing w:line="240" w:lineRule="auto"/>
              <w:ind w:firstLine="0" w:firstLineChars="0"/>
              <w:rPr>
                <w:color w:val="000000"/>
                <w:kern w:val="0"/>
                <w:sz w:val="21"/>
                <w:szCs w:val="21"/>
              </w:rPr>
            </w:pPr>
            <w:r>
              <w:rPr>
                <w:color w:val="000000"/>
                <w:kern w:val="0"/>
                <w:sz w:val="21"/>
                <w:szCs w:val="21"/>
              </w:rPr>
              <w:t>1.3资源循环利用装备制造产业</w:t>
            </w: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1.3.1汽车零部件及机电产品再制造装备制造</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利用废旧汽车零部件、废旧机电产品材料，再生生产汽车零部件、机电产品的生产装备制造及贸易活动。如废旧汽车零部件、废旧机电产品的拆解清洗装备，电镀、熔覆、成型一体化等装备的制造及贸易活动。</w:t>
            </w:r>
          </w:p>
        </w:tc>
        <w:tc>
          <w:tcPr>
            <w:tcW w:w="943" w:type="pct"/>
            <w:shd w:val="clear" w:color="auto" w:fill="auto"/>
            <w:vAlign w:val="center"/>
          </w:tcPr>
          <w:p>
            <w:pPr>
              <w:widowControl/>
              <w:spacing w:line="300" w:lineRule="exact"/>
              <w:ind w:firstLine="0" w:firstLineChars="0"/>
              <w:jc w:val="center"/>
              <w:rPr>
                <w:rFonts w:hint="eastAsia" w:eastAsia="仿宋"/>
                <w:color w:val="000000"/>
                <w:kern w:val="0"/>
                <w:sz w:val="21"/>
                <w:szCs w:val="21"/>
                <w:lang w:val="en-US" w:eastAsia="zh-CN"/>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G3</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1.3.5</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1.5.1.5</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1.3.5　</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3.1.5部分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1.3.2汽车零部件及机电产品再制造</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包括汽车零部件及机电产品的回收、分拣、拆解、再加工等。</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工艺、产品等需符合《汽车零部件再制造分类》（GB∕T 28676）、《汽车零部件再制造拆解》（GB∕T 28675）、《汽车零部件再制造产品技术规范起动机》（GB/T 28673）、《汽车零部件再制造产品技术规范 交流发电机》（GB∕T 28672）、《再制造内燃机通用技术条件》（GB/T 32222）等国家标准。</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G3</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1.7.4</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1.5.2.3</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1.7.4　</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3.2.5部分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restart"/>
            <w:vAlign w:val="center"/>
          </w:tcPr>
          <w:p>
            <w:pPr>
              <w:widowControl/>
              <w:spacing w:line="240" w:lineRule="auto"/>
              <w:ind w:firstLine="0" w:firstLineChars="0"/>
              <w:rPr>
                <w:color w:val="000000"/>
                <w:kern w:val="0"/>
                <w:sz w:val="21"/>
                <w:szCs w:val="21"/>
              </w:rPr>
            </w:pPr>
            <w:r>
              <w:rPr>
                <w:color w:val="000000"/>
                <w:kern w:val="0"/>
                <w:sz w:val="21"/>
                <w:szCs w:val="21"/>
              </w:rPr>
              <w:t>1.4温室气体控制</w:t>
            </w: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1.4.1</w:t>
            </w:r>
            <w:r>
              <w:rPr>
                <w:color w:val="000000"/>
                <w:kern w:val="0"/>
                <w:sz w:val="21"/>
                <w:szCs w:val="21"/>
                <w:lang w:bidi="ar"/>
              </w:rPr>
              <w:t>二氧化碳捕集利用与封存</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将二氧化碳从工业生产、能源利用过程中产生的废气或大气中分离出来，加以资源化利用、注入地层封存或注入地下油藏提高石油产量，如火电厂二氧化碳捕集、二氧化碳驱油、直接空气碳捕捉、生物质能碳捕捉与封存等技术应用。</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3.2.3.6</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9"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lang w:bidi="ar"/>
              </w:rPr>
              <w:t>1.4.2工业生产过程温室气体减排</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通过工艺改进和清洁生产等措施减少生产过程温室气体排放的活动，如水泥行业通过非碳酸盐原料替代传统石灰石原料、玻璃行业应用先进的浮法工艺减少温室气体排放，化工行业使用六氟化硫混合气和回收六氟化硫等。</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restart"/>
            <w:shd w:val="clear" w:color="auto" w:fill="auto"/>
            <w:vAlign w:val="center"/>
          </w:tcPr>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2 产业园区绿色升级</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2 产业园区绿色升级</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2 产业园区绿色升级</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tc>
        <w:tc>
          <w:tcPr>
            <w:tcW w:w="357" w:type="pct"/>
            <w:vMerge w:val="restart"/>
            <w:shd w:val="clear" w:color="auto" w:fill="auto"/>
            <w:vAlign w:val="center"/>
          </w:tcPr>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2.1园区循环化改造</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2.1.1园区产业链接循环化改造</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电力、钢铁、有色金属、石油石化、化学工业、建材行业、造纸行业、纺织行业、农牧业等行业，以本行业企业为基础建立跨行业产业链接，实现最大化的废弃物资源接续利用，实现废弃物循环利用，或能源梯级利用的技术改造活动。</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需符合《工业园区循环经济管理通则》（GB/T 31088）、《工业园区循环经济评价规范》（GB/T 33567）、《工业企业和园区循环经济标准体系编制通则》（GB/T 33751）等标准。</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2.1.1</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2.3.2.1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2.1.1</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bookmarkStart w:id="10" w:name="OLE_LINK9"/>
            <w:r>
              <w:rPr>
                <w:color w:val="000000"/>
                <w:kern w:val="0"/>
                <w:sz w:val="21"/>
                <w:szCs w:val="21"/>
              </w:rPr>
              <w:t>2.1.2园区资源利用高效化改造</w:t>
            </w:r>
            <w:bookmarkEnd w:id="10"/>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园区内废弃物资源，尾矿、伴生矿等资源利用项目引进和建设，以及为提升园区整体资源利用效率和园区企业资源利用效率而进行的园区专项或系统化改造，包括园区产业链补链企业引进、改造和建设，既有企业资源高效利用改造等。</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符合《废弃资源综合利用业环境管理体系实施指南》（GB/T 29750）等国家标准的要求。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2.1.2</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2.3.2.2</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2.1.1</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shd w:val="clear" w:color="auto" w:fill="auto"/>
            <w:vAlign w:val="center"/>
          </w:tcPr>
          <w:p>
            <w:pPr>
              <w:widowControl/>
              <w:spacing w:line="240" w:lineRule="auto"/>
              <w:ind w:firstLine="0" w:firstLineChars="0"/>
              <w:rPr>
                <w:color w:val="000000"/>
                <w:kern w:val="0"/>
                <w:sz w:val="21"/>
                <w:szCs w:val="21"/>
              </w:rPr>
            </w:pPr>
            <w:r>
              <w:rPr>
                <w:color w:val="000000"/>
                <w:kern w:val="0"/>
                <w:sz w:val="21"/>
                <w:szCs w:val="21"/>
              </w:rPr>
              <w:t>2.2园区清洁生产</w:t>
            </w: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2.2.1园区重点行业清洁生产改造</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包括钢铁园区清洁生产改造、化工园区清洁生产改造、石油石化园区清洁生产改造、有色金属园区等高污染重点行业企业及园区清洁生产改造。</w:t>
            </w:r>
          </w:p>
          <w:p>
            <w:pPr>
              <w:widowControl/>
              <w:spacing w:line="300" w:lineRule="exact"/>
              <w:ind w:firstLine="0" w:firstLineChars="0"/>
              <w:rPr>
                <w:color w:val="000000"/>
                <w:kern w:val="0"/>
                <w:sz w:val="21"/>
                <w:szCs w:val="21"/>
              </w:rPr>
            </w:pP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需符合《钢铁行业清洁生产评价指标体系》《氮肥行业清洁生产评价指标体系（试行）》《烧碱/聚氯乙烯行业清洁生产评价指标体系（试行）》《铝行业清洁生产评价指标体系（试行）》《铅锌行业清洁生产评价指标体系（试行）》等国家标准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r>
              <w:rPr>
                <w:color w:val="000000"/>
                <w:kern w:val="0"/>
                <w:sz w:val="21"/>
                <w:szCs w:val="21"/>
              </w:rPr>
              <w:t>G1</w:t>
            </w: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both"/>
              <w:rPr>
                <w:color w:val="000000"/>
                <w:kern w:val="0"/>
                <w:sz w:val="21"/>
                <w:szCs w:val="21"/>
              </w:rPr>
            </w:pPr>
          </w:p>
          <w:p>
            <w:pPr>
              <w:widowControl/>
              <w:spacing w:line="300" w:lineRule="exact"/>
              <w:ind w:firstLine="0" w:firstLineChars="0"/>
              <w:jc w:val="both"/>
              <w:rPr>
                <w:color w:val="000000"/>
                <w:kern w:val="0"/>
                <w:sz w:val="21"/>
                <w:szCs w:val="21"/>
              </w:rPr>
            </w:pPr>
          </w:p>
          <w:p>
            <w:pPr>
              <w:widowControl/>
              <w:spacing w:line="300" w:lineRule="exact"/>
              <w:ind w:firstLine="0" w:firstLineChars="0"/>
              <w:jc w:val="both"/>
              <w:rPr>
                <w:color w:val="000000"/>
                <w:kern w:val="0"/>
                <w:sz w:val="21"/>
                <w:szCs w:val="21"/>
              </w:rPr>
            </w:pPr>
          </w:p>
          <w:p>
            <w:pPr>
              <w:widowControl/>
              <w:spacing w:line="300" w:lineRule="exact"/>
              <w:ind w:firstLine="0" w:firstLineChars="0"/>
              <w:jc w:val="both"/>
              <w:rPr>
                <w:color w:val="000000"/>
                <w:kern w:val="0"/>
                <w:sz w:val="21"/>
                <w:szCs w:val="21"/>
              </w:rPr>
            </w:pPr>
          </w:p>
          <w:p>
            <w:pPr>
              <w:widowControl/>
              <w:spacing w:line="300" w:lineRule="exact"/>
              <w:ind w:firstLine="0" w:firstLineChars="0"/>
              <w:jc w:val="both"/>
              <w:rPr>
                <w:color w:val="000000"/>
                <w:kern w:val="0"/>
                <w:sz w:val="21"/>
                <w:szCs w:val="21"/>
              </w:rPr>
            </w:pPr>
          </w:p>
        </w:tc>
        <w:tc>
          <w:tcPr>
            <w:tcW w:w="394" w:type="pct"/>
            <w:shd w:val="clear" w:color="auto" w:fill="auto"/>
            <w:vAlign w:val="center"/>
          </w:tcPr>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r>
              <w:rPr>
                <w:color w:val="000000"/>
                <w:kern w:val="0"/>
                <w:sz w:val="21"/>
                <w:szCs w:val="21"/>
              </w:rPr>
              <w:t>2.1.4</w:t>
            </w: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both"/>
              <w:rPr>
                <w:color w:val="000000"/>
                <w:kern w:val="0"/>
                <w:sz w:val="21"/>
                <w:szCs w:val="21"/>
              </w:rPr>
            </w:pPr>
          </w:p>
        </w:tc>
        <w:tc>
          <w:tcPr>
            <w:tcW w:w="350" w:type="pct"/>
            <w:shd w:val="clear" w:color="auto" w:fill="auto"/>
            <w:vAlign w:val="center"/>
          </w:tcPr>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r>
              <w:rPr>
                <w:color w:val="000000"/>
                <w:kern w:val="0"/>
                <w:sz w:val="21"/>
                <w:szCs w:val="21"/>
              </w:rPr>
              <w:t>2.1.3.2</w:t>
            </w: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both"/>
              <w:rPr>
                <w:color w:val="000000"/>
                <w:kern w:val="0"/>
                <w:sz w:val="21"/>
                <w:szCs w:val="21"/>
              </w:rPr>
            </w:pPr>
          </w:p>
        </w:tc>
        <w:tc>
          <w:tcPr>
            <w:tcW w:w="343" w:type="pct"/>
            <w:shd w:val="clear" w:color="auto" w:fill="auto"/>
            <w:vAlign w:val="center"/>
          </w:tcPr>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r>
              <w:rPr>
                <w:color w:val="000000"/>
                <w:kern w:val="0"/>
                <w:sz w:val="21"/>
                <w:szCs w:val="21"/>
              </w:rPr>
              <w:t>2.1.2</w:t>
            </w: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both"/>
              <w:rPr>
                <w:color w:val="000000"/>
                <w:kern w:val="0"/>
                <w:sz w:val="21"/>
                <w:szCs w:val="21"/>
              </w:rPr>
            </w:pPr>
          </w:p>
        </w:tc>
        <w:tc>
          <w:tcPr>
            <w:tcW w:w="411" w:type="pct"/>
            <w:shd w:val="clear" w:color="auto" w:fill="auto"/>
            <w:vAlign w:val="center"/>
          </w:tcPr>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r>
              <w:rPr>
                <w:color w:val="000000"/>
                <w:kern w:val="0"/>
                <w:sz w:val="21"/>
                <w:szCs w:val="21"/>
              </w:rPr>
              <w:t>2.5.</w:t>
            </w:r>
            <w:r>
              <w:rPr>
                <w:rFonts w:hint="eastAsia"/>
                <w:color w:val="000000"/>
                <w:kern w:val="0"/>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5"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shd w:val="clear" w:color="auto" w:fill="auto"/>
            <w:vAlign w:val="center"/>
          </w:tcPr>
          <w:p>
            <w:pPr>
              <w:widowControl/>
              <w:spacing w:line="240" w:lineRule="auto"/>
              <w:ind w:firstLine="0" w:firstLineChars="0"/>
              <w:rPr>
                <w:color w:val="000000"/>
                <w:kern w:val="0"/>
                <w:sz w:val="21"/>
                <w:szCs w:val="21"/>
              </w:rPr>
            </w:pPr>
            <w:r>
              <w:rPr>
                <w:color w:val="000000"/>
                <w:kern w:val="0"/>
                <w:sz w:val="21"/>
                <w:szCs w:val="21"/>
              </w:rPr>
              <w:t>2.3园区污染防治</w:t>
            </w: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2.3.1园区污染治理集中化改造</w:t>
            </w:r>
          </w:p>
        </w:tc>
        <w:tc>
          <w:tcPr>
            <w:tcW w:w="1061" w:type="pct"/>
            <w:shd w:val="clear" w:color="auto" w:fill="auto"/>
            <w:vAlign w:val="center"/>
          </w:tcPr>
          <w:p>
            <w:pPr>
              <w:widowControl/>
              <w:spacing w:line="300" w:lineRule="exact"/>
              <w:ind w:firstLine="0" w:firstLineChars="0"/>
              <w:jc w:val="left"/>
              <w:rPr>
                <w:color w:val="000000"/>
                <w:kern w:val="0"/>
                <w:sz w:val="21"/>
                <w:szCs w:val="21"/>
              </w:rPr>
            </w:pPr>
            <w:r>
              <w:rPr>
                <w:color w:val="000000"/>
                <w:kern w:val="0"/>
                <w:sz w:val="21"/>
                <w:szCs w:val="21"/>
              </w:rPr>
              <w:t>包括工业园区、企业集群集中污染治理设施、集中喷涂设施建设和运营及升级改造，废弃可再生资源（如废钢铁、废有色金属、废塑料、废橡胶等）集中拆解处理和集中污染治理设施建设运营，以及工业园区、企业集群公共基础设施（如供水、供电、供热、道路、通信等）建设和技术改造。</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需符合《城镇污水处理厂污染物排放标准》(GB 18918)</w:t>
            </w:r>
            <w:r>
              <w:rPr>
                <w:color w:val="000000"/>
                <w:kern w:val="0"/>
                <w:sz w:val="21"/>
                <w:szCs w:val="21"/>
                <w:lang w:bidi="ar"/>
              </w:rPr>
              <w:t>、《产业园区基础设施绿色化指标体系及评价方法》（GB/T 38538）</w:t>
            </w:r>
            <w:r>
              <w:rPr>
                <w:color w:val="000000"/>
                <w:kern w:val="0"/>
                <w:sz w:val="24"/>
                <w:szCs w:val="24"/>
                <w:lang w:bidi="ar"/>
              </w:rPr>
              <w:t>）、</w:t>
            </w:r>
            <w:r>
              <w:rPr>
                <w:color w:val="000000"/>
                <w:kern w:val="0"/>
                <w:sz w:val="21"/>
                <w:szCs w:val="21"/>
                <w:lang w:bidi="ar"/>
              </w:rPr>
              <w:t>《焦炉煤气制取甲醇技术规范》（GB/T 38927）等国家和当地生</w:t>
            </w:r>
            <w:r>
              <w:rPr>
                <w:color w:val="000000"/>
                <w:kern w:val="0"/>
                <w:sz w:val="21"/>
                <w:szCs w:val="21"/>
              </w:rPr>
              <w:t>态环境保护主管部门制定的地方标准。</w:t>
            </w:r>
          </w:p>
        </w:tc>
        <w:tc>
          <w:tcPr>
            <w:tcW w:w="227" w:type="pct"/>
            <w:shd w:val="clear" w:color="auto" w:fill="auto"/>
            <w:vAlign w:val="center"/>
          </w:tcPr>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r>
              <w:rPr>
                <w:color w:val="000000"/>
                <w:kern w:val="0"/>
                <w:sz w:val="21"/>
                <w:szCs w:val="21"/>
              </w:rPr>
              <w:t>G1</w:t>
            </w:r>
          </w:p>
          <w:p>
            <w:pPr>
              <w:widowControl/>
              <w:spacing w:line="300" w:lineRule="exact"/>
              <w:ind w:firstLine="0" w:firstLineChars="0"/>
              <w:jc w:val="both"/>
              <w:rPr>
                <w:color w:val="000000"/>
                <w:kern w:val="0"/>
                <w:sz w:val="21"/>
                <w:szCs w:val="21"/>
              </w:rPr>
            </w:pP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2.1.3</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2.1.3.1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2.1.2</w:t>
            </w:r>
          </w:p>
        </w:tc>
        <w:tc>
          <w:tcPr>
            <w:tcW w:w="411" w:type="pct"/>
            <w:shd w:val="clear" w:color="auto" w:fill="auto"/>
            <w:vAlign w:val="center"/>
          </w:tcPr>
          <w:p>
            <w:pPr>
              <w:widowControl/>
              <w:spacing w:line="300" w:lineRule="exact"/>
              <w:ind w:firstLine="0" w:firstLineChars="0"/>
              <w:jc w:val="center"/>
              <w:rPr>
                <w:color w:val="000000"/>
                <w:kern w:val="0"/>
                <w:sz w:val="21"/>
                <w:szCs w:val="21"/>
              </w:rPr>
            </w:pPr>
            <w:bookmarkStart w:id="11" w:name="OLE_LINK14"/>
            <w:r>
              <w:rPr>
                <w:color w:val="000000"/>
                <w:kern w:val="0"/>
                <w:sz w:val="21"/>
                <w:szCs w:val="21"/>
              </w:rPr>
              <w:t>2.5.7</w:t>
            </w:r>
            <w:bookmarkEnd w:id="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6"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restart"/>
            <w:shd w:val="clear" w:color="auto" w:fill="auto"/>
            <w:vAlign w:val="center"/>
          </w:tcPr>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2.4园区智慧管理</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2.4.1能源管理中心</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采用自动化、信息化技术和集中管理模式，对企业能源系统生产、输配和消耗各环节（不限定包含所有环节）实施集中扁平化动态监控和数字化管理，改进和优化能源平衡，实现系统性节能降耗的能源管理管控一体化系统。包括系统硬件设施设备购置安装和配套软件系统开发运用。</w:t>
            </w:r>
          </w:p>
        </w:tc>
        <w:tc>
          <w:tcPr>
            <w:tcW w:w="943" w:type="pct"/>
            <w:shd w:val="clear" w:color="auto" w:fill="auto"/>
            <w:vAlign w:val="center"/>
          </w:tcPr>
          <w:p>
            <w:pPr>
              <w:widowControl/>
              <w:spacing w:line="300" w:lineRule="exact"/>
              <w:ind w:firstLine="0" w:firstLineChars="0"/>
              <w:jc w:val="left"/>
              <w:rPr>
                <w:color w:val="000000"/>
                <w:kern w:val="0"/>
                <w:sz w:val="21"/>
                <w:szCs w:val="21"/>
              </w:rPr>
            </w:pPr>
            <w:r>
              <w:rPr>
                <w:color w:val="000000"/>
                <w:kern w:val="0"/>
                <w:sz w:val="21"/>
                <w:szCs w:val="21"/>
                <w:lang w:bidi="ar"/>
              </w:rPr>
              <w:t>需符合《能源管理体系 要求》（GB/T 23331）、《能源管理体系 实施指南》（GB/T 29456）、《水泥行业能源管理体系实施指南（GB/T 30259）等国家、地方相关标准规范要求。</w:t>
            </w:r>
          </w:p>
          <w:p>
            <w:pPr>
              <w:widowControl/>
              <w:spacing w:line="300" w:lineRule="exact"/>
              <w:ind w:firstLine="0" w:firstLineChars="0"/>
              <w:rPr>
                <w:color w:val="000000"/>
                <w:kern w:val="0"/>
                <w:sz w:val="21"/>
                <w:szCs w:val="21"/>
              </w:rPr>
            </w:pP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7.2.1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4"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2.4.2智慧物流仓储</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通过智能硬件、物联网、大数据等智慧化技术与手段，提高物流系统分析决策和智能执行的能力，提升区域物流系统的智能化、自动化水平。</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1"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2.4.3园区智慧管理中心</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建立统一的事件综合协调平台，利用集中的信息资源和应用系统，实现对事件的快速分发和分级响应；整合视频监控、传感测量等物联网数据和业务运行管理数据，实现对园区各平台系统和基础设施的在线管理。</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6"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2.4.4工业互联网建设运营</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包括工业互联网平台体系和网络的建设和运营等。</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需符合《工业互联网平台建设及推广指南》《工业互联网平台评价方法》《工业互联网网络建设及推广指南》的相关要求。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8" w:hRule="atLeast"/>
        </w:trPr>
        <w:tc>
          <w:tcPr>
            <w:tcW w:w="375" w:type="pct"/>
            <w:vMerge w:val="restart"/>
            <w:shd w:val="clear" w:color="auto" w:fill="auto"/>
            <w:vAlign w:val="center"/>
          </w:tcPr>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3 工业绿色化改造升级</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3 工业绿色化改造升级</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3 工业绿色化改造升级</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3 工业绿色化改造升级</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3 工业绿色化改造升级</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3 工业绿色化改造升级</w:t>
            </w:r>
          </w:p>
          <w:p>
            <w:pPr>
              <w:widowControl/>
              <w:spacing w:line="240" w:lineRule="auto"/>
              <w:ind w:firstLine="0" w:firstLineChars="0"/>
              <w:rPr>
                <w:color w:val="000000"/>
                <w:kern w:val="0"/>
                <w:sz w:val="21"/>
                <w:szCs w:val="21"/>
              </w:rPr>
            </w:pPr>
          </w:p>
        </w:tc>
        <w:tc>
          <w:tcPr>
            <w:tcW w:w="357" w:type="pct"/>
            <w:vMerge w:val="restart"/>
            <w:shd w:val="clear" w:color="auto" w:fill="auto"/>
            <w:vAlign w:val="center"/>
          </w:tcPr>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3.1生产过程能源高效利用</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3.1生产过程能源高效利用</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3.1生产过程能源高效利用</w:t>
            </w: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3.1.1工业设备系统能效提升</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以实现锅炉（窑炉）能效提升为目的，采用设备、装备替代更新、技术改造、燃料优化、燃烧调整优化等技术手段，对锅炉（窑炉）实施的节能技术改造，以及使用清洁低碳能源和工厂余热、电厂热力替代以煤、石油焦、渣油、重油等燃料锅炉（窑炉）的节能技术改造活动；以实现电机系统能效提升为目的，采用设备更新、技术改造、控制系统优化等技术手段，对电机系统（含系统内风机、水泵、压缩机、变压器等设备）实施的设备或综合性系统节能改造。</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鼓励采用设备及技术指标达到或优于有效期内的《国家鼓励发展的重大环保技术装备目录》《国家重点节能低碳技术推广目录》。</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1.5.1/1.5.2/1.5.6</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1.1.2.1/1.1.2.2</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1.5</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1.3.1/1.3.2/1.3.3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3.1.2产品、工艺能效提升</w:t>
            </w:r>
          </w:p>
        </w:tc>
        <w:tc>
          <w:tcPr>
            <w:tcW w:w="1061" w:type="pct"/>
            <w:shd w:val="clear" w:color="auto" w:fill="auto"/>
            <w:vAlign w:val="center"/>
          </w:tcPr>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r>
              <w:rPr>
                <w:color w:val="000000"/>
                <w:kern w:val="0"/>
                <w:sz w:val="21"/>
                <w:szCs w:val="21"/>
              </w:rPr>
              <w:t>按照能源高效利用的原则，优化工艺流程、技术方案、用能系统等，综合提升项目能效水平，使产品能耗或工序能耗优于国家或甘肃省单位产品能源消耗限额标准先进值。</w:t>
            </w: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lang w:bidi="ar"/>
              </w:rPr>
              <w:t>满足《能量系统优化导则（GB/T 35071）、《工业园区物质流分析技术则》（GB/T 38903）等标准规范要求。</w:t>
            </w:r>
            <w:r>
              <w:rPr>
                <w:color w:val="000000"/>
                <w:kern w:val="0"/>
                <w:sz w:val="21"/>
                <w:szCs w:val="21"/>
              </w:rPr>
              <w:t>改造后能效水平满足（工序）下列标准之一：《全国工业能效指南（2014年版）》第4节重点行业产品和工序能效附表4重点行业主要产品（工序）能效表；装置/设施产品能耗或工序能耗≤国家或甘肃省单位产品能源消耗限额标准先进值。鼓励采用设备及技术指标达到或优于有效期内的《国家鼓励发展的重大环保技术装备目录》。</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1.5.4</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1.1.2.4</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1.5</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3.1.3余热余压利用</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采用饱和蒸汽发电技术、烟气余热回收利用等技术，回收工业生产过程低品位余热余压等能源资源用于发电、工业供热、居民供暖或生产工艺再利用的设施建设或技术改造活动。</w:t>
            </w:r>
          </w:p>
        </w:tc>
        <w:tc>
          <w:tcPr>
            <w:tcW w:w="943" w:type="pct"/>
            <w:shd w:val="clear" w:color="auto" w:fill="auto"/>
            <w:vAlign w:val="center"/>
          </w:tcPr>
          <w:p>
            <w:pPr>
              <w:widowControl/>
              <w:spacing w:line="300" w:lineRule="exact"/>
              <w:ind w:firstLine="0" w:firstLineChars="0"/>
              <w:rPr>
                <w:b/>
                <w:bCs/>
                <w:color w:val="000000"/>
                <w:kern w:val="0"/>
                <w:sz w:val="21"/>
                <w:szCs w:val="21"/>
              </w:rPr>
            </w:pPr>
            <w:r>
              <w:rPr>
                <w:color w:val="000000"/>
                <w:kern w:val="0"/>
                <w:sz w:val="21"/>
                <w:szCs w:val="21"/>
              </w:rPr>
              <w:t>热交换器能效等级达到《热交换器能效测试与评价规则》中的目标值要求。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1.5.3</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1.1.2.3</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1.5</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3.1.4能源系统高效运行</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包括高效储能设施建设和运营、天然气输送及储运调峰设施建设和运营等。</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高效储能设施建设和运营需符合《电化学储能电站设计规范》（GB 51048）、《储能用铅酸蓄电池》（GB/T 22473）等国家标准；天然气输送储运调峰设施建设和运营需符合《城镇燃气设计规范》（GB 50028）、《城镇燃气规划规范》（GB/T 51098）、《液态天然气（LNG）生产、储存和装运》（GB/T 20368）等国家标准。</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3.4.2/3.4.4/3.4.5</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3.2.3.2/3.2.3.3</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1.5</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4.4.2/4.4.4/4.4.7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8"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3.1.5绿色照明改造</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采用LED、高/低压钠灯、金属卤化物灯、三基色双端直管荧光灯(T8、T5 型)等高能效照明产品，以及利用自然光光源，在室内外各类场所进行的照明设施节能技术改造。</w:t>
            </w:r>
          </w:p>
        </w:tc>
        <w:tc>
          <w:tcPr>
            <w:tcW w:w="943" w:type="pct"/>
            <w:shd w:val="clear" w:color="auto" w:fill="auto"/>
            <w:vAlign w:val="center"/>
          </w:tcPr>
          <w:p>
            <w:pPr>
              <w:widowControl/>
              <w:spacing w:line="300" w:lineRule="exact"/>
              <w:ind w:firstLine="0" w:firstLineChars="0"/>
              <w:rPr>
                <w:color w:val="000000"/>
                <w:kern w:val="0"/>
                <w:sz w:val="21"/>
                <w:szCs w:val="21"/>
                <w:lang w:bidi="ar"/>
              </w:rPr>
            </w:pPr>
            <w:r>
              <w:rPr>
                <w:color w:val="000000"/>
                <w:kern w:val="0"/>
                <w:sz w:val="21"/>
                <w:szCs w:val="21"/>
                <w:lang w:bidi="ar"/>
              </w:rPr>
              <w:t>相关参数需符合《LED城市道路照明应用技术要求》（GB/T 31832）、《隧道照明用LED灯具性能要求》（GB/T 32481）等国家标准规范要求，且产品能效不低于《室内照明用LED产品能效限定值及能效等级》（GB 30255）、《道路和隧道照明用LED灯具能效限定值及能效等级》（GB 37478）、《普通照明用LED平 板灯能效限定值及能效等级》（GB 38450）、《高压钠灯能效限定值及能效级》（GB 19573）、《金属卤化物灯能效限定值及能效等级》（GB 20054）等标准中1级能效水平，以及《普通照明用卤钨灯能效限定值及节能评价值》（GB 31276）中节能评价值水平。</w:t>
            </w:r>
          </w:p>
          <w:p>
            <w:pPr>
              <w:widowControl/>
              <w:spacing w:line="300" w:lineRule="exact"/>
              <w:ind w:firstLine="0" w:firstLineChars="0"/>
              <w:rPr>
                <w:color w:val="000000"/>
                <w:kern w:val="0"/>
                <w:sz w:val="21"/>
                <w:szCs w:val="21"/>
                <w:lang w:bidi="ar"/>
              </w:rPr>
            </w:pP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1.5.5</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1.1.3.1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1.5</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4"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restart"/>
            <w:shd w:val="clear" w:color="auto" w:fill="auto"/>
            <w:vAlign w:val="center"/>
          </w:tcPr>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3.2生产过程污染防治</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3.2生产过程污染防治</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3.2生产过程污染防治</w:t>
            </w:r>
          </w:p>
        </w:tc>
        <w:tc>
          <w:tcPr>
            <w:tcW w:w="534" w:type="pct"/>
            <w:shd w:val="clear" w:color="auto" w:fill="auto"/>
            <w:vAlign w:val="center"/>
          </w:tcPr>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r>
              <w:rPr>
                <w:color w:val="000000"/>
                <w:kern w:val="0"/>
                <w:sz w:val="21"/>
                <w:szCs w:val="21"/>
              </w:rPr>
              <w:t>3.2.1工业脱硫脱硝除尘改造</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工业锅炉脱硫脱硝除尘技术改造、钢铁行业烧结机脱硫技术改造、水泥行业脱硝技术改造、废气重金属治理升级改造等。</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符合《产业园区废气综合利用原则和要求》（GB/T 36574）、《燃煤烟气脱硝装备运行效果评价技术要求》（GB/T 34340）、《燃煤烟气脱硫装备运行效果评价技术要求》（GB/T 34605）、《钢铁烧结烟气脱硫除尘装备运行效果评价技术要求》（GB/T 34607）等国家标准的要求。</w:t>
            </w: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2.3.1</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2.1.1.1</w:t>
            </w:r>
          </w:p>
        </w:tc>
        <w:tc>
          <w:tcPr>
            <w:tcW w:w="343" w:type="pct"/>
            <w:shd w:val="clear" w:color="auto" w:fill="auto"/>
            <w:vAlign w:val="center"/>
          </w:tcPr>
          <w:p>
            <w:pPr>
              <w:widowControl/>
              <w:spacing w:line="300" w:lineRule="exact"/>
              <w:ind w:firstLine="210" w:firstLineChars="100"/>
              <w:jc w:val="both"/>
              <w:rPr>
                <w:color w:val="000000"/>
                <w:kern w:val="0"/>
                <w:sz w:val="21"/>
                <w:szCs w:val="21"/>
              </w:rPr>
            </w:pPr>
            <w:r>
              <w:rPr>
                <w:color w:val="000000"/>
                <w:kern w:val="0"/>
                <w:sz w:val="21"/>
                <w:szCs w:val="21"/>
              </w:rPr>
              <w:t>2.3.1</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3.2.2重点行业水污染治理</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造纸、焦化、氮肥、有色金属、印染、农副食品加工、原料药制造、制革、农药、电镀等水污染物产生重点行业的清洁化技术改造，以及工业污水处理设施等水污染治理设施建设运营。例如，磷矿、磷化工、磷石膏库整治及磷石膏综合利用及产品贸易，含磷农药等行业生产废水设施建设、运营等。</w:t>
            </w: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lang w:bidi="ar"/>
              </w:rPr>
              <w:t>需符合国家、地方相关水污染物排放标准和所在行业清洁生产评价指标体系、《工业废水处理与回用技术评价导（GB/T 32327）等相关标准规范要求。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2.4.2</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2.1.2.1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2.4.1</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3.2.3危险废物处理处置</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列入有效期内《国家危险废物名录》的危险废物、医疗废物的减量化、无害化处理处置设施建设和运营。</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需符合《危险废物贮存污染控制标准》（GB 18597）、《危险废物焚烧污染控制标准》（GB 18484）、《危险废物填埋污染控制标准》（GB 18598）、《含氰废水处理处置规范》（GB/T 32123）、《危险废物处置工程技术导则》（HJ 2042）等国家标准和行业标准。</w:t>
            </w: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2.2.2</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2.1.4.2</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2.2</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3.2.4危险废物运输</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列入有效期内《国家危险废物名录》所涉及危险废物的运输运营活动。</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运输过程需符合《危险货物运输包装通用技术条件》（GB 12463）、《危险废物收集、贮存、运输技术规范》（HJ 2025）等国家标准和行业标准。</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2.2.3</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2.1.4.3</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2.2</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3.2.5挥发性有机物综合整治</w:t>
            </w:r>
          </w:p>
        </w:tc>
        <w:tc>
          <w:tcPr>
            <w:tcW w:w="106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ind w:firstLine="0" w:firstLineChars="0"/>
              <w:textAlignment w:val="auto"/>
              <w:rPr>
                <w:color w:val="000000"/>
                <w:kern w:val="0"/>
                <w:sz w:val="21"/>
                <w:szCs w:val="21"/>
              </w:rPr>
            </w:pPr>
            <w:r>
              <w:rPr>
                <w:color w:val="000000"/>
                <w:kern w:val="0"/>
                <w:sz w:val="21"/>
                <w:szCs w:val="21"/>
              </w:rPr>
              <w:t>包括石化、有机化工、医药、工业涂装和包装等产业挥发性有机物治理设施（含工业园区内企业及园区综合整治）及油气运输储备系统（如加油站、油罐车、储油库）油气回收设施等挥发性有机物综合治理设施建设运营，以及以挥发性有机物整治为目的的企业生产工艺、生产装备技术改造。</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 xml:space="preserve">需符合国家和地方有关挥发性有机物的排放标准。 </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2.3.3</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2.1.1.2</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2.3.1</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4"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3.2.6无毒无害原料生产与替代使用</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在电器电子、汽车、涂料、家具、印刷、汽车制造涂装、橡胶制品、皮革、制鞋等重点行业使用无毒无害或低毒低害原料对含重金属或有机污染物、消耗臭氧层物质等有毒有害物质原料进行替代的技术改造或新工艺生产设施建设。</w:t>
            </w:r>
          </w:p>
        </w:tc>
        <w:tc>
          <w:tcPr>
            <w:tcW w:w="943"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ind w:firstLine="0" w:firstLineChars="0"/>
              <w:textAlignment w:val="auto"/>
              <w:rPr>
                <w:color w:val="000000"/>
                <w:kern w:val="0"/>
                <w:sz w:val="21"/>
                <w:szCs w:val="21"/>
              </w:rPr>
            </w:pPr>
            <w:r>
              <w:rPr>
                <w:color w:val="000000"/>
                <w:kern w:val="0"/>
                <w:sz w:val="21"/>
                <w:szCs w:val="21"/>
              </w:rPr>
              <w:t>符合有效期内《国家鼓励的有毒有害原料(产品)替代品目录》所列替代品的生产设施建设或替代使用技术改造，及《关于消耗臭氧层物质的蒙特利尔议定书》及其各修正案受控物质进行替代的技术改造或新工艺生产设施建设。符合有效期内</w:t>
            </w:r>
            <w:r>
              <w:rPr>
                <w:color w:val="000000"/>
                <w:kern w:val="0"/>
                <w:sz w:val="21"/>
                <w:szCs w:val="21"/>
                <w:lang w:bidi="ar"/>
              </w:rPr>
              <w:t>《环境保护综合名录》中“高污染、高环境风险”产品的替代产品的生产和使用。</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2.2.1</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2.1.4.1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2.2</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5"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restart"/>
            <w:shd w:val="clear" w:color="auto" w:fill="auto"/>
            <w:vAlign w:val="center"/>
          </w:tcPr>
          <w:p>
            <w:pPr>
              <w:widowControl/>
              <w:spacing w:line="240" w:lineRule="auto"/>
              <w:ind w:firstLine="0" w:firstLineChars="0"/>
              <w:rPr>
                <w:color w:val="000000"/>
                <w:kern w:val="0"/>
                <w:sz w:val="21"/>
                <w:szCs w:val="21"/>
              </w:rPr>
            </w:pPr>
            <w:r>
              <w:rPr>
                <w:color w:val="000000"/>
                <w:kern w:val="0"/>
                <w:sz w:val="21"/>
                <w:szCs w:val="21"/>
              </w:rPr>
              <w:t>3.3资源节约与循环利用</w:t>
            </w: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3.3.1生产过程节水和水资源高效利用</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工业冷却用水节水改造、热力和工艺用水节水改造、洗涤用水节水改造、蒸汽冷凝水回收再利用、外排废水回收处理再利用、非常规水资源利用设施建设等工业节水设施建设和技术改造。</w:t>
            </w:r>
          </w:p>
        </w:tc>
        <w:tc>
          <w:tcPr>
            <w:tcW w:w="943"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ind w:firstLine="0" w:firstLineChars="0"/>
              <w:textAlignment w:val="auto"/>
              <w:rPr>
                <w:color w:val="000000"/>
                <w:kern w:val="0"/>
                <w:sz w:val="21"/>
                <w:szCs w:val="21"/>
              </w:rPr>
            </w:pPr>
            <w:r>
              <w:rPr>
                <w:color w:val="000000"/>
                <w:kern w:val="0"/>
                <w:sz w:val="21"/>
                <w:szCs w:val="21"/>
              </w:rPr>
              <w:t>需符合《节水型产品通用技术条件》（GB/T 18870）、《节水型卫生洁具》（GB/T 31436）、《钢铁企业节水设计规范》（GB 50506）、《节水型企业评价通则》（GB/T 29725）、《节水灌溉工程技术规范》（GB/T 50363）、《重金属废水处理与回用技术评价》（GB/T 38224）等国家标准。</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2.4.1</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2.4.1.1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2.4.2</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3.2.2部分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3.3.2工业和建筑固废资源综合利用</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工业固体废弃物的回收、无害化处理和再利用设施建设和运营，包括尾矿、煤矸石、粉煤灰、工业副产石膏、冶炼渣等；建筑废弃材料无害化利用设施建设和运营，包括建筑废物、废旧路面材料、废旧沥青混凝土等。</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煤矸石发电项目的煤矸石使用量不低于入炉燃料的60%（重量比），且入炉煤收到基低位发热量不低于5020千焦（1200千卡）/千克，不高于12550千焦（3000千卡）/千克。符合</w:t>
            </w:r>
            <w:r>
              <w:rPr>
                <w:color w:val="000000"/>
                <w:kern w:val="0"/>
                <w:sz w:val="21"/>
                <w:szCs w:val="21"/>
                <w:lang w:bidi="ar"/>
              </w:rPr>
              <w:t>《工程施工废弃物再生利用技术规范》（GB/T50743）等国家、地方相关标准规范要求。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2.5.1/1.7.3部分</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1.5.1.2/1.5.1.3</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2.5.2</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2.5.1/3.2.6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5" w:type="pct"/>
            <w:vMerge w:val="restart"/>
            <w:shd w:val="clear" w:color="auto" w:fill="auto"/>
            <w:vAlign w:val="center"/>
          </w:tcPr>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rFonts w:hint="eastAsia"/>
                <w:color w:val="000000"/>
                <w:kern w:val="0"/>
                <w:sz w:val="21"/>
                <w:szCs w:val="21"/>
              </w:rPr>
            </w:pPr>
          </w:p>
          <w:p>
            <w:pPr>
              <w:widowControl/>
              <w:spacing w:line="240" w:lineRule="auto"/>
              <w:ind w:firstLine="0" w:firstLineChars="0"/>
              <w:rPr>
                <w:rFonts w:hint="eastAsia"/>
                <w:color w:val="000000"/>
                <w:kern w:val="0"/>
                <w:sz w:val="21"/>
                <w:szCs w:val="21"/>
              </w:rPr>
            </w:pPr>
          </w:p>
          <w:p>
            <w:pPr>
              <w:widowControl/>
              <w:spacing w:line="240" w:lineRule="auto"/>
              <w:ind w:firstLine="0" w:firstLineChars="0"/>
              <w:rPr>
                <w:rFonts w:hint="eastAsia"/>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4 新能源与清洁能源产业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4 新能源与清洁能源产业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4 新能源与清洁能源产业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4 新能源与清洁能源产业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4 新能源与清洁能源产业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4 新能源与清洁能源产业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tc>
        <w:tc>
          <w:tcPr>
            <w:tcW w:w="357" w:type="pct"/>
            <w:vMerge w:val="restart"/>
            <w:shd w:val="clear" w:color="auto" w:fill="auto"/>
            <w:vAlign w:val="center"/>
          </w:tcPr>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4.1 新能源汽车制造</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4.1 新能源汽车制造</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4.1.1新能源汽车关键零部件制造和产业化</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新能源汽车电池、电机及其控制系统、电附件、插电式混合动力专用发动机、机电耦合系统及能量回收系统等新能源汽车关键核心零部件装备制造和产业化设施建设运营，及新能源汽车和清洁能源汽车的贸易活动和购置消费。</w:t>
            </w:r>
          </w:p>
        </w:tc>
        <w:tc>
          <w:tcPr>
            <w:tcW w:w="943"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color w:val="000000"/>
                <w:kern w:val="0"/>
                <w:sz w:val="21"/>
                <w:szCs w:val="21"/>
              </w:rPr>
            </w:pPr>
            <w:r>
              <w:rPr>
                <w:color w:val="000000"/>
                <w:kern w:val="0"/>
                <w:sz w:val="21"/>
                <w:szCs w:val="21"/>
                <w:lang w:bidi="ar"/>
              </w:rPr>
              <w:t>新能源汽车电池需符《电动汽车用动力蓄电池安全要求》（GB 38031）、《电动汽车用动力蓄电池电性能要求及试验方法》（GB/T 31486）、《电动汽车用动力蓄电池循环寿命要求及试验方（GB/T 31484）等标准规范要求；电动汽车用驱动电机系统需符合《电动汽车用驱动电机系统》（GB/T 18488）、《电动汽车用驱动电机系统可靠性试验方法》（GB/T 29307）等标准规范要求；电附件需符合《电动汽车仪表》（GB/T 19836）等标准规范要求；电动汽车安全需符合《电动汽车 安全要求》（GB/T 18384）等标准规范要求。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G3</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1.4.1</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1.6.1.1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1.4</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4.1.2充电、换电及加氢设施制造</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包括分布式交流充电桩、集中式快速充电站、换电设施、站用加氢及储氢设施等设备制造、设施建设和运营。</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分布式交流充电桩符合国家标准《电动汽车传导充电系统第1部分:通用要求》（GB/T18487</w:t>
            </w:r>
            <w:r>
              <w:rPr>
                <w:rFonts w:hint="eastAsia"/>
                <w:color w:val="000000"/>
                <w:kern w:val="0"/>
                <w:sz w:val="21"/>
                <w:szCs w:val="21"/>
              </w:rPr>
              <w:t>.</w:t>
            </w:r>
            <w:r>
              <w:rPr>
                <w:color w:val="000000"/>
                <w:kern w:val="0"/>
                <w:sz w:val="21"/>
                <w:szCs w:val="21"/>
              </w:rPr>
              <w:t>1）、《电动汽车传导充电系统第3部分：电动车辆交流直流充电机（站）》（GB/T 18487</w:t>
            </w:r>
            <w:r>
              <w:rPr>
                <w:rFonts w:hint="eastAsia"/>
                <w:color w:val="000000"/>
                <w:kern w:val="0"/>
                <w:sz w:val="21"/>
                <w:szCs w:val="21"/>
              </w:rPr>
              <w:t>.</w:t>
            </w:r>
            <w:r>
              <w:rPr>
                <w:color w:val="000000"/>
                <w:kern w:val="0"/>
                <w:sz w:val="21"/>
                <w:szCs w:val="21"/>
              </w:rPr>
              <w:t>3）与行业标准《电动汽车充电设备检验试验规范第2部分:交流充电桩》（NB/T33008</w:t>
            </w:r>
            <w:r>
              <w:rPr>
                <w:rFonts w:hint="eastAsia"/>
                <w:color w:val="000000"/>
                <w:kern w:val="0"/>
                <w:sz w:val="21"/>
                <w:szCs w:val="21"/>
              </w:rPr>
              <w:t>.</w:t>
            </w:r>
            <w:r>
              <w:rPr>
                <w:color w:val="000000"/>
                <w:kern w:val="0"/>
                <w:sz w:val="21"/>
                <w:szCs w:val="21"/>
              </w:rPr>
              <w:t>2）、《电动汽车交流充电桩技术条件》（NB/T33002）；集中式快速充电站《电动汽车充电站设计规范》为国家标准，需符合《电动汽车充电站设计规范》（GB 50966）；换电设施符合《电动汽车充换电设施建设技术导则》（NB/T 33009）；站用加氢及储氢设施等设施制造符合《加氢站技术规范》（GB 50516）等。</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G3</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1.4.2</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1.6.1.2</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1.4</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ind w:firstLine="0" w:firstLineChars="0"/>
              <w:textAlignment w:val="auto"/>
              <w:rPr>
                <w:color w:val="000000"/>
                <w:kern w:val="0"/>
                <w:sz w:val="21"/>
                <w:szCs w:val="21"/>
              </w:rPr>
            </w:pPr>
            <w:r>
              <w:rPr>
                <w:color w:val="000000"/>
                <w:kern w:val="0"/>
                <w:sz w:val="21"/>
                <w:szCs w:val="21"/>
              </w:rPr>
              <w:t>4.2 新能源与清洁能源装备制造</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4.2 新能源与清洁能源装备制造</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4.2 新能源与清洁能源装备制造</w:t>
            </w: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4.2.1太阳能发电装备制造</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包括光伏发电设备和光热发电设备等的制造及贸易活动。</w:t>
            </w:r>
          </w:p>
        </w:tc>
        <w:tc>
          <w:tcPr>
            <w:tcW w:w="943" w:type="pct"/>
            <w:shd w:val="clear" w:color="auto" w:fill="auto"/>
            <w:vAlign w:val="center"/>
          </w:tcPr>
          <w:p>
            <w:pPr>
              <w:widowControl/>
              <w:spacing w:line="300" w:lineRule="exact"/>
              <w:ind w:firstLine="0" w:firstLineChars="0"/>
              <w:rPr>
                <w:rFonts w:hint="default" w:eastAsia="仿宋"/>
                <w:color w:val="000000"/>
                <w:kern w:val="0"/>
                <w:sz w:val="21"/>
                <w:szCs w:val="21"/>
                <w:lang w:val="en-US" w:eastAsia="zh-CN"/>
              </w:rPr>
            </w:pPr>
            <w:r>
              <w:rPr>
                <w:color w:val="000000"/>
                <w:kern w:val="0"/>
                <w:sz w:val="21"/>
                <w:szCs w:val="21"/>
              </w:rPr>
              <w:t>光伏发电设备制造企业和项目需符合有效期内《光伏制造行业规范条件》要求，光伏电池生产需达到《光伏电池行业清洁生产评价指标体系》Ⅰ级水平（国际清洁生产领先水平）。</w:t>
            </w:r>
            <w:r>
              <w:rPr>
                <w:rFonts w:hint="eastAsia"/>
                <w:color w:val="000000"/>
                <w:kern w:val="0"/>
                <w:sz w:val="21"/>
                <w:szCs w:val="21"/>
                <w:lang w:val="en-US" w:eastAsia="zh-CN"/>
              </w:rPr>
              <w:t>对于在建项目：</w:t>
            </w:r>
            <w:r>
              <w:rPr>
                <w:rFonts w:hint="eastAsia"/>
                <w:color w:val="000000"/>
                <w:kern w:val="0"/>
                <w:sz w:val="21"/>
                <w:szCs w:val="21"/>
              </w:rPr>
              <w:t>可研报告等设计文件明确项目符合</w:t>
            </w:r>
            <w:r>
              <w:rPr>
                <w:rFonts w:hint="eastAsia"/>
                <w:color w:val="000000"/>
                <w:kern w:val="0"/>
                <w:sz w:val="21"/>
                <w:szCs w:val="21"/>
                <w:lang w:val="en-US" w:eastAsia="zh-CN"/>
              </w:rPr>
              <w:t>上述要求即可</w:t>
            </w:r>
            <w:r>
              <w:rPr>
                <w:rFonts w:hint="eastAsia"/>
                <w:color w:val="000000"/>
                <w:kern w:val="0"/>
                <w:sz w:val="21"/>
                <w:szCs w:val="21"/>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G3</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3.1.2</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3.2.1.2</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3.1</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4.2.2核电装备制造</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 xml:space="preserve">第三代先进压水堆核电站成套设备，快中子堆和高温气冷堆核电站设备，模块化小型核能装置，核应急装置及核级泵、阀设备等核电站辅助设备，防辐射材料、安全与监测装置的生产制造；铀矿开采、铀纯化转化、铀浓缩、燃料元件的生产和生产设备制造，以及核设施退役、放射性废物处理和处置装置制造，铀矿伴生矿综合利用设备制造。 </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G3</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3.1.5</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3.2.1.5</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4.2.3海洋油气开采装备制造</w:t>
            </w:r>
          </w:p>
        </w:tc>
        <w:tc>
          <w:tcPr>
            <w:tcW w:w="106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ind w:firstLine="0" w:firstLineChars="0"/>
              <w:textAlignment w:val="auto"/>
              <w:rPr>
                <w:color w:val="000000"/>
                <w:kern w:val="0"/>
                <w:sz w:val="21"/>
                <w:szCs w:val="21"/>
              </w:rPr>
            </w:pPr>
            <w:r>
              <w:rPr>
                <w:color w:val="000000"/>
                <w:kern w:val="0"/>
                <w:sz w:val="21"/>
                <w:szCs w:val="21"/>
              </w:rPr>
              <w:t>包括半潜式钻井平台、钻井船、自升式钻修井/作业平台、半潜式生产平台、浮式生产储卸装置、起重铺管船、大型起重船/浮吊、水下采油树、泄漏油应急处理装置等水下系统及作业装备等的制造及贸易活动。</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G3</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3.1.7</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3.2.1.9</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r>
              <w:rPr>
                <w:color w:val="000000"/>
                <w:kern w:val="0"/>
                <w:sz w:val="21"/>
                <w:szCs w:val="21"/>
              </w:rPr>
              <w:t>　</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4.2.4智能电网产品和装备制造</w:t>
            </w:r>
          </w:p>
        </w:tc>
        <w:tc>
          <w:tcPr>
            <w:tcW w:w="106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ind w:firstLine="0" w:firstLineChars="0"/>
              <w:textAlignment w:val="auto"/>
              <w:rPr>
                <w:color w:val="000000"/>
                <w:kern w:val="0"/>
                <w:sz w:val="21"/>
                <w:szCs w:val="21"/>
              </w:rPr>
            </w:pPr>
            <w:r>
              <w:rPr>
                <w:color w:val="000000"/>
                <w:kern w:val="0"/>
                <w:sz w:val="21"/>
                <w:szCs w:val="21"/>
              </w:rPr>
              <w:t>包括智能变压器、整流器和电感器，先进电力电子装置，智能输配电及控制设备，特高压输电装备，抽水蓄能装备，新能源储能装备，充电设施，智能电网与新能源相关的控制类产品等的制造。</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G3</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3.1.8</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3.1.1.1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3.1</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5"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4.2.5燃料电池装备制造</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包括质子交换膜燃料电池、直接甲醇燃料电池、碱性燃料电池、熔融碳酸燃料电池、磷酸燃料电池、固体氧化物燃料电池等的制造及贸易活动。</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G3</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3.1.10</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3.2.1.7</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3.1</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4.2.6地热能开发利用装备制造</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包括地源热泵系统、高温地热热泵系统、地热吸收式制冷系统、中低温地热发电系统、地热干燥及热水供应系统、地热防腐防垢关键设备制造等的制造及贸易活动。</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G3</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3.1.11</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3.2.1.8</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3.1</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restart"/>
            <w:shd w:val="clear" w:color="auto" w:fill="auto"/>
            <w:vAlign w:val="center"/>
          </w:tcPr>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4.3 清洁能源设施建设和运营</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4.3 清洁能源设施建设和运营</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4.3.1地热能利用设施建设和运营</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包括水热型地热供暖、浅层地热能利用、中深层无干扰地热能利用、地热发电工程等的建设和运营。</w:t>
            </w:r>
          </w:p>
        </w:tc>
        <w:tc>
          <w:tcPr>
            <w:tcW w:w="943"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ind w:firstLine="0" w:firstLineChars="0"/>
              <w:textAlignment w:val="auto"/>
              <w:rPr>
                <w:color w:val="000000"/>
                <w:kern w:val="0"/>
                <w:sz w:val="21"/>
                <w:szCs w:val="21"/>
              </w:rPr>
            </w:pPr>
            <w:r>
              <w:rPr>
                <w:color w:val="000000"/>
                <w:kern w:val="0"/>
                <w:sz w:val="21"/>
                <w:szCs w:val="21"/>
              </w:rPr>
              <w:t>需符合地热钻井工程、地热发电、采出水综合利用及资源保护系列等的国家标准与行业标准相关要求。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3.2.7</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3.2.2.6</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5"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4.3.2氢能利用设施建设和运营</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w:t>
            </w:r>
            <w:r>
              <w:rPr>
                <w:color w:val="000000"/>
                <w:kern w:val="0"/>
                <w:sz w:val="21"/>
                <w:szCs w:val="21"/>
                <w:lang w:bidi="ar"/>
              </w:rPr>
              <w:t>可再生能源制</w:t>
            </w:r>
            <w:r>
              <w:rPr>
                <w:rFonts w:hint="eastAsia"/>
                <w:color w:val="000000"/>
                <w:kern w:val="0"/>
                <w:sz w:val="21"/>
                <w:szCs w:val="21"/>
                <w:lang w:val="en-US" w:eastAsia="zh-CN" w:bidi="ar"/>
              </w:rPr>
              <w:t>氢</w:t>
            </w:r>
            <w:r>
              <w:rPr>
                <w:color w:val="000000"/>
                <w:kern w:val="0"/>
                <w:sz w:val="21"/>
                <w:szCs w:val="21"/>
                <w:lang w:bidi="ar"/>
              </w:rPr>
              <w:t>（氨）、氢电耦合、</w:t>
            </w:r>
            <w:r>
              <w:rPr>
                <w:color w:val="000000"/>
                <w:kern w:val="0"/>
                <w:sz w:val="21"/>
                <w:szCs w:val="21"/>
              </w:rPr>
              <w:t>氢气安全高效储存、氢能储存与转换、氢燃料电池运行维护、氢燃料汽车、氢燃料电池汽车、氢燃料电池发电、氢掺入天然气管道等设施的建设和运营。</w:t>
            </w:r>
          </w:p>
        </w:tc>
        <w:tc>
          <w:tcPr>
            <w:tcW w:w="943"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ind w:firstLine="0" w:firstLineChars="0"/>
              <w:jc w:val="left"/>
              <w:textAlignment w:val="auto"/>
              <w:rPr>
                <w:color w:val="000000"/>
                <w:kern w:val="0"/>
                <w:sz w:val="21"/>
                <w:szCs w:val="21"/>
              </w:rPr>
            </w:pPr>
            <w:r>
              <w:rPr>
                <w:color w:val="000000"/>
                <w:kern w:val="0"/>
                <w:sz w:val="21"/>
                <w:szCs w:val="21"/>
                <w:lang w:bidi="ar"/>
              </w:rPr>
              <w:t xml:space="preserve">需符合《氢气使用安全技 </w:t>
            </w:r>
          </w:p>
          <w:p>
            <w:pPr>
              <w:keepNext w:val="0"/>
              <w:keepLines w:val="0"/>
              <w:pageBreakBefore w:val="0"/>
              <w:widowControl/>
              <w:kinsoku/>
              <w:wordWrap/>
              <w:overflowPunct/>
              <w:topLinePunct w:val="0"/>
              <w:autoSpaceDE/>
              <w:autoSpaceDN/>
              <w:bidi w:val="0"/>
              <w:adjustRightInd/>
              <w:snapToGrid/>
              <w:spacing w:line="260" w:lineRule="exact"/>
              <w:ind w:firstLine="0" w:firstLineChars="0"/>
              <w:textAlignment w:val="auto"/>
              <w:rPr>
                <w:color w:val="000000"/>
                <w:kern w:val="0"/>
                <w:sz w:val="21"/>
                <w:szCs w:val="21"/>
              </w:rPr>
            </w:pPr>
            <w:r>
              <w:rPr>
                <w:color w:val="000000"/>
                <w:kern w:val="0"/>
                <w:sz w:val="21"/>
                <w:szCs w:val="21"/>
                <w:lang w:bidi="ar"/>
              </w:rPr>
              <w:t>术规程》（GB 4962）、《氢系统安全的基本要（GB/T 29729）、《水电解制氢系统技术要求》（GB/T 19774）、《氢气储存输送系统》（GB/T 34542）、《液氢贮存和运输技术要求》（GB/T 40060）、《氢气站设计规范》（GB 50177）、《加氢站技术规范》（GB 50516）、《示范运行氢燃料电池电动汽车技术规范（GB/T29123）、《固定式燃料电池发电系统（GB/T 27748）等国家、地方相关标准规范要求。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3.2.9</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3.2.2.8</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4.3.3风力发电设施建设和运营</w:t>
            </w:r>
          </w:p>
        </w:tc>
        <w:tc>
          <w:tcPr>
            <w:tcW w:w="1061" w:type="pct"/>
            <w:shd w:val="clear" w:color="auto" w:fill="auto"/>
            <w:vAlign w:val="center"/>
          </w:tcPr>
          <w:p>
            <w:pPr>
              <w:widowControl/>
              <w:spacing w:line="300" w:lineRule="exact"/>
              <w:ind w:firstLine="0" w:firstLineChars="0"/>
              <w:jc w:val="left"/>
              <w:rPr>
                <w:color w:val="000000"/>
                <w:kern w:val="0"/>
                <w:sz w:val="21"/>
                <w:szCs w:val="21"/>
              </w:rPr>
            </w:pPr>
            <w:r>
              <w:rPr>
                <w:color w:val="000000"/>
                <w:kern w:val="0"/>
                <w:sz w:val="21"/>
                <w:szCs w:val="21"/>
                <w:lang w:bidi="ar"/>
              </w:rPr>
              <w:t>陆上利用风能发电的设施建设和运营。</w:t>
            </w:r>
          </w:p>
          <w:p>
            <w:pPr>
              <w:widowControl/>
              <w:spacing w:line="300" w:lineRule="exact"/>
              <w:ind w:firstLine="0" w:firstLineChars="0"/>
              <w:jc w:val="left"/>
              <w:rPr>
                <w:color w:val="000000"/>
                <w:kern w:val="0"/>
                <w:sz w:val="21"/>
                <w:szCs w:val="21"/>
              </w:rPr>
            </w:pPr>
          </w:p>
        </w:tc>
        <w:tc>
          <w:tcPr>
            <w:tcW w:w="943" w:type="pct"/>
            <w:shd w:val="clear" w:color="auto" w:fill="auto"/>
            <w:vAlign w:val="center"/>
          </w:tcPr>
          <w:p>
            <w:pPr>
              <w:widowControl/>
              <w:spacing w:line="300" w:lineRule="exact"/>
              <w:ind w:firstLine="0" w:firstLineChars="0"/>
              <w:rPr>
                <w:color w:val="000000"/>
                <w:kern w:val="0"/>
                <w:sz w:val="21"/>
                <w:szCs w:val="21"/>
                <w:lang w:bidi="ar"/>
              </w:rPr>
            </w:pPr>
            <w:r>
              <w:rPr>
                <w:color w:val="000000"/>
                <w:kern w:val="0"/>
                <w:sz w:val="21"/>
                <w:szCs w:val="21"/>
                <w:lang w:bidi="ar"/>
              </w:rPr>
              <w:t>需符合《风力发电场设计规范》（GB 51096）、《风力发电工程施工与验收规范》（GB/T 51121）、《风电场接入电力系统 技术规定》（GB/T 19963）、《大型风电场并网设计技术规范》 （NB/T 31003）等国家、行业有关标准规范要求。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3.2.1</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3.2.2.1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3.2.1</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7"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4.3.4太阳能利用设施建设和运营</w:t>
            </w:r>
          </w:p>
        </w:tc>
        <w:tc>
          <w:tcPr>
            <w:tcW w:w="1061" w:type="pct"/>
            <w:shd w:val="clear" w:color="auto" w:fill="auto"/>
            <w:vAlign w:val="center"/>
          </w:tcPr>
          <w:p>
            <w:pPr>
              <w:widowControl/>
              <w:spacing w:line="300" w:lineRule="exact"/>
              <w:ind w:firstLine="0" w:firstLineChars="0"/>
              <w:jc w:val="left"/>
              <w:rPr>
                <w:color w:val="000000"/>
                <w:kern w:val="0"/>
                <w:sz w:val="21"/>
                <w:szCs w:val="21"/>
              </w:rPr>
            </w:pPr>
            <w:r>
              <w:rPr>
                <w:color w:val="000000"/>
                <w:kern w:val="0"/>
                <w:sz w:val="21"/>
                <w:szCs w:val="21"/>
                <w:lang w:bidi="ar"/>
              </w:rPr>
              <w:t>太阳能光伏发电、太阳能热发电和太阳能热利用等设施。</w:t>
            </w:r>
          </w:p>
        </w:tc>
        <w:tc>
          <w:tcPr>
            <w:tcW w:w="943"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color w:val="000000"/>
                <w:kern w:val="0"/>
                <w:sz w:val="21"/>
                <w:szCs w:val="21"/>
                <w:lang w:bidi="ar"/>
              </w:rPr>
            </w:pPr>
            <w:r>
              <w:rPr>
                <w:color w:val="000000"/>
                <w:kern w:val="0"/>
                <w:sz w:val="21"/>
                <w:szCs w:val="21"/>
                <w:lang w:bidi="ar"/>
              </w:rPr>
              <w:t>需符合《光伏发电站设计规范》（GB 50797）、《光伏发电系统接入配电网技术规定》（GB/T 29319）、《独立光伏系统技术规范》（GB/T 29196）、《光伏建筑一体化系统运行与维护规范》（JGJ/T 264）、《家用太阳能热水系统能效限定值及能效等级》（GB 26969）（2级及以上能效水平）、《民用建筑太阳能热水系统应用技术标准》（GB 50364）、《工业应用的太阳能热水系统技术规范》（GB/T 30724）、《家用太阳能热水系统储水箱技术要求》（GB/T 28746）、《太阳能供热采暖工程技术规范》（GB 50495）等</w:t>
            </w:r>
            <w:r>
              <w:rPr>
                <w:color w:val="000000"/>
                <w:spacing w:val="-6"/>
                <w:kern w:val="0"/>
                <w:sz w:val="21"/>
                <w:szCs w:val="21"/>
                <w:lang w:bidi="ar"/>
              </w:rPr>
              <w:t>国家、行业有关标准规范要求。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3.2.2</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3.2.2.2</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3.2.2</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4.3.5</w:t>
            </w:r>
            <w:bookmarkStart w:id="12" w:name="OLE_LINK10"/>
            <w:r>
              <w:rPr>
                <w:color w:val="000000"/>
                <w:kern w:val="0"/>
                <w:sz w:val="21"/>
                <w:szCs w:val="21"/>
              </w:rPr>
              <w:t>生物质能源利用设施建设和运营</w:t>
            </w:r>
            <w:bookmarkEnd w:id="12"/>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以农林废弃物、城市生活垃圾等生物质原料发电、供热，生产燃料乙醇等生物质液体燃料，以及以地沟油等餐厨废物为主要原料生产生物柴油等产品的设施建设和运营。</w:t>
            </w:r>
          </w:p>
        </w:tc>
        <w:tc>
          <w:tcPr>
            <w:tcW w:w="943" w:type="pct"/>
            <w:shd w:val="clear" w:color="auto" w:fill="auto"/>
            <w:vAlign w:val="center"/>
          </w:tcPr>
          <w:p>
            <w:pPr>
              <w:widowControl/>
              <w:spacing w:line="300" w:lineRule="exact"/>
              <w:ind w:firstLine="0" w:firstLineChars="0"/>
              <w:rPr>
                <w:color w:val="000000"/>
                <w:kern w:val="0"/>
                <w:sz w:val="21"/>
                <w:szCs w:val="21"/>
                <w:lang w:bidi="ar"/>
              </w:rPr>
            </w:pPr>
            <w:r>
              <w:rPr>
                <w:color w:val="000000"/>
                <w:kern w:val="0"/>
                <w:sz w:val="21"/>
                <w:szCs w:val="21"/>
                <w:lang w:bidi="ar"/>
              </w:rPr>
              <w:t>需符合《秸秆发电厂设计规范》（GB 50762）、《生物液体燃料工厂设计规范》（GB 50957）、《生物液体燃料建设项目生产准备和生产过程管理标准》（NB/T 13006）、《大中型沼气工程技术规范》（GB/T51063）、《生物质气化集中供气运行与管理规范标准》（NY/T2908）等国家、行业有关标准规范要求。燃煤耦合生物质发电技改项目参照《关于燃煤耦合生物质发电技改试点项目建设通知》（国能发电力〔2018〕53号）执行。</w:t>
            </w:r>
          </w:p>
          <w:p>
            <w:pPr>
              <w:widowControl/>
              <w:spacing w:line="300" w:lineRule="exact"/>
              <w:ind w:firstLine="0" w:firstLineChars="0"/>
              <w:rPr>
                <w:color w:val="000000"/>
                <w:kern w:val="0"/>
                <w:sz w:val="21"/>
                <w:szCs w:val="21"/>
                <w:lang w:bidi="ar"/>
              </w:rPr>
            </w:pP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3.2.3</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3.2.2.3</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3.2.3</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375" w:type="pct"/>
            <w:vMerge w:val="restart"/>
            <w:shd w:val="clear" w:color="auto" w:fill="auto"/>
            <w:vAlign w:val="center"/>
          </w:tcPr>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5 绿色基础设施</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5 绿色基础设施</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5 绿色基础设施</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5 绿色基础设施</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5 绿色基础设施</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5 绿色基础设施</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5 绿色基础设施</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5 绿色基础设施</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5 绿色基础设施</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5 绿色基础设施</w:t>
            </w:r>
          </w:p>
          <w:p>
            <w:pPr>
              <w:widowControl/>
              <w:spacing w:line="240" w:lineRule="auto"/>
              <w:ind w:firstLine="0" w:firstLineChars="0"/>
              <w:rPr>
                <w:color w:val="000000"/>
                <w:kern w:val="0"/>
                <w:sz w:val="21"/>
                <w:szCs w:val="21"/>
              </w:rPr>
            </w:pPr>
          </w:p>
        </w:tc>
        <w:tc>
          <w:tcPr>
            <w:tcW w:w="357" w:type="pct"/>
            <w:vMerge w:val="restart"/>
            <w:shd w:val="clear" w:color="auto" w:fill="auto"/>
            <w:vAlign w:val="center"/>
          </w:tcPr>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5.1环境基础设施</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5.1环境基础设施</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5.1.1污水处理、再生利用及污泥处理处置设施建设运营</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城镇和农村污水处理设施及再生利用设施建设运营和改造；以及污泥处置设施建设运营和改造，以及按照污染治理、生态保护、循环利用相结合的理念构建的区域再生水循环利用体系建设和运行，包括城镇污水处理厂达标排放出水的人工湿地等生态处理设施建设和运营，区域再生水循环利用体系的再生水调度管理系统的开放运维。</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设施建设、运行需符合《城镇污水处理厂污染物排放标准》（GB 18918）等标准要求。污泥处理处置需符合《农用污泥中污染物控制标准》（GB 4284）、《城镇污水处理厂污泥泥质》（GB/T 24188）、《城镇污水处理厂污泥处置混合填埋用泥质》（GB/T 23485）、《城镇污水处理厂污泥处置单独焚烧用泥质》（GB/T 24602）、《城镇污水处理厂污泥处置土地改良用泥质》（GB/T 24600）、《城镇污水处理厂污泥处理稳定标准》（CJ/T 510）等标准。</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5.3.1</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5.3.1.1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5.3.1</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5" w:type="pct"/>
            <w:vMerge w:val="continue"/>
            <w:shd w:val="clear" w:color="auto" w:fill="auto"/>
            <w:vAlign w:val="center"/>
          </w:tcPr>
          <w:p>
            <w:pPr>
              <w:widowControl/>
              <w:spacing w:line="240" w:lineRule="auto"/>
              <w:ind w:firstLine="0" w:firstLineChars="0"/>
              <w:rPr>
                <w:color w:val="000000"/>
                <w:kern w:val="0"/>
                <w:sz w:val="21"/>
                <w:szCs w:val="21"/>
              </w:rPr>
            </w:pPr>
          </w:p>
        </w:tc>
        <w:tc>
          <w:tcPr>
            <w:tcW w:w="357" w:type="pct"/>
            <w:vMerge w:val="continue"/>
            <w:shd w:val="clear" w:color="auto" w:fill="auto"/>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5.1.2生活垃圾处理设施建设和运营</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包括生活垃圾减量化、无害化处理处置和资源化利用设施建设和运营，如生活垃圾收集、转运、焚烧发电、供热等设施建设和运营。</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 xml:space="preserve">设施运行需符合《生活垃圾焚烧污染控制标准》（GB 18485）等标准。 </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5.3.2</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5.3.1.2</w:t>
            </w:r>
          </w:p>
        </w:tc>
        <w:tc>
          <w:tcPr>
            <w:tcW w:w="343" w:type="pct"/>
            <w:shd w:val="clear" w:color="auto" w:fill="auto"/>
            <w:vAlign w:val="center"/>
          </w:tcPr>
          <w:p>
            <w:pPr>
              <w:widowControl/>
              <w:spacing w:line="300" w:lineRule="exact"/>
              <w:ind w:firstLine="0" w:firstLineChars="0"/>
              <w:jc w:val="center"/>
              <w:rPr>
                <w:color w:val="000000"/>
                <w:kern w:val="0"/>
                <w:sz w:val="21"/>
                <w:szCs w:val="21"/>
              </w:rPr>
            </w:pPr>
            <w:bookmarkStart w:id="13" w:name="OLE_LINK2"/>
            <w:r>
              <w:rPr>
                <w:color w:val="000000"/>
                <w:kern w:val="0"/>
                <w:sz w:val="21"/>
                <w:szCs w:val="21"/>
              </w:rPr>
              <w:t>5.3.1</w:t>
            </w:r>
            <w:bookmarkEnd w:id="13"/>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rFonts w:hint="default" w:eastAsia="仿宋"/>
                <w:color w:val="000000"/>
                <w:kern w:val="0"/>
                <w:sz w:val="21"/>
                <w:szCs w:val="21"/>
                <w:lang w:val="en-US" w:eastAsia="zh-CN"/>
              </w:rPr>
            </w:pPr>
            <w:r>
              <w:rPr>
                <w:rFonts w:hint="eastAsia"/>
                <w:color w:val="000000"/>
                <w:kern w:val="0"/>
                <w:sz w:val="21"/>
                <w:szCs w:val="21"/>
                <w:lang w:val="en-US" w:eastAsia="zh-CN"/>
              </w:rPr>
              <w:t>5.1.3城镇污水收集系统排查改造建设修复</w:t>
            </w:r>
          </w:p>
        </w:tc>
        <w:tc>
          <w:tcPr>
            <w:tcW w:w="1061" w:type="pct"/>
            <w:shd w:val="clear" w:color="auto" w:fill="auto"/>
            <w:vAlign w:val="center"/>
          </w:tcPr>
          <w:p>
            <w:pPr>
              <w:widowControl/>
              <w:spacing w:line="300" w:lineRule="exact"/>
              <w:ind w:firstLine="0" w:firstLineChars="0"/>
              <w:rPr>
                <w:color w:val="000000"/>
                <w:kern w:val="0"/>
                <w:sz w:val="21"/>
                <w:szCs w:val="21"/>
              </w:rPr>
            </w:pPr>
            <w:r>
              <w:rPr>
                <w:rFonts w:hint="eastAsia"/>
                <w:color w:val="000000"/>
                <w:kern w:val="0"/>
                <w:sz w:val="21"/>
                <w:szCs w:val="21"/>
              </w:rPr>
              <w:t>包括城镇污水管网排查、疏浚、维修修复及改造，污（雨）水调蓄设施建设与改造，污水管网地理信息系统（GIS）建设和运营等。</w:t>
            </w:r>
          </w:p>
        </w:tc>
        <w:tc>
          <w:tcPr>
            <w:tcW w:w="943" w:type="pct"/>
            <w:shd w:val="clear" w:color="auto" w:fill="auto"/>
            <w:vAlign w:val="center"/>
          </w:tcPr>
          <w:p>
            <w:pPr>
              <w:widowControl/>
              <w:spacing w:line="300" w:lineRule="exact"/>
              <w:ind w:firstLine="0" w:firstLineChars="0"/>
              <w:jc w:val="center"/>
              <w:rPr>
                <w:rFonts w:hint="eastAsia"/>
                <w:color w:val="000000"/>
                <w:kern w:val="0"/>
                <w:sz w:val="21"/>
                <w:szCs w:val="21"/>
                <w:lang w:val="en-US" w:eastAsia="zh-CN"/>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5.3.4</w:t>
            </w:r>
          </w:p>
        </w:tc>
        <w:tc>
          <w:tcPr>
            <w:tcW w:w="350" w:type="pct"/>
            <w:shd w:val="clear" w:color="auto" w:fill="auto"/>
            <w:vAlign w:val="center"/>
          </w:tcPr>
          <w:p>
            <w:pPr>
              <w:widowControl/>
              <w:spacing w:line="300" w:lineRule="exact"/>
              <w:ind w:firstLine="0" w:firstLineChars="0"/>
              <w:rPr>
                <w:rFonts w:hint="default" w:eastAsia="仿宋"/>
                <w:color w:val="000000"/>
                <w:kern w:val="0"/>
                <w:sz w:val="21"/>
                <w:szCs w:val="21"/>
                <w:lang w:val="en-US" w:eastAsia="zh-CN"/>
              </w:rPr>
            </w:pPr>
            <w:r>
              <w:rPr>
                <w:rFonts w:hint="eastAsia"/>
                <w:color w:val="000000"/>
                <w:kern w:val="0"/>
                <w:sz w:val="21"/>
                <w:szCs w:val="21"/>
                <w:lang w:val="en-US" w:eastAsia="zh-CN"/>
              </w:rPr>
              <w:t>5.3.1.3</w:t>
            </w:r>
          </w:p>
        </w:tc>
        <w:tc>
          <w:tcPr>
            <w:tcW w:w="343" w:type="pct"/>
            <w:shd w:val="clear" w:color="auto" w:fill="auto"/>
            <w:vAlign w:val="center"/>
          </w:tcPr>
          <w:p>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5.3.1</w:t>
            </w:r>
          </w:p>
        </w:tc>
        <w:tc>
          <w:tcPr>
            <w:tcW w:w="411" w:type="pct"/>
            <w:shd w:val="clear" w:color="auto" w:fill="auto"/>
            <w:vAlign w:val="center"/>
          </w:tcPr>
          <w:p>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6.3.5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5.1.</w:t>
            </w:r>
            <w:r>
              <w:rPr>
                <w:rFonts w:hint="eastAsia"/>
                <w:color w:val="000000"/>
                <w:kern w:val="0"/>
                <w:sz w:val="21"/>
                <w:szCs w:val="21"/>
                <w:lang w:val="en-US" w:eastAsia="zh-CN"/>
              </w:rPr>
              <w:t>4</w:t>
            </w:r>
            <w:r>
              <w:rPr>
                <w:color w:val="000000"/>
                <w:kern w:val="0"/>
                <w:sz w:val="21"/>
                <w:szCs w:val="21"/>
                <w:lang w:bidi="ar"/>
              </w:rPr>
              <w:t>城镇供水管网分区计量漏损控制建设和运营</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城镇公共供水设施建设运营和改造，以及供水管网流量计量、水质监测、压力调控、数据采集与远传等供水管网漏损控制设备设施建设运营和改造。公共供水工程如水厂，供水管网，引水、调水设施等建设和运营。</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rFonts w:hint="eastAsia" w:eastAsia="仿宋"/>
                <w:color w:val="000000"/>
                <w:kern w:val="0"/>
                <w:sz w:val="21"/>
                <w:szCs w:val="21"/>
                <w:lang w:eastAsia="zh-CN"/>
              </w:rPr>
            </w:pPr>
            <w:r>
              <w:rPr>
                <w:color w:val="000000"/>
                <w:kern w:val="0"/>
                <w:sz w:val="21"/>
                <w:szCs w:val="21"/>
              </w:rPr>
              <w:t>5.3.</w:t>
            </w:r>
            <w:r>
              <w:rPr>
                <w:rFonts w:hint="eastAsia"/>
                <w:color w:val="000000"/>
                <w:kern w:val="0"/>
                <w:sz w:val="21"/>
                <w:szCs w:val="21"/>
                <w:lang w:val="en-US" w:eastAsia="zh-CN"/>
              </w:rPr>
              <w:t>5</w:t>
            </w:r>
          </w:p>
        </w:tc>
        <w:tc>
          <w:tcPr>
            <w:tcW w:w="350"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5.4.1.1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5.3.1</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1"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restart"/>
            <w:shd w:val="clear" w:color="auto" w:fill="auto"/>
            <w:vAlign w:val="center"/>
          </w:tcPr>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5.2 建筑节能与绿色建筑</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5.2 建筑节能与绿色建筑</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5.2 建筑节能与绿色建筑</w:t>
            </w:r>
          </w:p>
        </w:tc>
        <w:tc>
          <w:tcPr>
            <w:tcW w:w="534" w:type="pct"/>
            <w:shd w:val="clear" w:color="auto" w:fill="auto"/>
            <w:vAlign w:val="center"/>
          </w:tcPr>
          <w:p>
            <w:pPr>
              <w:widowControl/>
              <w:spacing w:line="300" w:lineRule="exact"/>
              <w:ind w:firstLine="0" w:firstLineChars="0"/>
              <w:rPr>
                <w:rFonts w:hint="default" w:eastAsia="仿宋"/>
                <w:color w:val="000000"/>
                <w:kern w:val="0"/>
                <w:sz w:val="21"/>
                <w:szCs w:val="21"/>
                <w:lang w:val="en-US" w:eastAsia="zh-CN"/>
              </w:rPr>
            </w:pPr>
            <w:r>
              <w:rPr>
                <w:color w:val="000000"/>
                <w:kern w:val="0"/>
                <w:sz w:val="21"/>
                <w:szCs w:val="21"/>
              </w:rPr>
              <w:t>5.2.1超低能耗建筑</w:t>
            </w:r>
            <w:r>
              <w:rPr>
                <w:rFonts w:hint="eastAsia"/>
                <w:color w:val="000000"/>
                <w:kern w:val="0"/>
                <w:sz w:val="21"/>
                <w:szCs w:val="21"/>
                <w:lang w:eastAsia="zh-CN"/>
              </w:rPr>
              <w:t>、</w:t>
            </w:r>
            <w:r>
              <w:rPr>
                <w:rFonts w:hint="eastAsia"/>
                <w:color w:val="000000"/>
                <w:kern w:val="0"/>
                <w:sz w:val="21"/>
                <w:szCs w:val="21"/>
                <w:lang w:val="en-US" w:eastAsia="zh-CN"/>
              </w:rPr>
              <w:t>近零能耗建筑和零碳建筑</w:t>
            </w:r>
            <w:r>
              <w:rPr>
                <w:color w:val="000000"/>
                <w:kern w:val="0"/>
                <w:sz w:val="21"/>
                <w:szCs w:val="21"/>
              </w:rPr>
              <w:t>建设</w:t>
            </w:r>
            <w:r>
              <w:rPr>
                <w:rFonts w:hint="eastAsia"/>
                <w:color w:val="000000"/>
                <w:kern w:val="0"/>
                <w:sz w:val="21"/>
                <w:szCs w:val="21"/>
                <w:lang w:val="en-US" w:eastAsia="zh-CN"/>
              </w:rPr>
              <w:t>和运营</w:t>
            </w:r>
          </w:p>
        </w:tc>
        <w:tc>
          <w:tcPr>
            <w:tcW w:w="1061" w:type="pct"/>
            <w:shd w:val="clear" w:color="auto" w:fill="auto"/>
            <w:vAlign w:val="center"/>
          </w:tcPr>
          <w:p>
            <w:pPr>
              <w:widowControl/>
              <w:spacing w:line="300" w:lineRule="exact"/>
              <w:ind w:firstLine="0" w:firstLineChars="0"/>
              <w:rPr>
                <w:color w:val="000000"/>
                <w:kern w:val="0"/>
                <w:sz w:val="21"/>
                <w:szCs w:val="21"/>
              </w:rPr>
            </w:pPr>
            <w:r>
              <w:rPr>
                <w:rFonts w:hint="eastAsia"/>
                <w:color w:val="000000"/>
                <w:kern w:val="0"/>
                <w:sz w:val="21"/>
                <w:szCs w:val="21"/>
                <w:lang w:val="en-US" w:eastAsia="zh-CN"/>
              </w:rPr>
              <w:t>按照超低能耗建筑、近零能耗建筑和零碳建筑设计和建造，</w:t>
            </w:r>
            <w:r>
              <w:rPr>
                <w:color w:val="000000"/>
                <w:kern w:val="0"/>
                <w:sz w:val="21"/>
                <w:szCs w:val="21"/>
              </w:rPr>
              <w:t>以及购置消费。</w:t>
            </w:r>
          </w:p>
        </w:tc>
        <w:tc>
          <w:tcPr>
            <w:tcW w:w="943" w:type="pct"/>
            <w:shd w:val="clear" w:color="auto" w:fill="auto"/>
            <w:vAlign w:val="center"/>
          </w:tcPr>
          <w:p>
            <w:pPr>
              <w:widowControl/>
              <w:spacing w:line="300" w:lineRule="exact"/>
              <w:ind w:firstLine="0" w:firstLineChars="0"/>
              <w:rPr>
                <w:color w:val="000000"/>
                <w:kern w:val="0"/>
                <w:sz w:val="21"/>
                <w:szCs w:val="21"/>
              </w:rPr>
            </w:pPr>
            <w:r>
              <w:rPr>
                <w:rFonts w:hint="eastAsia"/>
                <w:color w:val="000000"/>
                <w:kern w:val="0"/>
                <w:sz w:val="21"/>
                <w:szCs w:val="21"/>
                <w:lang w:val="en-US" w:eastAsia="zh-CN"/>
              </w:rPr>
              <w:t>满足现行国家标准或地方标准《近零能耗建筑技术标准》《超低能耗建筑技术规程》《零碳建筑技术标准》等标准要求。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5.1.1</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5.2.1.1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5.1.1/9.1.1/9.1.2</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vMerge w:val="restart"/>
            <w:shd w:val="clear" w:color="auto" w:fill="auto"/>
            <w:vAlign w:val="center"/>
          </w:tcPr>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r>
              <w:rPr>
                <w:color w:val="000000"/>
                <w:kern w:val="0"/>
                <w:sz w:val="21"/>
                <w:szCs w:val="21"/>
              </w:rPr>
              <w:t>5.2.2绿色建筑</w:t>
            </w: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tc>
        <w:tc>
          <w:tcPr>
            <w:tcW w:w="1061" w:type="pct"/>
            <w:vMerge w:val="restar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包括依据国家绿色建筑相关规范、标准设计建设，并获得国家相关绿色建筑评价标识的各类民用、工业建筑建设和购置消费。</w:t>
            </w:r>
          </w:p>
        </w:tc>
        <w:tc>
          <w:tcPr>
            <w:tcW w:w="943" w:type="pct"/>
            <w:shd w:val="clear" w:color="auto" w:fill="auto"/>
            <w:vAlign w:val="center"/>
          </w:tcPr>
          <w:p>
            <w:pPr>
              <w:widowControl/>
              <w:spacing w:line="300" w:lineRule="exact"/>
              <w:ind w:firstLine="0" w:firstLineChars="0"/>
              <w:rPr>
                <w:rFonts w:hint="default" w:eastAsia="仿宋"/>
                <w:color w:val="000000"/>
                <w:kern w:val="0"/>
                <w:sz w:val="21"/>
                <w:szCs w:val="21"/>
                <w:lang w:val="en-US" w:eastAsia="zh-CN"/>
              </w:rPr>
            </w:pPr>
            <w:r>
              <w:rPr>
                <w:color w:val="000000"/>
                <w:kern w:val="0"/>
                <w:sz w:val="21"/>
                <w:szCs w:val="21"/>
              </w:rPr>
              <w:t>对于已竣工验收后的绿色建筑：建筑相关技术指标符合</w:t>
            </w:r>
            <w:r>
              <w:rPr>
                <w:color w:val="000000"/>
                <w:kern w:val="0"/>
                <w:sz w:val="21"/>
                <w:szCs w:val="21"/>
                <w:lang w:bidi="ar"/>
              </w:rPr>
              <w:t>《绿色建筑标识管理办法》</w:t>
            </w:r>
            <w:r>
              <w:rPr>
                <w:color w:val="000000"/>
                <w:kern w:val="0"/>
                <w:sz w:val="21"/>
                <w:szCs w:val="21"/>
              </w:rPr>
              <w:t>《绿色建筑评价标准》（GB/T 50378）、《绿色工业建筑评价标准》（GB/T 50878）、《绿色办公建筑评价标准》（GB/T 50903）等技术标准，</w:t>
            </w:r>
            <w:r>
              <w:rPr>
                <w:rFonts w:hint="eastAsia"/>
                <w:color w:val="000000"/>
                <w:kern w:val="0"/>
                <w:sz w:val="21"/>
                <w:szCs w:val="21"/>
                <w:lang w:val="en-US" w:eastAsia="zh-CN"/>
              </w:rPr>
              <w:t>并获得绿色建筑评价标识为三星级绿色建筑。</w:t>
            </w:r>
          </w:p>
          <w:p>
            <w:pPr>
              <w:widowControl/>
              <w:spacing w:line="300" w:lineRule="exact"/>
              <w:ind w:firstLine="0" w:firstLineChars="0"/>
              <w:rPr>
                <w:color w:val="000000"/>
                <w:kern w:val="0"/>
                <w:sz w:val="21"/>
                <w:szCs w:val="21"/>
              </w:rPr>
            </w:pPr>
            <w:bookmarkStart w:id="14" w:name="OLE_LINK5"/>
            <w:r>
              <w:rPr>
                <w:color w:val="000000"/>
                <w:kern w:val="0"/>
                <w:sz w:val="21"/>
                <w:szCs w:val="21"/>
              </w:rPr>
              <w:t>对于项目设计和建设期的绿色建筑：</w:t>
            </w:r>
            <w:bookmarkEnd w:id="14"/>
            <w:r>
              <w:rPr>
                <w:rFonts w:hint="eastAsia"/>
                <w:color w:val="000000"/>
                <w:kern w:val="0"/>
                <w:sz w:val="21"/>
                <w:szCs w:val="21"/>
                <w:lang w:val="en-US" w:eastAsia="zh-CN"/>
              </w:rPr>
              <w:t>绿色建筑项目完成施工图后，开展绿色建筑预评价，绿色建筑预评价标识为</w:t>
            </w:r>
            <w:r>
              <w:rPr>
                <w:color w:val="000000"/>
                <w:kern w:val="0"/>
                <w:sz w:val="21"/>
                <w:szCs w:val="21"/>
                <w:lang w:bidi="ar"/>
              </w:rPr>
              <w:t>一星级</w:t>
            </w:r>
            <w:r>
              <w:rPr>
                <w:rFonts w:hint="eastAsia"/>
                <w:color w:val="000000"/>
                <w:kern w:val="0"/>
                <w:sz w:val="21"/>
                <w:szCs w:val="21"/>
                <w:lang w:val="en-US" w:eastAsia="zh-CN" w:bidi="ar"/>
              </w:rPr>
              <w:t>绿色建筑</w:t>
            </w:r>
            <w:r>
              <w:rPr>
                <w:color w:val="000000"/>
                <w:kern w:val="0"/>
                <w:sz w:val="21"/>
                <w:szCs w:val="21"/>
                <w:lang w:bidi="ar"/>
              </w:rPr>
              <w:t>。</w:t>
            </w:r>
          </w:p>
        </w:tc>
        <w:tc>
          <w:tcPr>
            <w:tcW w:w="227" w:type="pct"/>
            <w:shd w:val="clear" w:color="auto" w:fill="auto"/>
            <w:vAlign w:val="center"/>
          </w:tcPr>
          <w:p>
            <w:pPr>
              <w:widowControl/>
              <w:spacing w:line="300" w:lineRule="exact"/>
              <w:ind w:firstLine="0" w:firstLineChars="0"/>
              <w:jc w:val="center"/>
              <w:rPr>
                <w:rFonts w:hint="eastAsia" w:eastAsia="仿宋"/>
                <w:color w:val="000000"/>
                <w:kern w:val="0"/>
                <w:sz w:val="21"/>
                <w:szCs w:val="21"/>
                <w:lang w:eastAsia="zh-CN"/>
              </w:rPr>
            </w:pPr>
            <w:r>
              <w:rPr>
                <w:color w:val="000000"/>
                <w:kern w:val="0"/>
                <w:sz w:val="21"/>
                <w:szCs w:val="21"/>
              </w:rPr>
              <w:t>G</w:t>
            </w:r>
            <w:r>
              <w:rPr>
                <w:rFonts w:hint="eastAsia"/>
                <w:color w:val="000000"/>
                <w:kern w:val="0"/>
                <w:sz w:val="21"/>
                <w:szCs w:val="21"/>
                <w:lang w:val="en-US" w:eastAsia="zh-CN"/>
              </w:rPr>
              <w:t>3</w:t>
            </w:r>
          </w:p>
        </w:tc>
        <w:tc>
          <w:tcPr>
            <w:tcW w:w="394" w:type="pct"/>
            <w:vMerge w:val="restart"/>
            <w:shd w:val="clear" w:color="auto" w:fill="auto"/>
            <w:vAlign w:val="center"/>
          </w:tcPr>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both"/>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r>
              <w:rPr>
                <w:color w:val="000000"/>
                <w:kern w:val="0"/>
                <w:sz w:val="21"/>
                <w:szCs w:val="21"/>
              </w:rPr>
              <w:t>5.1.2</w:t>
            </w:r>
          </w:p>
        </w:tc>
        <w:tc>
          <w:tcPr>
            <w:tcW w:w="350" w:type="pct"/>
            <w:vMerge w:val="restart"/>
            <w:shd w:val="clear" w:color="auto" w:fill="auto"/>
            <w:vAlign w:val="center"/>
          </w:tcPr>
          <w:p>
            <w:pPr>
              <w:widowControl/>
              <w:spacing w:line="300" w:lineRule="exact"/>
              <w:ind w:firstLine="0" w:firstLineChars="0"/>
              <w:jc w:val="center"/>
              <w:rPr>
                <w:color w:val="000000"/>
                <w:kern w:val="0"/>
                <w:sz w:val="21"/>
                <w:szCs w:val="21"/>
              </w:rPr>
            </w:pPr>
          </w:p>
          <w:p>
            <w:pPr>
              <w:widowControl/>
              <w:spacing w:line="300" w:lineRule="exact"/>
              <w:ind w:firstLine="0" w:firstLineChars="0"/>
              <w:jc w:val="both"/>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r>
              <w:rPr>
                <w:color w:val="000000"/>
                <w:kern w:val="0"/>
                <w:sz w:val="21"/>
                <w:szCs w:val="21"/>
              </w:rPr>
              <w:t>5.2.1.2</w:t>
            </w:r>
          </w:p>
        </w:tc>
        <w:tc>
          <w:tcPr>
            <w:tcW w:w="343" w:type="pct"/>
            <w:vMerge w:val="restart"/>
            <w:shd w:val="clear" w:color="auto" w:fill="auto"/>
            <w:vAlign w:val="center"/>
          </w:tcPr>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both"/>
              <w:rPr>
                <w:color w:val="000000"/>
                <w:kern w:val="0"/>
                <w:sz w:val="21"/>
                <w:szCs w:val="21"/>
              </w:rPr>
            </w:pPr>
          </w:p>
          <w:p>
            <w:pPr>
              <w:widowControl/>
              <w:spacing w:line="300" w:lineRule="exact"/>
              <w:ind w:firstLine="0" w:firstLineChars="0"/>
              <w:jc w:val="both"/>
              <w:rPr>
                <w:color w:val="000000"/>
                <w:kern w:val="0"/>
                <w:sz w:val="21"/>
                <w:szCs w:val="21"/>
              </w:rPr>
            </w:pPr>
          </w:p>
          <w:p>
            <w:pPr>
              <w:widowControl/>
              <w:spacing w:line="300" w:lineRule="exact"/>
              <w:ind w:firstLine="0" w:firstLineChars="0"/>
              <w:jc w:val="both"/>
              <w:rPr>
                <w:color w:val="000000"/>
                <w:kern w:val="0"/>
                <w:sz w:val="21"/>
                <w:szCs w:val="21"/>
              </w:rPr>
            </w:pPr>
          </w:p>
          <w:p>
            <w:pPr>
              <w:widowControl/>
              <w:spacing w:line="300" w:lineRule="exact"/>
              <w:ind w:firstLine="0" w:firstLineChars="0"/>
              <w:jc w:val="both"/>
              <w:rPr>
                <w:color w:val="000000"/>
                <w:kern w:val="0"/>
                <w:sz w:val="21"/>
                <w:szCs w:val="21"/>
              </w:rPr>
            </w:pPr>
            <w:r>
              <w:rPr>
                <w:color w:val="000000"/>
                <w:kern w:val="0"/>
                <w:sz w:val="21"/>
                <w:szCs w:val="21"/>
              </w:rPr>
              <w:t>5.1.2/9.1.1/9.1.2</w:t>
            </w:r>
          </w:p>
        </w:tc>
        <w:tc>
          <w:tcPr>
            <w:tcW w:w="411" w:type="pct"/>
            <w:vMerge w:val="restart"/>
            <w:shd w:val="clear" w:color="auto" w:fill="auto"/>
            <w:vAlign w:val="center"/>
          </w:tcPr>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both"/>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0" w:firstLineChars="0"/>
              <w:jc w:val="center"/>
              <w:rPr>
                <w:color w:val="000000"/>
                <w:kern w:val="0"/>
                <w:sz w:val="21"/>
                <w:szCs w:val="21"/>
              </w:rPr>
            </w:pPr>
          </w:p>
          <w:p>
            <w:pPr>
              <w:widowControl/>
              <w:spacing w:line="300" w:lineRule="exact"/>
              <w:ind w:firstLine="210" w:firstLineChars="100"/>
              <w:jc w:val="both"/>
              <w:rPr>
                <w:color w:val="000000"/>
                <w:kern w:val="0"/>
                <w:sz w:val="21"/>
                <w:szCs w:val="21"/>
              </w:rPr>
            </w:pPr>
            <w:r>
              <w:rPr>
                <w:color w:val="000000"/>
                <w:kern w:val="0"/>
                <w:sz w:val="21"/>
                <w:szCs w:val="21"/>
              </w:rPr>
              <w:t>6.1.1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75" w:type="pct"/>
            <w:vMerge w:val="continue"/>
            <w:vAlign w:val="center"/>
          </w:tcPr>
          <w:p>
            <w:pPr>
              <w:widowControl/>
              <w:spacing w:line="300" w:lineRule="exact"/>
              <w:ind w:firstLine="0" w:firstLineChars="0"/>
            </w:pPr>
          </w:p>
        </w:tc>
        <w:tc>
          <w:tcPr>
            <w:tcW w:w="357" w:type="pct"/>
            <w:vMerge w:val="continue"/>
            <w:vAlign w:val="center"/>
          </w:tcPr>
          <w:p>
            <w:pPr>
              <w:widowControl/>
              <w:spacing w:line="300" w:lineRule="exact"/>
              <w:ind w:firstLine="0" w:firstLineChars="0"/>
            </w:pPr>
          </w:p>
        </w:tc>
        <w:tc>
          <w:tcPr>
            <w:tcW w:w="534" w:type="pct"/>
            <w:vMerge w:val="continue"/>
            <w:shd w:val="clear" w:color="auto" w:fill="auto"/>
            <w:vAlign w:val="center"/>
          </w:tcPr>
          <w:p>
            <w:pPr>
              <w:widowControl/>
              <w:spacing w:line="300" w:lineRule="exact"/>
              <w:ind w:firstLine="0" w:firstLineChars="0"/>
            </w:pPr>
          </w:p>
        </w:tc>
        <w:tc>
          <w:tcPr>
            <w:tcW w:w="1061" w:type="pct"/>
            <w:vMerge w:val="continue"/>
            <w:shd w:val="clear" w:color="auto" w:fill="auto"/>
            <w:vAlign w:val="center"/>
          </w:tcPr>
          <w:p>
            <w:pPr>
              <w:widowControl/>
              <w:spacing w:line="300" w:lineRule="exact"/>
              <w:ind w:firstLine="0" w:firstLineChars="0"/>
            </w:pPr>
          </w:p>
        </w:tc>
        <w:tc>
          <w:tcPr>
            <w:tcW w:w="943" w:type="pct"/>
            <w:shd w:val="clear" w:color="auto" w:fill="auto"/>
            <w:vAlign w:val="center"/>
          </w:tcPr>
          <w:p>
            <w:pPr>
              <w:widowControl/>
              <w:spacing w:line="300" w:lineRule="exact"/>
              <w:ind w:firstLine="0" w:firstLineChars="0"/>
              <w:rPr>
                <w:rFonts w:hint="default" w:eastAsia="仿宋"/>
                <w:color w:val="000000"/>
                <w:kern w:val="0"/>
                <w:sz w:val="21"/>
                <w:szCs w:val="21"/>
                <w:lang w:val="en-US" w:eastAsia="zh-CN"/>
              </w:rPr>
            </w:pPr>
            <w:r>
              <w:rPr>
                <w:rFonts w:hint="eastAsia"/>
                <w:color w:val="000000"/>
                <w:kern w:val="0"/>
                <w:sz w:val="21"/>
                <w:szCs w:val="21"/>
                <w:lang w:val="en-US" w:eastAsia="zh-CN"/>
              </w:rPr>
              <w:t>除了满足上述国家或地方标准外，已获得绿色建筑或预评价标识为二星级绿色建筑。</w:t>
            </w:r>
          </w:p>
        </w:tc>
        <w:tc>
          <w:tcPr>
            <w:tcW w:w="227"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G</w:t>
            </w:r>
            <w:r>
              <w:rPr>
                <w:rFonts w:hint="eastAsia"/>
                <w:color w:val="000000"/>
                <w:kern w:val="0"/>
                <w:sz w:val="21"/>
                <w:szCs w:val="21"/>
                <w:lang w:val="en-US" w:eastAsia="zh-CN"/>
              </w:rPr>
              <w:t>2</w:t>
            </w:r>
          </w:p>
        </w:tc>
        <w:tc>
          <w:tcPr>
            <w:tcW w:w="394" w:type="pct"/>
            <w:vMerge w:val="continue"/>
            <w:shd w:val="clear" w:color="auto" w:fill="auto"/>
            <w:vAlign w:val="center"/>
          </w:tcPr>
          <w:p>
            <w:pPr>
              <w:widowControl/>
              <w:spacing w:line="300" w:lineRule="exact"/>
              <w:ind w:firstLine="0" w:firstLineChars="0"/>
              <w:rPr>
                <w:color w:val="000000"/>
                <w:kern w:val="0"/>
                <w:sz w:val="21"/>
                <w:szCs w:val="21"/>
              </w:rPr>
            </w:pPr>
          </w:p>
        </w:tc>
        <w:tc>
          <w:tcPr>
            <w:tcW w:w="350" w:type="pct"/>
            <w:vMerge w:val="continue"/>
            <w:shd w:val="clear" w:color="auto" w:fill="auto"/>
            <w:vAlign w:val="center"/>
          </w:tcPr>
          <w:p>
            <w:pPr>
              <w:widowControl/>
              <w:spacing w:line="300" w:lineRule="exact"/>
              <w:ind w:firstLine="0" w:firstLineChars="0"/>
              <w:rPr>
                <w:color w:val="000000"/>
                <w:kern w:val="0"/>
                <w:sz w:val="21"/>
                <w:szCs w:val="21"/>
              </w:rPr>
            </w:pPr>
          </w:p>
        </w:tc>
        <w:tc>
          <w:tcPr>
            <w:tcW w:w="343" w:type="pct"/>
            <w:vMerge w:val="continue"/>
            <w:shd w:val="clear" w:color="auto" w:fill="auto"/>
            <w:vAlign w:val="center"/>
          </w:tcPr>
          <w:p>
            <w:pPr>
              <w:widowControl/>
              <w:spacing w:line="300" w:lineRule="exact"/>
              <w:ind w:firstLine="0" w:firstLineChars="0"/>
              <w:rPr>
                <w:color w:val="000000"/>
                <w:kern w:val="0"/>
                <w:sz w:val="21"/>
                <w:szCs w:val="21"/>
              </w:rPr>
            </w:pPr>
          </w:p>
        </w:tc>
        <w:tc>
          <w:tcPr>
            <w:tcW w:w="411" w:type="pct"/>
            <w:vMerge w:val="continue"/>
            <w:shd w:val="clear" w:color="auto" w:fill="auto"/>
            <w:vAlign w:val="center"/>
          </w:tcPr>
          <w:p>
            <w:pPr>
              <w:widowControl/>
              <w:spacing w:line="300" w:lineRule="exact"/>
              <w:ind w:firstLine="0" w:firstLineChars="0"/>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75" w:type="pct"/>
            <w:vMerge w:val="continue"/>
            <w:vAlign w:val="center"/>
          </w:tcPr>
          <w:p>
            <w:pPr>
              <w:widowControl/>
              <w:spacing w:line="300" w:lineRule="exact"/>
              <w:ind w:firstLine="0" w:firstLineChars="0"/>
              <w:rPr>
                <w:color w:val="000000"/>
                <w:kern w:val="0"/>
                <w:sz w:val="21"/>
                <w:szCs w:val="21"/>
              </w:rPr>
            </w:pPr>
          </w:p>
        </w:tc>
        <w:tc>
          <w:tcPr>
            <w:tcW w:w="357" w:type="pct"/>
            <w:vMerge w:val="continue"/>
            <w:vAlign w:val="center"/>
          </w:tcPr>
          <w:p>
            <w:pPr>
              <w:widowControl/>
              <w:spacing w:line="300" w:lineRule="exact"/>
              <w:ind w:firstLine="0" w:firstLineChars="0"/>
              <w:rPr>
                <w:color w:val="000000"/>
                <w:kern w:val="0"/>
                <w:sz w:val="21"/>
                <w:szCs w:val="21"/>
              </w:rPr>
            </w:pPr>
          </w:p>
        </w:tc>
        <w:tc>
          <w:tcPr>
            <w:tcW w:w="534" w:type="pct"/>
            <w:vMerge w:val="continue"/>
            <w:shd w:val="clear" w:color="auto" w:fill="auto"/>
            <w:vAlign w:val="center"/>
          </w:tcPr>
          <w:p>
            <w:pPr>
              <w:widowControl/>
              <w:spacing w:line="300" w:lineRule="exact"/>
              <w:ind w:firstLine="0" w:firstLineChars="0"/>
              <w:rPr>
                <w:color w:val="000000"/>
                <w:kern w:val="0"/>
                <w:sz w:val="21"/>
                <w:szCs w:val="21"/>
              </w:rPr>
            </w:pPr>
          </w:p>
        </w:tc>
        <w:tc>
          <w:tcPr>
            <w:tcW w:w="1061" w:type="pct"/>
            <w:vMerge w:val="continue"/>
            <w:shd w:val="clear" w:color="auto" w:fill="auto"/>
            <w:vAlign w:val="center"/>
          </w:tcPr>
          <w:p>
            <w:pPr>
              <w:widowControl/>
              <w:spacing w:line="300" w:lineRule="exact"/>
              <w:ind w:firstLine="0" w:firstLineChars="0"/>
              <w:rPr>
                <w:color w:val="000000"/>
                <w:kern w:val="0"/>
                <w:sz w:val="21"/>
                <w:szCs w:val="21"/>
              </w:rPr>
            </w:pPr>
          </w:p>
        </w:tc>
        <w:tc>
          <w:tcPr>
            <w:tcW w:w="943" w:type="pct"/>
            <w:shd w:val="clear" w:color="auto" w:fill="auto"/>
            <w:vAlign w:val="center"/>
          </w:tcPr>
          <w:p>
            <w:pPr>
              <w:widowControl/>
              <w:spacing w:line="300" w:lineRule="exact"/>
              <w:ind w:firstLine="0" w:firstLineChars="0"/>
              <w:rPr>
                <w:color w:val="000000"/>
                <w:kern w:val="0"/>
                <w:sz w:val="21"/>
                <w:szCs w:val="21"/>
              </w:rPr>
            </w:pPr>
            <w:r>
              <w:rPr>
                <w:rFonts w:hint="eastAsia"/>
                <w:color w:val="000000"/>
                <w:kern w:val="0"/>
                <w:sz w:val="21"/>
                <w:szCs w:val="21"/>
                <w:lang w:val="en-US" w:eastAsia="zh-CN"/>
              </w:rPr>
              <w:t>除了满足上述国家或地方标准外，已获得绿色建筑或预评价标识为三星级绿色建筑。</w:t>
            </w:r>
          </w:p>
        </w:tc>
        <w:tc>
          <w:tcPr>
            <w:tcW w:w="227"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G</w:t>
            </w:r>
            <w:r>
              <w:rPr>
                <w:rFonts w:hint="eastAsia"/>
                <w:color w:val="000000"/>
                <w:kern w:val="0"/>
                <w:sz w:val="21"/>
                <w:szCs w:val="21"/>
                <w:lang w:val="en-US" w:eastAsia="zh-CN"/>
              </w:rPr>
              <w:t>1</w:t>
            </w:r>
          </w:p>
        </w:tc>
        <w:tc>
          <w:tcPr>
            <w:tcW w:w="394" w:type="pct"/>
            <w:vMerge w:val="continue"/>
            <w:shd w:val="clear" w:color="auto" w:fill="auto"/>
            <w:vAlign w:val="center"/>
          </w:tcPr>
          <w:p>
            <w:pPr>
              <w:widowControl/>
              <w:spacing w:line="300" w:lineRule="exact"/>
              <w:ind w:firstLine="0" w:firstLineChars="0"/>
              <w:rPr>
                <w:color w:val="000000"/>
                <w:kern w:val="0"/>
                <w:sz w:val="21"/>
                <w:szCs w:val="21"/>
              </w:rPr>
            </w:pPr>
          </w:p>
        </w:tc>
        <w:tc>
          <w:tcPr>
            <w:tcW w:w="350" w:type="pct"/>
            <w:vMerge w:val="continue"/>
            <w:shd w:val="clear" w:color="auto" w:fill="auto"/>
            <w:vAlign w:val="center"/>
          </w:tcPr>
          <w:p>
            <w:pPr>
              <w:widowControl/>
              <w:spacing w:line="300" w:lineRule="exact"/>
              <w:ind w:firstLine="0" w:firstLineChars="0"/>
              <w:rPr>
                <w:color w:val="000000"/>
                <w:kern w:val="0"/>
                <w:sz w:val="21"/>
                <w:szCs w:val="21"/>
              </w:rPr>
            </w:pPr>
          </w:p>
        </w:tc>
        <w:tc>
          <w:tcPr>
            <w:tcW w:w="343" w:type="pct"/>
            <w:vMerge w:val="continue"/>
            <w:shd w:val="clear" w:color="auto" w:fill="auto"/>
            <w:vAlign w:val="center"/>
          </w:tcPr>
          <w:p>
            <w:pPr>
              <w:widowControl/>
              <w:spacing w:line="300" w:lineRule="exact"/>
              <w:ind w:firstLine="0" w:firstLineChars="0"/>
              <w:rPr>
                <w:color w:val="000000"/>
                <w:kern w:val="0"/>
                <w:sz w:val="21"/>
                <w:szCs w:val="21"/>
              </w:rPr>
            </w:pPr>
          </w:p>
        </w:tc>
        <w:tc>
          <w:tcPr>
            <w:tcW w:w="411" w:type="pct"/>
            <w:vMerge w:val="continue"/>
            <w:shd w:val="clear" w:color="auto" w:fill="auto"/>
            <w:vAlign w:val="center"/>
          </w:tcPr>
          <w:p>
            <w:pPr>
              <w:widowControl/>
              <w:spacing w:line="300" w:lineRule="exact"/>
              <w:ind w:firstLine="0" w:firstLineChars="0"/>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5.2.3建筑可再生能源应用</w:t>
            </w:r>
          </w:p>
        </w:tc>
        <w:tc>
          <w:tcPr>
            <w:tcW w:w="1061" w:type="pct"/>
            <w:shd w:val="clear" w:color="auto" w:fill="auto"/>
            <w:vAlign w:val="center"/>
          </w:tcPr>
          <w:p>
            <w:pPr>
              <w:widowControl/>
              <w:spacing w:line="300" w:lineRule="exact"/>
              <w:ind w:firstLine="0" w:firstLineChars="0"/>
              <w:rPr>
                <w:rFonts w:hint="default" w:eastAsia="仿宋"/>
                <w:color w:val="000000"/>
                <w:kern w:val="0"/>
                <w:sz w:val="21"/>
                <w:szCs w:val="21"/>
                <w:lang w:val="en-US" w:eastAsia="zh-CN"/>
              </w:rPr>
            </w:pPr>
            <w:r>
              <w:rPr>
                <w:color w:val="000000"/>
                <w:kern w:val="0"/>
                <w:sz w:val="21"/>
                <w:szCs w:val="21"/>
              </w:rPr>
              <w:t>包括利用建筑屋顶、墙面安装太阳能光伏发电装置向建筑提供电力，</w:t>
            </w:r>
            <w:r>
              <w:rPr>
                <w:rFonts w:hint="eastAsia"/>
                <w:color w:val="000000"/>
                <w:kern w:val="0"/>
                <w:sz w:val="21"/>
                <w:szCs w:val="21"/>
                <w:lang w:eastAsia="zh-CN"/>
              </w:rPr>
              <w:t>“</w:t>
            </w:r>
            <w:r>
              <w:rPr>
                <w:rFonts w:hint="eastAsia"/>
                <w:color w:val="000000"/>
                <w:kern w:val="0"/>
                <w:sz w:val="21"/>
                <w:szCs w:val="21"/>
                <w:lang w:val="en-US" w:eastAsia="zh-CN"/>
              </w:rPr>
              <w:t>光储直柔</w:t>
            </w:r>
            <w:r>
              <w:rPr>
                <w:rFonts w:hint="eastAsia"/>
                <w:color w:val="000000"/>
                <w:kern w:val="0"/>
                <w:sz w:val="21"/>
                <w:szCs w:val="21"/>
                <w:lang w:eastAsia="zh-CN"/>
              </w:rPr>
              <w:t>”</w:t>
            </w:r>
            <w:r>
              <w:rPr>
                <w:rFonts w:hint="eastAsia"/>
                <w:color w:val="000000"/>
                <w:kern w:val="0"/>
                <w:sz w:val="21"/>
                <w:szCs w:val="21"/>
                <w:lang w:val="en-US" w:eastAsia="zh-CN"/>
              </w:rPr>
              <w:t>系统、地热能、空气能</w:t>
            </w:r>
            <w:r>
              <w:rPr>
                <w:color w:val="000000"/>
                <w:kern w:val="0"/>
                <w:sz w:val="21"/>
                <w:szCs w:val="21"/>
              </w:rPr>
              <w:t>及利用热泵等设施向建筑供冷、供热的建筑可再生能源应用系统的设计、建设及可再生能源建筑应用改造活动。</w:t>
            </w:r>
            <w:r>
              <w:rPr>
                <w:rFonts w:hint="eastAsia"/>
                <w:color w:val="000000"/>
                <w:kern w:val="0"/>
                <w:sz w:val="21"/>
                <w:szCs w:val="21"/>
              </w:rPr>
              <w:t>需采用两种及以上可再生能源应用系统。</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需符合</w:t>
            </w:r>
            <w:r>
              <w:rPr>
                <w:rFonts w:hint="eastAsia"/>
                <w:color w:val="000000"/>
                <w:kern w:val="0"/>
                <w:sz w:val="21"/>
                <w:szCs w:val="21"/>
                <w:lang w:eastAsia="zh-CN"/>
              </w:rPr>
              <w:t>《</w:t>
            </w:r>
            <w:r>
              <w:rPr>
                <w:rFonts w:hint="eastAsia"/>
                <w:color w:val="000000"/>
                <w:kern w:val="0"/>
                <w:sz w:val="21"/>
                <w:szCs w:val="21"/>
                <w:lang w:val="en-US" w:eastAsia="zh-CN"/>
              </w:rPr>
              <w:t>建筑节能与可再生能源利用通用规范</w:t>
            </w:r>
            <w:r>
              <w:rPr>
                <w:rFonts w:hint="eastAsia"/>
                <w:color w:val="000000"/>
                <w:kern w:val="0"/>
                <w:sz w:val="21"/>
                <w:szCs w:val="21"/>
                <w:lang w:eastAsia="zh-CN"/>
              </w:rPr>
              <w:t>》、</w:t>
            </w:r>
            <w:r>
              <w:rPr>
                <w:color w:val="000000"/>
                <w:kern w:val="0"/>
                <w:sz w:val="21"/>
                <w:szCs w:val="21"/>
              </w:rPr>
              <w:t>《民用建筑太阳能热水系统应用技术标准》（GB 50364）、《民用建筑太阳能光伏系统应用技术规范》（JGJ 203）、《地源热泵系统工程技术规范》（GB 50366）、《可再生能源建筑应用工程评价标准》（GB/T 50801）等标准。</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5.1.3</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5.2.1.3</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5.1.1/9.1.1/9.1.2</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rFonts w:hint="default" w:eastAsia="仿宋"/>
                <w:color w:val="000000"/>
                <w:kern w:val="0"/>
                <w:sz w:val="21"/>
                <w:szCs w:val="21"/>
                <w:lang w:val="en-US" w:eastAsia="zh-CN"/>
              </w:rPr>
            </w:pPr>
            <w:r>
              <w:rPr>
                <w:rFonts w:hint="eastAsia"/>
                <w:color w:val="000000"/>
                <w:kern w:val="0"/>
                <w:sz w:val="21"/>
                <w:szCs w:val="21"/>
                <w:lang w:val="en-US" w:eastAsia="zh-CN"/>
              </w:rPr>
              <w:t>5.2.4既有建筑节能及绿色化改造</w:t>
            </w:r>
          </w:p>
        </w:tc>
        <w:tc>
          <w:tcPr>
            <w:tcW w:w="1061" w:type="pct"/>
            <w:shd w:val="clear" w:color="auto" w:fill="auto"/>
            <w:vAlign w:val="center"/>
          </w:tcPr>
          <w:p>
            <w:pPr>
              <w:keepNext w:val="0"/>
              <w:keepLines w:val="0"/>
              <w:widowControl/>
              <w:suppressLineNumbers w:val="0"/>
              <w:spacing w:line="300" w:lineRule="exact"/>
              <w:ind w:firstLine="0" w:firstLineChars="0"/>
              <w:jc w:val="both"/>
              <w:rPr>
                <w:color w:val="000000"/>
                <w:kern w:val="0"/>
                <w:sz w:val="21"/>
                <w:szCs w:val="21"/>
              </w:rPr>
            </w:pPr>
            <w:r>
              <w:rPr>
                <w:rFonts w:ascii="Times New Roman" w:hAnsi="Times New Roman" w:eastAsia="仿宋" w:cs="Times New Roman"/>
                <w:color w:val="000000"/>
                <w:kern w:val="0"/>
                <w:sz w:val="21"/>
                <w:szCs w:val="21"/>
                <w:lang w:val="en-US" w:eastAsia="zh-CN" w:bidi="ar"/>
              </w:rPr>
              <w:t>指对既有建筑实施节能和绿色化改造</w:t>
            </w:r>
            <w:r>
              <w:rPr>
                <w:rFonts w:hint="eastAsia" w:cs="Times New Roman"/>
                <w:color w:val="000000"/>
                <w:kern w:val="0"/>
                <w:sz w:val="21"/>
                <w:szCs w:val="21"/>
                <w:lang w:val="en-US" w:eastAsia="zh-CN" w:bidi="ar"/>
              </w:rPr>
              <w:t>。购置消费获得星级绿色建筑标识的既有建筑改造项目。</w:t>
            </w:r>
          </w:p>
          <w:p>
            <w:pPr>
              <w:widowControl/>
              <w:spacing w:line="300" w:lineRule="exact"/>
              <w:ind w:firstLine="0" w:firstLineChars="0"/>
              <w:rPr>
                <w:color w:val="000000"/>
                <w:kern w:val="0"/>
                <w:sz w:val="21"/>
                <w:szCs w:val="21"/>
              </w:rPr>
            </w:pPr>
          </w:p>
        </w:tc>
        <w:tc>
          <w:tcPr>
            <w:tcW w:w="943" w:type="pct"/>
            <w:shd w:val="clear" w:color="auto" w:fill="auto"/>
            <w:vAlign w:val="center"/>
          </w:tcPr>
          <w:p>
            <w:pPr>
              <w:widowControl/>
              <w:spacing w:line="300" w:lineRule="exact"/>
              <w:ind w:firstLine="0" w:firstLineChars="0"/>
              <w:rPr>
                <w:rFonts w:hint="default" w:eastAsia="仿宋"/>
                <w:color w:val="000000"/>
                <w:kern w:val="0"/>
                <w:sz w:val="21"/>
                <w:szCs w:val="21"/>
                <w:lang w:val="en-US" w:eastAsia="zh-CN"/>
              </w:rPr>
            </w:pPr>
            <w:r>
              <w:rPr>
                <w:rFonts w:hint="eastAsia"/>
                <w:color w:val="000000"/>
                <w:kern w:val="0"/>
                <w:sz w:val="21"/>
                <w:szCs w:val="21"/>
                <w:lang w:val="en-US" w:eastAsia="zh-CN"/>
              </w:rPr>
              <w:t>对既有建筑实施节能改造：符合国家标准《建筑节能与可再生能源利用通用规范》要求；对既有建筑实施绿色化改造，应达到现行国家标准或地方标准《既有建筑绿色改造评价标准》中一星级及以上等级。实施既有建筑节能和绿色化改造的项目，改造后应实现整体能效提升20%以上。</w:t>
            </w:r>
          </w:p>
        </w:tc>
        <w:tc>
          <w:tcPr>
            <w:tcW w:w="227" w:type="pct"/>
            <w:shd w:val="clear" w:color="auto" w:fill="auto"/>
            <w:vAlign w:val="center"/>
          </w:tcPr>
          <w:p>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G1</w:t>
            </w:r>
          </w:p>
        </w:tc>
        <w:tc>
          <w:tcPr>
            <w:tcW w:w="394" w:type="pct"/>
            <w:shd w:val="clear" w:color="auto" w:fill="auto"/>
            <w:vAlign w:val="center"/>
          </w:tcPr>
          <w:p>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5.1.5</w:t>
            </w:r>
          </w:p>
        </w:tc>
        <w:tc>
          <w:tcPr>
            <w:tcW w:w="350" w:type="pct"/>
            <w:shd w:val="clear" w:color="auto" w:fill="auto"/>
            <w:vAlign w:val="center"/>
          </w:tcPr>
          <w:p>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5.2.1.5</w:t>
            </w:r>
          </w:p>
        </w:tc>
        <w:tc>
          <w:tcPr>
            <w:tcW w:w="343" w:type="pct"/>
            <w:shd w:val="clear" w:color="auto" w:fill="auto"/>
            <w:vAlign w:val="center"/>
          </w:tcPr>
          <w:p>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5.1.4</w:t>
            </w:r>
            <w:r>
              <w:rPr>
                <w:color w:val="000000"/>
                <w:kern w:val="0"/>
                <w:sz w:val="21"/>
                <w:szCs w:val="21"/>
              </w:rPr>
              <w:t>/9.1.1/9.1.2</w:t>
            </w:r>
          </w:p>
        </w:tc>
        <w:tc>
          <w:tcPr>
            <w:tcW w:w="411" w:type="pct"/>
            <w:shd w:val="clear" w:color="auto" w:fill="auto"/>
            <w:vAlign w:val="center"/>
          </w:tcPr>
          <w:p>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6.1.3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vMerge w:val="restar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5.2.</w:t>
            </w:r>
            <w:r>
              <w:rPr>
                <w:rFonts w:hint="eastAsia"/>
                <w:color w:val="000000"/>
                <w:kern w:val="0"/>
                <w:sz w:val="21"/>
                <w:szCs w:val="21"/>
                <w:lang w:val="en-US" w:eastAsia="zh-CN"/>
              </w:rPr>
              <w:t>5</w:t>
            </w:r>
            <w:r>
              <w:rPr>
                <w:color w:val="000000"/>
                <w:kern w:val="0"/>
                <w:sz w:val="21"/>
                <w:szCs w:val="21"/>
              </w:rPr>
              <w:t>装配式建筑</w:t>
            </w:r>
          </w:p>
        </w:tc>
        <w:tc>
          <w:tcPr>
            <w:tcW w:w="1061" w:type="pct"/>
            <w:vMerge w:val="restar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包括采用预制部件在建设工地通过装配施工方法的建筑建设。</w:t>
            </w:r>
          </w:p>
        </w:tc>
        <w:tc>
          <w:tcPr>
            <w:tcW w:w="943"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color w:val="000000"/>
                <w:kern w:val="0"/>
                <w:sz w:val="21"/>
                <w:szCs w:val="21"/>
              </w:rPr>
            </w:pPr>
            <w:r>
              <w:rPr>
                <w:color w:val="000000"/>
                <w:kern w:val="0"/>
                <w:sz w:val="21"/>
                <w:szCs w:val="21"/>
              </w:rPr>
              <w:t>需符合《装配式木结构建筑技术标准》（GB/T 51233）、《装配式钢结构建筑技术标准》（GB/T 51232）、《装配式混凝土建筑技术标准》（GB/T 51231）等国家标准，建筑需达到《装配式建筑评价标准》（GB/T 51129）A级及以上标准要求。</w:t>
            </w:r>
          </w:p>
        </w:tc>
        <w:tc>
          <w:tcPr>
            <w:tcW w:w="227" w:type="pct"/>
            <w:shd w:val="clear" w:color="auto" w:fill="auto"/>
            <w:vAlign w:val="center"/>
          </w:tcPr>
          <w:p>
            <w:pPr>
              <w:widowControl/>
              <w:spacing w:line="300" w:lineRule="exact"/>
              <w:ind w:firstLine="0" w:firstLineChars="0"/>
              <w:jc w:val="center"/>
              <w:rPr>
                <w:rFonts w:hint="eastAsia" w:eastAsia="仿宋"/>
                <w:color w:val="000000"/>
                <w:kern w:val="0"/>
                <w:sz w:val="21"/>
                <w:szCs w:val="21"/>
                <w:lang w:eastAsia="zh-CN"/>
              </w:rPr>
            </w:pPr>
            <w:r>
              <w:rPr>
                <w:color w:val="000000"/>
                <w:kern w:val="0"/>
                <w:sz w:val="21"/>
                <w:szCs w:val="21"/>
              </w:rPr>
              <w:t>G</w:t>
            </w:r>
            <w:r>
              <w:rPr>
                <w:rFonts w:hint="eastAsia"/>
                <w:color w:val="000000"/>
                <w:kern w:val="0"/>
                <w:sz w:val="21"/>
                <w:szCs w:val="21"/>
                <w:lang w:val="en-US" w:eastAsia="zh-CN"/>
              </w:rPr>
              <w:t>2</w:t>
            </w:r>
          </w:p>
        </w:tc>
        <w:tc>
          <w:tcPr>
            <w:tcW w:w="394" w:type="pct"/>
            <w:vMerge w:val="restar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5.1.4</w:t>
            </w:r>
          </w:p>
        </w:tc>
        <w:tc>
          <w:tcPr>
            <w:tcW w:w="350" w:type="pct"/>
            <w:vMerge w:val="restar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5.2.1.4</w:t>
            </w:r>
          </w:p>
        </w:tc>
        <w:tc>
          <w:tcPr>
            <w:tcW w:w="343" w:type="pct"/>
            <w:vMerge w:val="restar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5.1.3/9.1.1/9.1.2</w:t>
            </w:r>
          </w:p>
        </w:tc>
        <w:tc>
          <w:tcPr>
            <w:tcW w:w="411" w:type="pct"/>
            <w:vMerge w:val="restar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 w:hRule="atLeast"/>
        </w:trPr>
        <w:tc>
          <w:tcPr>
            <w:tcW w:w="375" w:type="pct"/>
            <w:vMerge w:val="continue"/>
            <w:vAlign w:val="center"/>
          </w:tcPr>
          <w:p>
            <w:pPr>
              <w:widowControl/>
              <w:spacing w:line="300" w:lineRule="exact"/>
              <w:ind w:firstLine="0" w:firstLineChars="0"/>
            </w:pPr>
          </w:p>
        </w:tc>
        <w:tc>
          <w:tcPr>
            <w:tcW w:w="357" w:type="pct"/>
            <w:vMerge w:val="continue"/>
            <w:vAlign w:val="center"/>
          </w:tcPr>
          <w:p>
            <w:pPr>
              <w:widowControl/>
              <w:spacing w:line="300" w:lineRule="exact"/>
              <w:ind w:firstLine="0" w:firstLineChars="0"/>
            </w:pPr>
          </w:p>
        </w:tc>
        <w:tc>
          <w:tcPr>
            <w:tcW w:w="534" w:type="pct"/>
            <w:vMerge w:val="continue"/>
            <w:shd w:val="clear" w:color="auto" w:fill="auto"/>
            <w:vAlign w:val="center"/>
          </w:tcPr>
          <w:p>
            <w:pPr>
              <w:widowControl/>
              <w:spacing w:line="300" w:lineRule="exact"/>
              <w:ind w:firstLine="0" w:firstLineChars="0"/>
            </w:pPr>
          </w:p>
        </w:tc>
        <w:tc>
          <w:tcPr>
            <w:tcW w:w="1061" w:type="pct"/>
            <w:vMerge w:val="continue"/>
            <w:shd w:val="clear" w:color="auto" w:fill="auto"/>
            <w:vAlign w:val="center"/>
          </w:tcPr>
          <w:p>
            <w:pPr>
              <w:widowControl/>
              <w:spacing w:line="300" w:lineRule="exact"/>
              <w:ind w:firstLine="0" w:firstLineChars="0"/>
            </w:pPr>
          </w:p>
        </w:tc>
        <w:tc>
          <w:tcPr>
            <w:tcW w:w="943"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eastAsia="仿宋"/>
                <w:color w:val="000000"/>
                <w:kern w:val="0"/>
                <w:sz w:val="21"/>
                <w:szCs w:val="21"/>
                <w:lang w:val="en-US" w:eastAsia="zh-CN"/>
              </w:rPr>
            </w:pPr>
            <w:r>
              <w:rPr>
                <w:color w:val="000000"/>
                <w:kern w:val="0"/>
                <w:sz w:val="21"/>
                <w:szCs w:val="21"/>
              </w:rPr>
              <w:t>需符合</w:t>
            </w:r>
            <w:r>
              <w:rPr>
                <w:rFonts w:hint="eastAsia"/>
                <w:color w:val="000000"/>
                <w:kern w:val="0"/>
                <w:sz w:val="21"/>
                <w:szCs w:val="21"/>
                <w:lang w:val="en-US" w:eastAsia="zh-CN"/>
              </w:rPr>
              <w:t>以上相关</w:t>
            </w:r>
            <w:r>
              <w:rPr>
                <w:color w:val="000000"/>
                <w:kern w:val="0"/>
                <w:sz w:val="21"/>
                <w:szCs w:val="21"/>
              </w:rPr>
              <w:t>国家标准，建筑需达到《装配式建筑评价标准》（GB/T 51129）A级及以上标准要求</w:t>
            </w:r>
            <w:r>
              <w:rPr>
                <w:rFonts w:hint="eastAsia"/>
                <w:color w:val="000000"/>
                <w:kern w:val="0"/>
                <w:sz w:val="21"/>
                <w:szCs w:val="21"/>
                <w:lang w:eastAsia="zh-CN"/>
              </w:rPr>
              <w:t>，</w:t>
            </w:r>
            <w:r>
              <w:rPr>
                <w:rFonts w:hint="eastAsia"/>
                <w:color w:val="000000"/>
                <w:kern w:val="0"/>
                <w:sz w:val="21"/>
                <w:szCs w:val="21"/>
                <w:lang w:val="en-US" w:eastAsia="zh-CN"/>
              </w:rPr>
              <w:t>且已获得绿色建筑或预评价标识为二星级绿色建筑。</w:t>
            </w:r>
          </w:p>
        </w:tc>
        <w:tc>
          <w:tcPr>
            <w:tcW w:w="227"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G</w:t>
            </w:r>
            <w:r>
              <w:rPr>
                <w:rFonts w:hint="eastAsia"/>
                <w:color w:val="000000"/>
                <w:kern w:val="0"/>
                <w:sz w:val="21"/>
                <w:szCs w:val="21"/>
                <w:lang w:val="en-US" w:eastAsia="zh-CN"/>
              </w:rPr>
              <w:t>1</w:t>
            </w:r>
          </w:p>
        </w:tc>
        <w:tc>
          <w:tcPr>
            <w:tcW w:w="394" w:type="pct"/>
            <w:vMerge w:val="continue"/>
            <w:shd w:val="clear" w:color="auto" w:fill="auto"/>
            <w:vAlign w:val="center"/>
          </w:tcPr>
          <w:p>
            <w:pPr>
              <w:widowControl/>
              <w:spacing w:line="300" w:lineRule="exact"/>
              <w:ind w:firstLine="0" w:firstLineChars="0"/>
              <w:rPr>
                <w:color w:val="000000"/>
                <w:kern w:val="0"/>
                <w:sz w:val="21"/>
                <w:szCs w:val="21"/>
              </w:rPr>
            </w:pPr>
          </w:p>
        </w:tc>
        <w:tc>
          <w:tcPr>
            <w:tcW w:w="350" w:type="pct"/>
            <w:vMerge w:val="continue"/>
            <w:shd w:val="clear" w:color="auto" w:fill="auto"/>
            <w:vAlign w:val="center"/>
          </w:tcPr>
          <w:p>
            <w:pPr>
              <w:widowControl/>
              <w:spacing w:line="300" w:lineRule="exact"/>
              <w:ind w:firstLine="0" w:firstLineChars="0"/>
              <w:rPr>
                <w:color w:val="000000"/>
                <w:kern w:val="0"/>
                <w:sz w:val="21"/>
                <w:szCs w:val="21"/>
              </w:rPr>
            </w:pPr>
          </w:p>
        </w:tc>
        <w:tc>
          <w:tcPr>
            <w:tcW w:w="343" w:type="pct"/>
            <w:vMerge w:val="continue"/>
            <w:shd w:val="clear" w:color="auto" w:fill="auto"/>
            <w:vAlign w:val="center"/>
          </w:tcPr>
          <w:p>
            <w:pPr>
              <w:widowControl/>
              <w:spacing w:line="300" w:lineRule="exact"/>
              <w:ind w:firstLine="0" w:firstLineChars="0"/>
              <w:rPr>
                <w:color w:val="000000"/>
                <w:kern w:val="0"/>
                <w:sz w:val="21"/>
                <w:szCs w:val="21"/>
              </w:rPr>
            </w:pPr>
          </w:p>
        </w:tc>
        <w:tc>
          <w:tcPr>
            <w:tcW w:w="411" w:type="pct"/>
            <w:vMerge w:val="continue"/>
            <w:shd w:val="clear" w:color="auto" w:fill="auto"/>
            <w:vAlign w:val="center"/>
          </w:tcPr>
          <w:p>
            <w:pPr>
              <w:widowControl/>
              <w:spacing w:line="300" w:lineRule="exact"/>
              <w:ind w:firstLine="0" w:firstLineChars="0"/>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5.2.</w:t>
            </w:r>
            <w:r>
              <w:rPr>
                <w:rFonts w:hint="eastAsia"/>
                <w:color w:val="000000"/>
                <w:kern w:val="0"/>
                <w:sz w:val="21"/>
                <w:szCs w:val="21"/>
                <w:lang w:val="en-US" w:eastAsia="zh-CN"/>
              </w:rPr>
              <w:t>6</w:t>
            </w:r>
            <w:r>
              <w:rPr>
                <w:color w:val="000000"/>
                <w:kern w:val="0"/>
                <w:sz w:val="21"/>
                <w:szCs w:val="21"/>
              </w:rPr>
              <w:t>物流绿色仓储</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按照国家绿色建筑相关规范、标准设计建设或改造，并获得国家相关绿色建筑评价标识的物流仓储场所的建筑建设、运营及改造活动。</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需达到《绿色仓储要求与评价》（SB/T 11164）等标准。</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5.1.6</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5.2.1.6</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restart"/>
            <w:shd w:val="clear" w:color="auto" w:fill="auto"/>
            <w:vAlign w:val="center"/>
          </w:tcPr>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5.3 绿色交通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5.3 绿色交通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5.3 绿色交通</w:t>
            </w:r>
          </w:p>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5.3.1不停车收费系统建设和运营</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高速公路自动扣费系统、市区过桥自动扣费系统、隧道自动扣费系统、停车场车交费系统等不停车收费系统设施建设和运营。</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5.2.1</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5.5.1.1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6.2.3部分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5.3.2城市慢行系统建设和运营</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城市步行、自行车交通系统建设，包括公共自行车租赁点、非机动车辆停车设施、路段过街设施等城市慢性系统建设，以及自行车、电动自行车租赁系统、汽车分时租赁系统建设和立体停车设施建设等。</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5.2.6</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5.5.1.4</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5.2.3</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5.3.3共享交通设施建设和运营</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公共租赁自行车、互联网租赁自行车、互联网租赁电动自行车、互联网租赁汽车、汽车分时租赁系统、立体停车设施设备、自行车停车设施等共享交通设施建设和运营。</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5.2.8</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5.5.1.6</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5.2.3</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5.3.4公路运输公共客运</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包括清洁能源公交车辆购置（含纯电动、插电式混合动力、天然气动力、氢燃料电池动力公交等清洁能源车辆），城市公交枢纽场站，公交站点，快速公交线路以及其他相关公共交通设施建设活动。</w:t>
            </w:r>
          </w:p>
        </w:tc>
        <w:tc>
          <w:tcPr>
            <w:tcW w:w="943"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ind w:firstLine="0" w:firstLineChars="0"/>
              <w:textAlignment w:val="auto"/>
              <w:rPr>
                <w:color w:val="000000"/>
                <w:kern w:val="0"/>
                <w:sz w:val="21"/>
                <w:szCs w:val="21"/>
              </w:rPr>
            </w:pPr>
            <w:r>
              <w:rPr>
                <w:color w:val="000000"/>
                <w:kern w:val="0"/>
                <w:sz w:val="21"/>
                <w:szCs w:val="21"/>
              </w:rPr>
              <w:t>天然气动力车辆、插电式混合动力等车辆购置应满足《轻型汽车污染物排放限值及测量方法（中国第五阶段）》先进值标准；纯电动新能源动力车辆购置，纯电动车辆能量密度不低于120Wh/kg。</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5.2.7部分</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5.5.1.5</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5.2.3</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5.3.5综合客运交通枢纽</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综合衔接铁路、航空、城市公交等各种运输方式（两种及以上）场站的一体化客运交通枢纽设施建设活动。</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满足《综合客运枢纽通用要求》《综合客运枢纽换乘区域设施设备配置要求》。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5.5.1.5部分</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5.2.3</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5.3.6智能交通体系建设和运营</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 xml:space="preserve">交通指挥中心系统与设备、电子警察系统与设备、交通视频监视系统与设备、卡口系统与设备、交通信号控制系统与设备、智能公交系统与设备、城市智慧汽车基础设施、智能停车系统与设备、交通信息采集发布系统与设备、GPS与警用系统与设备、出租车信息服务管理系统与设备、综合客运枢纽信息化系统与设备、路网综合管理系统、智能化新一代民航旅客服务系统（PSS）、智慧机场管理系统、旅游联程联运信息服务系统等建设和运营。 </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5.2.4</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5.5.1.3</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5.2.5</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5.3.7充电、换电、加氢和加气设施建设和运营</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包括分布式交流充电桩，集中式快速充电站、换电设施、站用加氢及储氢设施、汽车和船舶天然气加注站、城市公共充电设施、城际快速充电网络等建设和运营。</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lang w:bidi="ar"/>
              </w:rPr>
              <w:t>需符合《电动汽车交流充电桩技术条件》（NB/T 33002）、《电动汽车快速更换电池箱通用要求》（NB/T 33025）、《电动汽车非车载传导式充电机 技术条件》（NB/T 33001）、《汽车加油加气加氢站技术标准》（GB 50156）等国家、地方、行业相关标准规范要求。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5.2.5</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5.5.4.1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5.2.3</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jc w:val="left"/>
              <w:rPr>
                <w:color w:val="000000"/>
                <w:kern w:val="0"/>
                <w:sz w:val="21"/>
                <w:szCs w:val="21"/>
                <w:highlight w:val="yellow"/>
              </w:rPr>
            </w:pPr>
            <w:r>
              <w:rPr>
                <w:color w:val="000000"/>
                <w:kern w:val="0"/>
                <w:sz w:val="21"/>
                <w:szCs w:val="21"/>
              </w:rPr>
              <w:t>5.3.8</w:t>
            </w:r>
            <w:r>
              <w:rPr>
                <w:color w:val="000000"/>
                <w:kern w:val="0"/>
                <w:sz w:val="21"/>
                <w:szCs w:val="21"/>
                <w:lang w:bidi="ar"/>
              </w:rPr>
              <w:t>环境友好型铁路建设运营和铁路绿色化改造</w:t>
            </w:r>
          </w:p>
          <w:p>
            <w:pPr>
              <w:widowControl/>
              <w:spacing w:line="300" w:lineRule="exact"/>
              <w:ind w:firstLine="0" w:firstLineChars="0"/>
              <w:rPr>
                <w:color w:val="000000"/>
                <w:kern w:val="0"/>
                <w:sz w:val="21"/>
                <w:szCs w:val="21"/>
              </w:rPr>
            </w:pPr>
          </w:p>
        </w:tc>
        <w:tc>
          <w:tcPr>
            <w:tcW w:w="1061" w:type="pct"/>
            <w:shd w:val="clear" w:color="auto" w:fill="auto"/>
            <w:vAlign w:val="center"/>
          </w:tcPr>
          <w:p>
            <w:pPr>
              <w:widowControl/>
              <w:spacing w:line="300" w:lineRule="exact"/>
              <w:ind w:firstLine="0" w:firstLineChars="0"/>
              <w:rPr>
                <w:color w:val="000000"/>
                <w:kern w:val="0"/>
                <w:sz w:val="21"/>
                <w:szCs w:val="21"/>
                <w:lang w:bidi="ar"/>
              </w:rPr>
            </w:pPr>
            <w:r>
              <w:rPr>
                <w:color w:val="000000"/>
                <w:kern w:val="0"/>
                <w:sz w:val="21"/>
                <w:szCs w:val="21"/>
                <w:lang w:bidi="ar"/>
              </w:rPr>
              <w:t>符合国家环保标准规范，考虑对生物重要栖息地的影响，在项目建设和运营过程中切实保护自然生态、 尽量减少生态影响的客运、货运和客货两用铁路。包括环境友好型铁路及相关场所建设和运营，以及既有铁路电气化改造、铁路场站和铁路设备绿色化改造、废弃铁路复垦等。</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铁路场所建设需达到《绿色铁路客站评价标准》（TB/T10429）</w:t>
            </w:r>
            <w:r>
              <w:rPr>
                <w:color w:val="000000"/>
                <w:kern w:val="0"/>
                <w:sz w:val="21"/>
                <w:szCs w:val="21"/>
                <w:lang w:bidi="ar"/>
              </w:rPr>
              <w:t>《绿色交通设施评估技术要求第4部分：绿色客运站》（JT/T 1199.4）、《绿色交通设施评估技术要求 第5部分：绿色货运站》（JT/T1199.5）等标准规范要求。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5.2.10</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5.5.2.1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5.2.1</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6"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jc w:val="left"/>
              <w:rPr>
                <w:color w:val="000000"/>
                <w:kern w:val="0"/>
                <w:sz w:val="21"/>
                <w:szCs w:val="21"/>
              </w:rPr>
            </w:pPr>
            <w:r>
              <w:rPr>
                <w:color w:val="000000"/>
                <w:kern w:val="0"/>
                <w:sz w:val="21"/>
                <w:szCs w:val="21"/>
              </w:rPr>
              <w:t>5.3.9集装箱多式联运系统建设和运营</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lang w:bidi="ar"/>
              </w:rPr>
              <w:t>普通集装箱、大宗物资、冷链物资、汽车整车、快递包裹等物资多式联运系统建设和运营，以及促进公转铁、公转水的相关设施建设和运营。</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bookmarkStart w:id="15" w:name="OLE_LINK11"/>
            <w:r>
              <w:rPr>
                <w:color w:val="000000"/>
                <w:kern w:val="0"/>
                <w:sz w:val="21"/>
                <w:szCs w:val="21"/>
              </w:rPr>
              <w:t>G3</w:t>
            </w:r>
            <w:bookmarkEnd w:id="15"/>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5.2.3</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5.5.1.2</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5.2.5</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9"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restart"/>
            <w:shd w:val="clear" w:color="auto" w:fill="auto"/>
            <w:vAlign w:val="center"/>
          </w:tcPr>
          <w:p>
            <w:pPr>
              <w:widowControl/>
              <w:spacing w:line="240" w:lineRule="auto"/>
              <w:ind w:firstLine="0" w:firstLineChars="0"/>
              <w:rPr>
                <w:color w:val="000000"/>
                <w:kern w:val="0"/>
                <w:sz w:val="21"/>
                <w:szCs w:val="21"/>
              </w:rPr>
            </w:pPr>
            <w:r>
              <w:rPr>
                <w:color w:val="000000"/>
                <w:kern w:val="0"/>
                <w:sz w:val="21"/>
                <w:szCs w:val="21"/>
              </w:rPr>
              <w:t>5.4城镇能源基础设施</w:t>
            </w:r>
          </w:p>
        </w:tc>
        <w:tc>
          <w:tcPr>
            <w:tcW w:w="534" w:type="pct"/>
            <w:shd w:val="clear" w:color="auto" w:fill="auto"/>
            <w:vAlign w:val="center"/>
          </w:tcPr>
          <w:p>
            <w:pPr>
              <w:widowControl/>
              <w:spacing w:line="300" w:lineRule="exact"/>
              <w:ind w:firstLine="0" w:firstLineChars="0"/>
              <w:rPr>
                <w:color w:val="000000"/>
                <w:kern w:val="0"/>
                <w:sz w:val="21"/>
                <w:szCs w:val="21"/>
              </w:rPr>
            </w:pPr>
            <w:bookmarkStart w:id="16" w:name="OLE_LINK6"/>
            <w:r>
              <w:rPr>
                <w:color w:val="000000"/>
                <w:kern w:val="0"/>
                <w:sz w:val="21"/>
                <w:szCs w:val="21"/>
              </w:rPr>
              <w:t>5.4.1城镇集中供热系统清洁化、低碳化建设运营和改造</w:t>
            </w:r>
            <w:bookmarkEnd w:id="16"/>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城镇集中供热锅炉节能环保改造、城镇集中供热管网节能降碳改造、热电联产机组供暖替代散煤和燃煤小锅炉、低品位工业余热供暖系统建设和运营、核能供热系统建设运营，因地制宜实施</w:t>
            </w:r>
            <w:r>
              <w:rPr>
                <w:color w:val="000000"/>
                <w:kern w:val="0"/>
                <w:sz w:val="21"/>
                <w:szCs w:val="21"/>
                <w:lang w:bidi="ar"/>
              </w:rPr>
              <w:t>的热泵、生物质能、地热能、太阳能等清洁低碳供暖等。</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5.4.1</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5.1.1.1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5.4</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5.4.2城镇电力设施智能化建设运营和改造</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城镇电力需求侧管理平台开发建设，城镇配电网技术改造，用电设备智能化改造，以及高污染、低效用能设备的电能替代改造等。</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5.4.2</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5.1.1.2</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5.4</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8"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restart"/>
            <w:shd w:val="clear" w:color="auto" w:fill="auto"/>
            <w:vAlign w:val="center"/>
          </w:tcPr>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5.5能源系统高效运行</w:t>
            </w: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5.5.1智能电网建设和运营</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包括集成信息、控制、储能等技术以及智能化电力设备，实现电力发输配用储过程中的数字化管理、智能化决策、互动化交易的电网设施建设和运营。</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需符合《智能电网用户端通信系统一般要求》（GB/Z 32501）、《智能电网调度控制系统总体框架》（GB∕T 33607）等国家标准和行业标准。</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3.4.3</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3.1.1.2</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3.4</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8"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5.5.2分布式能源工程建设和运营</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天然气热电冷三联供、分布式再生能源发电、地热能供暖制冷等分布式能源工程建设和运营。</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天然气或其他化石能源驱动的分布式冷热电三联供能源系统和工程项目的节能率需符合《分布式冷热电能源系统的节能率 第1部分：化石能源驱动系统》（GB/T33757.1）要求，相关系统和工程项目规划设计需符合《分布式冷热电能源系统设计导则》（GB/T 39779）要求，相关系统和工程项目的制冷、供热单元和动力单元需符合《分布式冷热电能源系统技术条件》（GB/T 36160）等相关标准规范要求。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3.4.6</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3.2.3.4</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3.4</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5.5.3抽水蓄能电站建设和运营</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包括为提高电网对风电、光伏发电等间歇性可再生能源电力消纳能力，提升电网运行灵活性、稳定性和可靠性，在电网中主要承担电力“削峰填谷”功能的抽水蓄能电站建设和运营。</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需符合《抽水蓄能电站水能规划设计规范》（NB/T 35071）、《抽水蓄能电站选点规划编制规范》（NB/T 35009）等国家、行业相关</w:t>
            </w:r>
          </w:p>
          <w:p>
            <w:pPr>
              <w:widowControl/>
              <w:spacing w:line="300" w:lineRule="exact"/>
              <w:ind w:firstLine="0" w:firstLineChars="0"/>
              <w:rPr>
                <w:color w:val="000000"/>
                <w:kern w:val="0"/>
                <w:sz w:val="21"/>
                <w:szCs w:val="21"/>
              </w:rPr>
            </w:pPr>
            <w:r>
              <w:rPr>
                <w:color w:val="000000"/>
                <w:kern w:val="0"/>
                <w:sz w:val="21"/>
                <w:szCs w:val="21"/>
              </w:rPr>
              <w:t>标准规范要求。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3.4.7</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3.2.3.5</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3.4</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restart"/>
            <w:shd w:val="clear" w:color="auto" w:fill="auto"/>
            <w:vAlign w:val="center"/>
          </w:tcPr>
          <w:p>
            <w:pPr>
              <w:widowControl/>
              <w:spacing w:line="240" w:lineRule="auto"/>
              <w:ind w:firstLine="0" w:firstLineChars="0"/>
              <w:rPr>
                <w:color w:val="000000"/>
                <w:kern w:val="0"/>
                <w:sz w:val="21"/>
                <w:szCs w:val="21"/>
              </w:rPr>
            </w:pPr>
            <w:r>
              <w:rPr>
                <w:color w:val="000000"/>
                <w:kern w:val="0"/>
                <w:sz w:val="21"/>
                <w:szCs w:val="21"/>
              </w:rPr>
              <w:t>5.6城镇综合基础设施</w:t>
            </w: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5.6.1智慧城市</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城市基础设施建设（主要是基础网络建设）、信息化的应用、各种产业的智慧化建设。</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5.7</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5.6.2海绵城市</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海绵城市及配套设施建设，以及水利、交通、能源等城市生命线系统和设施的提升改造。海绵型建筑与小区、海绵型道路与广场、海绵型公园和绿地建设和运营；城市排水设施达标建设运营和改造。</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海绵城市建设参照国家和地方关于海绵城市建设的相关办法和标准，如《海绵城市建设技术指南》等。</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5.5（5.5.1、5.5.2、5.5.3、5.5.4）</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5.4.2（5.4.2.1/5.4.2.2/5.4.2.3/5.4.2.4）</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5.5</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rFonts w:hint="default" w:eastAsia="仿宋"/>
                <w:color w:val="000000"/>
                <w:kern w:val="0"/>
                <w:sz w:val="21"/>
                <w:szCs w:val="21"/>
                <w:lang w:val="en-US" w:eastAsia="zh-CN"/>
              </w:rPr>
            </w:pPr>
            <w:r>
              <w:rPr>
                <w:color w:val="000000"/>
                <w:kern w:val="0"/>
                <w:sz w:val="21"/>
                <w:szCs w:val="21"/>
              </w:rPr>
              <w:t>5.6.3</w:t>
            </w:r>
            <w:r>
              <w:rPr>
                <w:rFonts w:hint="eastAsia"/>
                <w:color w:val="000000"/>
                <w:kern w:val="0"/>
                <w:sz w:val="21"/>
                <w:szCs w:val="21"/>
                <w:lang w:val="en-US" w:eastAsia="zh-CN"/>
              </w:rPr>
              <w:t>园林绿化</w:t>
            </w:r>
          </w:p>
        </w:tc>
        <w:tc>
          <w:tcPr>
            <w:tcW w:w="1061" w:type="pct"/>
            <w:shd w:val="clear" w:color="auto" w:fill="auto"/>
            <w:vAlign w:val="center"/>
          </w:tcPr>
          <w:p>
            <w:pPr>
              <w:widowControl/>
              <w:spacing w:line="300" w:lineRule="exact"/>
              <w:ind w:firstLine="0" w:firstLineChars="0"/>
              <w:jc w:val="both"/>
              <w:rPr>
                <w:rFonts w:hint="eastAsia" w:eastAsia="仿宋"/>
                <w:color w:val="000000"/>
                <w:kern w:val="0"/>
                <w:sz w:val="21"/>
                <w:szCs w:val="21"/>
                <w:lang w:eastAsia="zh-CN"/>
              </w:rPr>
            </w:pPr>
            <w:r>
              <w:rPr>
                <w:rFonts w:hint="eastAsia"/>
                <w:color w:val="000000"/>
                <w:kern w:val="0"/>
                <w:sz w:val="21"/>
                <w:szCs w:val="21"/>
              </w:rPr>
              <w:t>包括城市综合公园、专类公园、社区公园、游园等公园和绿地公共设施建设、养护和运营，城市绿道及其配套的驿站、标识系统和其他附属设施的建设、养护管理和运营，居住用地、公共管理与公共服务设施用地、商业服务业设施用地、工业用地、物流仓储用地、公用设施用地、绿地与广场用地等的附属绿地建设、养护管理和运营，各级各类城市道路的分隔绿带、路侧绿带、绿化环岛等绿地建设、养护管理，城市郊野公园、区域设施防护绿地等区域绿地建设、养护管理和运营，城市建筑屋顶绿化、墙面绿化、桥隧绿化等立体空间绿化工程建设、养护管理</w:t>
            </w:r>
            <w:r>
              <w:rPr>
                <w:rFonts w:hint="eastAsia"/>
                <w:color w:val="000000"/>
                <w:kern w:val="0"/>
                <w:sz w:val="21"/>
                <w:szCs w:val="21"/>
                <w:lang w:eastAsia="zh-CN"/>
              </w:rPr>
              <w:t>。</w:t>
            </w:r>
          </w:p>
        </w:tc>
        <w:tc>
          <w:tcPr>
            <w:tcW w:w="943" w:type="pct"/>
            <w:shd w:val="clear" w:color="auto" w:fill="auto"/>
            <w:vAlign w:val="center"/>
          </w:tcPr>
          <w:p>
            <w:pPr>
              <w:widowControl/>
              <w:spacing w:line="300" w:lineRule="exact"/>
              <w:ind w:firstLine="0" w:firstLineChars="0"/>
              <w:rPr>
                <w:rFonts w:hint="eastAsia"/>
                <w:color w:val="000000"/>
                <w:kern w:val="0"/>
                <w:sz w:val="21"/>
                <w:szCs w:val="21"/>
              </w:rPr>
            </w:pPr>
            <w:r>
              <w:rPr>
                <w:rFonts w:hint="eastAsia"/>
                <w:color w:val="000000"/>
                <w:kern w:val="0"/>
                <w:sz w:val="21"/>
                <w:szCs w:val="21"/>
              </w:rPr>
              <w:t>需符合《公园设计规范》（GB 51192）、《绿道规划设计导则》（建城函〔2016〕211号）、《城市道路绿化规划与设计规范》（CJJ 75）、《城市绿地分类标准》（CJJ/T 85）、《垂直绿化工程技术规程》（CJJ/T 236）等国家、地方、行业相关标准规范要</w:t>
            </w:r>
          </w:p>
          <w:p>
            <w:pPr>
              <w:widowControl/>
              <w:spacing w:line="300" w:lineRule="exact"/>
              <w:ind w:firstLine="0" w:firstLineChars="0"/>
              <w:rPr>
                <w:color w:val="000000"/>
                <w:kern w:val="0"/>
                <w:sz w:val="21"/>
                <w:szCs w:val="21"/>
              </w:rPr>
            </w:pPr>
            <w:r>
              <w:rPr>
                <w:rFonts w:hint="eastAsia"/>
                <w:color w:val="000000"/>
                <w:kern w:val="0"/>
                <w:sz w:val="21"/>
                <w:szCs w:val="21"/>
              </w:rPr>
              <w:t>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rFonts w:hint="default"/>
                <w:color w:val="000000"/>
                <w:kern w:val="0"/>
                <w:sz w:val="21"/>
                <w:szCs w:val="21"/>
                <w:lang w:val="en-US"/>
              </w:rPr>
            </w:pPr>
            <w:r>
              <w:rPr>
                <w:rFonts w:hint="eastAsia"/>
                <w:color w:val="000000"/>
                <w:kern w:val="0"/>
                <w:sz w:val="21"/>
                <w:szCs w:val="21"/>
                <w:lang w:val="en-US" w:eastAsia="zh-CN"/>
              </w:rPr>
              <w:t>5.6</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5.6.1</w:t>
            </w:r>
          </w:p>
        </w:tc>
        <w:tc>
          <w:tcPr>
            <w:tcW w:w="343" w:type="pct"/>
            <w:shd w:val="clear" w:color="auto" w:fill="auto"/>
            <w:vAlign w:val="center"/>
          </w:tcPr>
          <w:p>
            <w:pPr>
              <w:widowControl/>
              <w:spacing w:line="300" w:lineRule="exact"/>
              <w:ind w:firstLine="0" w:firstLineChars="0"/>
              <w:jc w:val="center"/>
              <w:rPr>
                <w:rFonts w:hint="default"/>
                <w:color w:val="000000"/>
                <w:kern w:val="0"/>
                <w:sz w:val="21"/>
                <w:szCs w:val="21"/>
                <w:lang w:val="en-US"/>
              </w:rPr>
            </w:pPr>
            <w:r>
              <w:rPr>
                <w:rFonts w:hint="eastAsia"/>
                <w:color w:val="000000"/>
                <w:kern w:val="0"/>
                <w:sz w:val="21"/>
                <w:szCs w:val="21"/>
                <w:lang w:val="en-US" w:eastAsia="zh-CN"/>
              </w:rPr>
              <w:t>5.6</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restart"/>
            <w:vAlign w:val="center"/>
          </w:tcPr>
          <w:p>
            <w:pPr>
              <w:widowControl/>
              <w:spacing w:line="240" w:lineRule="auto"/>
              <w:ind w:firstLine="0" w:firstLineChars="0"/>
              <w:jc w:val="left"/>
              <w:rPr>
                <w:color w:val="000000"/>
                <w:kern w:val="0"/>
                <w:sz w:val="21"/>
                <w:szCs w:val="21"/>
              </w:rPr>
            </w:pPr>
          </w:p>
          <w:p>
            <w:pPr>
              <w:widowControl/>
              <w:spacing w:line="240" w:lineRule="auto"/>
              <w:ind w:firstLine="0" w:firstLineChars="0"/>
              <w:jc w:val="left"/>
              <w:rPr>
                <w:color w:val="000000"/>
                <w:kern w:val="0"/>
                <w:sz w:val="21"/>
                <w:szCs w:val="21"/>
              </w:rPr>
            </w:pPr>
            <w:r>
              <w:rPr>
                <w:color w:val="000000"/>
                <w:kern w:val="0"/>
                <w:sz w:val="21"/>
                <w:szCs w:val="21"/>
              </w:rPr>
              <w:t>5.7</w:t>
            </w:r>
            <w:bookmarkStart w:id="17" w:name="OLE_LINK12"/>
            <w:r>
              <w:rPr>
                <w:color w:val="000000"/>
                <w:kern w:val="0"/>
                <w:sz w:val="21"/>
                <w:szCs w:val="21"/>
                <w:lang w:bidi="ar"/>
              </w:rPr>
              <w:t>信息基础设施</w:t>
            </w:r>
            <w:bookmarkEnd w:id="17"/>
          </w:p>
        </w:tc>
        <w:tc>
          <w:tcPr>
            <w:tcW w:w="534" w:type="pct"/>
            <w:shd w:val="clear" w:color="auto" w:fill="auto"/>
            <w:vAlign w:val="center"/>
          </w:tcPr>
          <w:p>
            <w:pPr>
              <w:widowControl/>
              <w:spacing w:line="300" w:lineRule="exact"/>
              <w:ind w:firstLine="0" w:firstLineChars="0"/>
              <w:jc w:val="left"/>
              <w:rPr>
                <w:color w:val="000000"/>
                <w:kern w:val="0"/>
                <w:sz w:val="21"/>
                <w:szCs w:val="21"/>
              </w:rPr>
            </w:pPr>
            <w:r>
              <w:rPr>
                <w:color w:val="000000"/>
                <w:kern w:val="0"/>
                <w:sz w:val="21"/>
                <w:szCs w:val="21"/>
                <w:lang w:bidi="ar"/>
              </w:rPr>
              <w:t>5.7.1通信网络节能改造</w:t>
            </w:r>
          </w:p>
        </w:tc>
        <w:tc>
          <w:tcPr>
            <w:tcW w:w="1061" w:type="pct"/>
            <w:shd w:val="clear" w:color="auto" w:fill="auto"/>
            <w:vAlign w:val="center"/>
          </w:tcPr>
          <w:p>
            <w:pPr>
              <w:widowControl/>
              <w:spacing w:line="300" w:lineRule="exact"/>
              <w:ind w:firstLine="0" w:firstLineChars="0"/>
              <w:rPr>
                <w:rFonts w:hint="eastAsia" w:eastAsia="仿宋"/>
                <w:color w:val="000000"/>
                <w:kern w:val="0"/>
                <w:sz w:val="21"/>
                <w:szCs w:val="21"/>
                <w:lang w:val="en-US" w:eastAsia="zh-CN"/>
              </w:rPr>
            </w:pPr>
            <w:r>
              <w:rPr>
                <w:color w:val="000000"/>
                <w:kern w:val="0"/>
                <w:sz w:val="21"/>
                <w:szCs w:val="21"/>
              </w:rPr>
              <w:t>包括通信网络的传输系统、交换系统和相关设备等的节能改造</w:t>
            </w:r>
            <w:r>
              <w:rPr>
                <w:rFonts w:hint="eastAsia"/>
                <w:color w:val="000000"/>
                <w:kern w:val="0"/>
                <w:sz w:val="21"/>
                <w:szCs w:val="21"/>
                <w:lang w:eastAsia="zh-CN"/>
              </w:rPr>
              <w:t>。</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G3</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jc w:val="left"/>
              <w:rPr>
                <w:color w:val="000000"/>
                <w:kern w:val="0"/>
                <w:sz w:val="21"/>
                <w:szCs w:val="21"/>
              </w:rPr>
            </w:pPr>
            <w:r>
              <w:rPr>
                <w:color w:val="000000"/>
                <w:kern w:val="0"/>
                <w:sz w:val="21"/>
                <w:szCs w:val="21"/>
                <w:lang w:bidi="ar"/>
              </w:rPr>
              <w:t>5.7.2</w:t>
            </w:r>
            <w:r>
              <w:rPr>
                <w:rFonts w:hint="eastAsia"/>
                <w:color w:val="000000"/>
                <w:kern w:val="0"/>
                <w:sz w:val="21"/>
                <w:szCs w:val="21"/>
                <w:lang w:bidi="ar"/>
              </w:rPr>
              <w:t>绿色数据中心建设</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包括先进高效的互联网数据中心（IDC）、企业级数据中心（EDC）、高性能计算中心、超算中心等不同类型数据中心的建设。</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数据中心电能比需不低于《数据中心能效限定值及能效等级》（GB 40879）中2级能效水平。</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G3</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5.7.3数据中心节能改造</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包括数据中心的供配电系统、制冷系统、运行控制系统、其他辅助系统等的节能改造。</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G3</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restart"/>
            <w:shd w:val="clear" w:color="auto" w:fill="auto"/>
            <w:vAlign w:val="center"/>
          </w:tcPr>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6 生态环境产业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6 生态环境产业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6 生态环境产业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6 生态环境产业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6 生态环境产业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6 生态环境产业</w:t>
            </w:r>
          </w:p>
          <w:p>
            <w:pPr>
              <w:widowControl/>
              <w:spacing w:line="240" w:lineRule="auto"/>
              <w:ind w:firstLine="0" w:firstLineChars="0"/>
              <w:rPr>
                <w:color w:val="000000"/>
                <w:kern w:val="0"/>
                <w:sz w:val="21"/>
                <w:szCs w:val="21"/>
              </w:rPr>
            </w:pPr>
          </w:p>
        </w:tc>
        <w:tc>
          <w:tcPr>
            <w:tcW w:w="357" w:type="pct"/>
            <w:vMerge w:val="restart"/>
            <w:shd w:val="clear" w:color="auto" w:fill="auto"/>
            <w:vAlign w:val="center"/>
          </w:tcPr>
          <w:p>
            <w:pPr>
              <w:widowControl/>
              <w:spacing w:line="240" w:lineRule="auto"/>
              <w:ind w:firstLine="0" w:firstLineChars="0"/>
              <w:rPr>
                <w:color w:val="000000"/>
                <w:kern w:val="0"/>
                <w:sz w:val="21"/>
                <w:szCs w:val="21"/>
              </w:rPr>
            </w:pPr>
            <w:r>
              <w:rPr>
                <w:color w:val="000000"/>
                <w:kern w:val="0"/>
                <w:sz w:val="21"/>
                <w:szCs w:val="21"/>
              </w:rPr>
              <w:t>6.1污染治理</w:t>
            </w: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6.1.1良好水体保护及地下水环境防治</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包括重要饮用水水源地达标建设、备用水源建设、水源涵养和生态修复，开展生物缓冲带建设，实施钻井、取水井封井回填，开展</w:t>
            </w:r>
            <w:r>
              <w:rPr>
                <w:color w:val="000000"/>
                <w:kern w:val="0"/>
                <w:sz w:val="21"/>
                <w:szCs w:val="21"/>
                <w:lang w:bidi="ar"/>
              </w:rPr>
              <w:t>石油化工、矿山开采、</w:t>
            </w:r>
            <w:r>
              <w:rPr>
                <w:color w:val="000000"/>
                <w:kern w:val="0"/>
                <w:sz w:val="21"/>
                <w:szCs w:val="21"/>
              </w:rPr>
              <w:t>农田等区域地下水污染区划、风险评估和污染治理等。</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水体环境质量达到《地表水环境质量标准》（GB 3838）相关指标要求。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1.6.1</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1.3.2.1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1.6</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6.1.2重点流域水环境治理</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包括开展重点流域水环境保护、水污染综合治理及生态修复等活动。</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符合《兰州市河道管理条例》及甘肃省黄河流域生态保护、水利规划等有关要求。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1.6.2</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1.3.2.2</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1.6</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6.1.3农村人居环境整治</w:t>
            </w:r>
          </w:p>
        </w:tc>
        <w:tc>
          <w:tcPr>
            <w:tcW w:w="106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ind w:firstLine="0" w:firstLineChars="0"/>
              <w:textAlignment w:val="auto"/>
              <w:rPr>
                <w:color w:val="000000"/>
                <w:kern w:val="0"/>
                <w:sz w:val="21"/>
                <w:szCs w:val="21"/>
              </w:rPr>
            </w:pPr>
            <w:r>
              <w:rPr>
                <w:color w:val="000000"/>
                <w:kern w:val="0"/>
                <w:sz w:val="21"/>
                <w:szCs w:val="21"/>
              </w:rPr>
              <w:t>包括为改善农村生产生活环境而进行的综合治理工程，如农村生活垃圾和污水处理设施建设和运营、农村河道综合治理、厕所粪污治理、村容村貌提升工程、农村饮水安全工程建设和运营等。</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lang w:bidi="ar"/>
              </w:rPr>
              <w:t xml:space="preserve">农村污水处理设施运行效果应不低于《农村生活污 </w:t>
            </w:r>
          </w:p>
          <w:p>
            <w:pPr>
              <w:widowControl/>
              <w:spacing w:line="300" w:lineRule="exact"/>
              <w:ind w:firstLine="0" w:firstLineChars="0"/>
              <w:rPr>
                <w:color w:val="000000"/>
                <w:kern w:val="0"/>
                <w:sz w:val="21"/>
                <w:szCs w:val="21"/>
              </w:rPr>
            </w:pPr>
            <w:r>
              <w:rPr>
                <w:color w:val="000000"/>
                <w:kern w:val="0"/>
                <w:sz w:val="21"/>
                <w:szCs w:val="21"/>
                <w:lang w:bidi="ar"/>
              </w:rPr>
              <w:t>水处理设施运行效果评价技术要求》（GB/T 40201）中良好等级。</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1.6.14</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1.3.5.2</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1.6</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2.5.11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restart"/>
            <w:shd w:val="clear" w:color="auto" w:fill="auto"/>
            <w:vAlign w:val="center"/>
          </w:tcPr>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6.2资源综合利用</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6.2资源综合利用</w:t>
            </w:r>
          </w:p>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6.2.1城乡生活垃圾综合利用</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生活垃圾、餐厨废弃物、城市污泥、建筑和交通道路、桥梁拆除废物等资源的无害化处理和资源化利用设施建设和运营。如生活垃圾分拣处理设施建设运营、垃圾焚烧电站建设运营，餐厨废弃物加工生产有机肥、生物柴油设施建设和运营等。</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装备、工艺、产品等需符合《生活垃圾综合处理与资源利用技术要求》（GB/T 25810）、《餐饮业餐厨废弃物处理与利用设备》（GB/T 28739）、《农用污泥污染物控制标准》(GB 4284)、《城镇污水处理厂污泥泥质》（GB/T 24188）、《城镇污水处理厂污染物排放标准》（GB 18918）、《城镇污水处理厂污泥处置混合填埋用泥质》（GB/T 23485）、《城镇污水处理厂污泥处置单独焚烧用泥质》（GB/T 24602）、《城镇污水处理厂污泥处置土地改良用泥质》（GB/T 24600）、《工程施工废弃物再生利用技术规范》（GB/T 50743）等国家标准。</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1.7.3</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1.5.3.1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1.7</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6.2.2废旧资源再生利用</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包括废旧金属、废橡胶、废塑料、废玻璃、废旧太阳能设备、废旧纺织品、废矿物油、废弃生物质等废旧资源的再生利用。</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再生利用资源、工艺、产品等需符合《铜及铜合金废料》（GB/T 13587）、《废钢铁》（GB 4223）、《电子废弃物中金属废料废件》（GB/T 27686）、《再生橡胶通用规范》（GB/T 13460）、《废弃电器电子产品回收处理管理条例》(国务院令第551号)、《再生利用品和再制造品通用要求及标识》（GB/T 27611）、《废弃电器电子产品处理污染控制技术规范》（HJ 527）、《废弃机电产品集中拆解利用处置区环境保护技术规范（试行）》(HJ/T 181)、《报废汽车回收拆解企业技术规范》（GB 22128）、《废润滑油回收与再生利用技术导则》（GB/T 17145）、《废矿物油回收利用污染控制技术规范》（HJ 607）、《固体生物质燃料样品制备方法》（GB/T 28730）等国家标准和行业标准。</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1.7.2</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1.5.2.2</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1.7</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restart"/>
            <w:shd w:val="clear" w:color="auto" w:fill="auto"/>
            <w:vAlign w:val="center"/>
          </w:tcPr>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6.3生态农林牧渔业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6.3生态农林牧渔业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6.3生态农林牧渔业</w:t>
            </w:r>
          </w:p>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6.3.1绿色畜牧业</w:t>
            </w:r>
          </w:p>
        </w:tc>
        <w:tc>
          <w:tcPr>
            <w:tcW w:w="1061" w:type="pct"/>
            <w:shd w:val="clear" w:color="auto" w:fill="auto"/>
            <w:vAlign w:val="center"/>
          </w:tcPr>
          <w:p>
            <w:pPr>
              <w:widowControl/>
              <w:spacing w:line="300" w:lineRule="exact"/>
              <w:ind w:firstLine="0" w:firstLineChars="0"/>
              <w:rPr>
                <w:color w:val="000000"/>
                <w:kern w:val="0"/>
                <w:sz w:val="21"/>
                <w:szCs w:val="21"/>
              </w:rPr>
            </w:pPr>
            <w:r>
              <w:rPr>
                <w:rFonts w:hint="eastAsia"/>
                <w:color w:val="000000"/>
                <w:kern w:val="0"/>
                <w:sz w:val="21"/>
                <w:szCs w:val="21"/>
              </w:rPr>
              <w:t>包括病死畜禽无害化处理体系、畜禽养殖废弃物贮存处理利用设施建设、智慧化等养殖系统建设，构建‘养殖+沼气+种植+加工’的种养加生态循环全产业链等</w:t>
            </w:r>
            <w:r>
              <w:rPr>
                <w:rFonts w:hint="eastAsia"/>
                <w:color w:val="000000"/>
                <w:kern w:val="0"/>
                <w:sz w:val="21"/>
                <w:szCs w:val="21"/>
                <w:lang w:eastAsia="zh-CN"/>
              </w:rPr>
              <w:t>。</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符合《畜禽规模养殖污染防治条例》、国务院《水污染防治行动计划》《关于建立病死畜禽无害化处理机制的意见》等法规和政策。</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4.1.8</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4.1.3.2</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4.1.4</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6.3.2现代农业种业及动植物种质资源保护</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包括开展国家动植物种质资源保护工程，设计相关项目，实现动植物品种资源的有效保护；农牧渔良种育繁推一体化项目。</w:t>
            </w:r>
          </w:p>
        </w:tc>
        <w:tc>
          <w:tcPr>
            <w:tcW w:w="943"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ind w:firstLine="0" w:firstLineChars="0"/>
              <w:textAlignment w:val="auto"/>
              <w:rPr>
                <w:color w:val="000000"/>
                <w:kern w:val="0"/>
                <w:sz w:val="21"/>
                <w:szCs w:val="21"/>
              </w:rPr>
            </w:pPr>
            <w:r>
              <w:rPr>
                <w:color w:val="000000"/>
                <w:kern w:val="0"/>
                <w:sz w:val="21"/>
                <w:szCs w:val="21"/>
              </w:rPr>
              <w:t>需符合《玉米种子生产技术操作规程》《棉花原种生产技术操作规程》《农作物种子检验规程总则》《草种子检验规程》《豆科草种子质量分级》《禾本科草种子质量分级》《草品种审定技术规程》《淡水鱼苗种池塘常规培育技术规范》《凡纳滨对虾育苗技术规范》《水产新品种审定技术规范》等国家标准和行业标准，以及各类水产养殖动植物的种质、亲本和苗种、繁育技术规范检验方法。</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4.1.1</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4.1.1.1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4.1.4</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9"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6.3.3绿色有机农业</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包括符合相关标准的绿色食品或有机农产品生产及大宗绿色农产品贸易活动；有机农产品和绿色食品生产相关设施建设。</w:t>
            </w:r>
          </w:p>
        </w:tc>
        <w:tc>
          <w:tcPr>
            <w:tcW w:w="943"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ind w:firstLine="0" w:firstLineChars="0"/>
              <w:textAlignment w:val="auto"/>
              <w:rPr>
                <w:color w:val="000000"/>
                <w:kern w:val="0"/>
                <w:sz w:val="21"/>
                <w:szCs w:val="21"/>
              </w:rPr>
            </w:pPr>
            <w:r>
              <w:rPr>
                <w:color w:val="000000"/>
                <w:kern w:val="0"/>
                <w:sz w:val="21"/>
                <w:szCs w:val="21"/>
              </w:rPr>
              <w:t>绿色食品生产产地环境质量符合《绿色食品产地环境技术条件》的要求，生产过程中不使用化学合成的肥料、农药、兽药、饲料添加剂、食品添加剂和其他有害于环境和身体健康的物质，按有机生产方式生产，产品质量需符合农业部绿色食品标准中AA级的要求；有机农产品的生产需满足《中华人民共和国有机产品标准》等其他同等级或更高级别的标准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4.1.2</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4.1.3.1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4.1.1</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9"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6.3.4绿色渔业</w:t>
            </w:r>
          </w:p>
          <w:p>
            <w:pPr>
              <w:widowControl/>
              <w:spacing w:line="300" w:lineRule="exact"/>
              <w:ind w:firstLine="0" w:firstLineChars="0"/>
              <w:rPr>
                <w:color w:val="000000"/>
                <w:kern w:val="0"/>
                <w:sz w:val="21"/>
                <w:szCs w:val="21"/>
              </w:rPr>
            </w:pP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包括碳汇渔业及净水渔业、池塘及工厂化循环水养殖、不投饵网箱养殖、水产品加工及副产物综合利用，生态健康养殖有关模式，推进捕捞、养殖、加工、渔港等各领域设施装备节能降碳更新改造等。</w:t>
            </w:r>
          </w:p>
          <w:p>
            <w:pPr>
              <w:widowControl/>
              <w:spacing w:line="300" w:lineRule="exact"/>
              <w:ind w:firstLine="0" w:firstLineChars="0"/>
              <w:rPr>
                <w:color w:val="000000"/>
                <w:kern w:val="0"/>
                <w:sz w:val="21"/>
                <w:szCs w:val="21"/>
              </w:rPr>
            </w:pPr>
          </w:p>
        </w:tc>
        <w:tc>
          <w:tcPr>
            <w:tcW w:w="943"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ind w:firstLine="0" w:firstLineChars="0"/>
              <w:jc w:val="left"/>
              <w:textAlignment w:val="auto"/>
              <w:rPr>
                <w:color w:val="000000"/>
                <w:kern w:val="0"/>
                <w:sz w:val="21"/>
                <w:szCs w:val="21"/>
              </w:rPr>
            </w:pPr>
            <w:r>
              <w:rPr>
                <w:color w:val="000000"/>
                <w:kern w:val="0"/>
                <w:sz w:val="21"/>
                <w:szCs w:val="21"/>
              </w:rPr>
              <w:t>符合《草型湖泊网围养殖技术规范养鱼、养蟹、鱼蟹混养》（SC/T 1091）、《淡水养殖池塘设施要求》（SC/T 6048）、《淡水网箱养鱼通用技术要求》（SC/T 1006）、《水产制品生产卫生规范》（GB 20941）等国家、地方、行业相关标准规范要求。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p>
            <w:pPr>
              <w:widowControl/>
              <w:spacing w:line="300" w:lineRule="exact"/>
              <w:ind w:firstLine="0" w:firstLineChars="0"/>
              <w:jc w:val="center"/>
              <w:rPr>
                <w:color w:val="000000"/>
                <w:kern w:val="0"/>
                <w:sz w:val="21"/>
                <w:szCs w:val="21"/>
              </w:rPr>
            </w:pP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4.1.9</w:t>
            </w:r>
          </w:p>
          <w:p>
            <w:pPr>
              <w:widowControl/>
              <w:spacing w:line="300" w:lineRule="exact"/>
              <w:ind w:firstLine="0" w:firstLineChars="0"/>
              <w:jc w:val="center"/>
              <w:rPr>
                <w:color w:val="000000"/>
                <w:kern w:val="0"/>
                <w:sz w:val="21"/>
                <w:szCs w:val="21"/>
              </w:rPr>
            </w:pP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4.1.3.3</w:t>
            </w:r>
          </w:p>
          <w:p>
            <w:pPr>
              <w:widowControl/>
              <w:spacing w:line="300" w:lineRule="exact"/>
              <w:ind w:firstLine="0" w:firstLineChars="0"/>
              <w:jc w:val="center"/>
              <w:rPr>
                <w:color w:val="000000"/>
                <w:kern w:val="0"/>
                <w:sz w:val="21"/>
                <w:szCs w:val="21"/>
              </w:rPr>
            </w:pP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4.1.4</w:t>
            </w:r>
          </w:p>
          <w:p>
            <w:pPr>
              <w:widowControl/>
              <w:spacing w:line="300" w:lineRule="exact"/>
              <w:ind w:firstLine="0" w:firstLineChars="0"/>
              <w:jc w:val="center"/>
              <w:rPr>
                <w:color w:val="000000"/>
                <w:kern w:val="0"/>
                <w:sz w:val="21"/>
                <w:szCs w:val="21"/>
              </w:rPr>
            </w:pP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5.1.14</w:t>
            </w:r>
          </w:p>
          <w:p>
            <w:pPr>
              <w:widowControl/>
              <w:spacing w:line="300" w:lineRule="exact"/>
              <w:ind w:firstLine="0" w:firstLineChars="0"/>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6.3.5碳汇林、植树种草及林木种苗花卉</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具有显著碳汇效应或具有显著改善环境、净化空气作用的林木草植培育、种植活动。</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lang w:bidi="ar"/>
              </w:rPr>
              <w:t>符合《碳汇造林技术规程》（LY/T 2252）、《碳汇造林项目计量监测指（LY/T 2253）等行业标准</w:t>
            </w:r>
            <w:r>
              <w:rPr>
                <w:color w:val="000000"/>
                <w:kern w:val="0"/>
                <w:sz w:val="21"/>
                <w:szCs w:val="21"/>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G3</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4.1.6</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4.2.2.3</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6.3.6农作物种植保护地、保护区建设和运营</w:t>
            </w:r>
          </w:p>
        </w:tc>
        <w:tc>
          <w:tcPr>
            <w:tcW w:w="106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ind w:firstLine="0" w:firstLineChars="0"/>
              <w:textAlignment w:val="auto"/>
              <w:rPr>
                <w:color w:val="000000"/>
                <w:kern w:val="0"/>
                <w:sz w:val="21"/>
                <w:szCs w:val="21"/>
              </w:rPr>
            </w:pPr>
            <w:r>
              <w:rPr>
                <w:color w:val="000000"/>
                <w:kern w:val="0"/>
                <w:sz w:val="21"/>
                <w:szCs w:val="21"/>
              </w:rPr>
              <w:t>在划定的永久基本农田区域因地制宜开展的零星分散耕地整合归并、土地复垦及耕地提质改造工程；在永久基本农田开展的退化耕地综合治理、中低产田改造、高标准农田建设等耕地质量提升工程；耕地占补平衡项目中被占用耕地表土剥离用于新增耕地、劣质地或基本农田整备区耕地土壤改良工程，以及农田水利设施建设、耕地保水保肥、污控修复等活动。其中，禁止开垦、复垦严重沙化土地，禁止违规毁林开垦耕地。</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需符合《保护农作物的大气污染物最高允许浓度》（GB 9137）、《土壤环境质量农用地土壤污染风险管控标准（试行）》（GB 15618）、《高标准农田建设通则》（GB/T 30600）、《粮食生产功能区和重要农产品生产保护区划定技术规程（试行）》等有关政策和国家、地方相关标准规范要求。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4.1.3</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4.1.1.2</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restart"/>
            <w:vAlign w:val="center"/>
          </w:tcPr>
          <w:p>
            <w:pPr>
              <w:widowControl/>
              <w:spacing w:line="240" w:lineRule="auto"/>
              <w:ind w:firstLine="0" w:firstLineChars="0"/>
              <w:rPr>
                <w:rFonts w:hint="eastAsia"/>
                <w:color w:val="000000"/>
                <w:kern w:val="0"/>
                <w:sz w:val="21"/>
                <w:szCs w:val="21"/>
                <w:lang w:val="en-US" w:eastAsia="zh-CN"/>
              </w:rPr>
            </w:pPr>
          </w:p>
          <w:p>
            <w:pPr>
              <w:widowControl/>
              <w:spacing w:line="240" w:lineRule="auto"/>
              <w:ind w:firstLine="0" w:firstLineChars="0"/>
              <w:rPr>
                <w:rFonts w:hint="eastAsia"/>
                <w:color w:val="000000"/>
                <w:kern w:val="0"/>
                <w:sz w:val="21"/>
                <w:szCs w:val="21"/>
                <w:lang w:val="en-US" w:eastAsia="zh-CN"/>
              </w:rPr>
            </w:pPr>
          </w:p>
          <w:p>
            <w:pPr>
              <w:widowControl/>
              <w:spacing w:line="240" w:lineRule="auto"/>
              <w:ind w:firstLine="0" w:firstLineChars="0"/>
              <w:rPr>
                <w:rFonts w:hint="eastAsia"/>
                <w:color w:val="000000"/>
                <w:kern w:val="0"/>
                <w:sz w:val="21"/>
                <w:szCs w:val="21"/>
                <w:lang w:val="en-US" w:eastAsia="zh-CN"/>
              </w:rPr>
            </w:pPr>
          </w:p>
          <w:p>
            <w:pPr>
              <w:widowControl/>
              <w:spacing w:line="240" w:lineRule="auto"/>
              <w:ind w:firstLine="0" w:firstLineChars="0"/>
              <w:rPr>
                <w:rFonts w:hint="eastAsia"/>
                <w:color w:val="000000"/>
                <w:kern w:val="0"/>
                <w:sz w:val="21"/>
                <w:szCs w:val="21"/>
                <w:lang w:val="en-US" w:eastAsia="zh-CN"/>
              </w:rPr>
            </w:pPr>
            <w:r>
              <w:rPr>
                <w:rFonts w:hint="eastAsia"/>
                <w:color w:val="000000"/>
                <w:kern w:val="0"/>
                <w:sz w:val="21"/>
                <w:szCs w:val="21"/>
                <w:lang w:val="en-US" w:eastAsia="zh-CN"/>
              </w:rPr>
              <w:t>6.4生态修复</w:t>
            </w:r>
          </w:p>
          <w:p>
            <w:pPr>
              <w:widowControl/>
              <w:spacing w:line="240" w:lineRule="auto"/>
              <w:ind w:firstLine="0" w:firstLineChars="0"/>
              <w:rPr>
                <w:rFonts w:hint="eastAsia"/>
                <w:color w:val="000000"/>
                <w:kern w:val="0"/>
                <w:sz w:val="21"/>
                <w:szCs w:val="21"/>
                <w:lang w:val="en-US" w:eastAsia="zh-CN"/>
              </w:rPr>
            </w:pPr>
          </w:p>
          <w:p>
            <w:pPr>
              <w:widowControl/>
              <w:spacing w:line="240" w:lineRule="auto"/>
              <w:ind w:firstLine="0" w:firstLineChars="0"/>
              <w:rPr>
                <w:rFonts w:hint="eastAsia"/>
                <w:color w:val="000000"/>
                <w:kern w:val="0"/>
                <w:sz w:val="21"/>
                <w:szCs w:val="21"/>
                <w:lang w:val="en-US" w:eastAsia="zh-CN"/>
              </w:rPr>
            </w:pPr>
          </w:p>
          <w:p>
            <w:pPr>
              <w:widowControl/>
              <w:spacing w:line="240" w:lineRule="auto"/>
              <w:ind w:firstLine="0" w:firstLineChars="0"/>
              <w:rPr>
                <w:rFonts w:hint="eastAsia"/>
                <w:color w:val="000000"/>
                <w:kern w:val="0"/>
                <w:sz w:val="21"/>
                <w:szCs w:val="21"/>
                <w:lang w:val="en-US" w:eastAsia="zh-CN"/>
              </w:rPr>
            </w:pPr>
          </w:p>
          <w:p>
            <w:pPr>
              <w:widowControl/>
              <w:spacing w:line="240" w:lineRule="auto"/>
              <w:ind w:firstLine="0" w:firstLineChars="0"/>
              <w:rPr>
                <w:rFonts w:hint="eastAsia"/>
                <w:color w:val="000000"/>
                <w:kern w:val="0"/>
                <w:sz w:val="21"/>
                <w:szCs w:val="21"/>
                <w:lang w:val="en-US" w:eastAsia="zh-CN"/>
              </w:rPr>
            </w:pPr>
          </w:p>
          <w:p>
            <w:pPr>
              <w:widowControl/>
              <w:spacing w:line="240" w:lineRule="auto"/>
              <w:ind w:firstLine="0" w:firstLineChars="0"/>
              <w:rPr>
                <w:rFonts w:hint="eastAsia"/>
                <w:color w:val="000000"/>
                <w:kern w:val="0"/>
                <w:sz w:val="21"/>
                <w:szCs w:val="21"/>
                <w:lang w:val="en-US" w:eastAsia="zh-CN"/>
              </w:rPr>
            </w:pPr>
          </w:p>
          <w:p>
            <w:pPr>
              <w:widowControl/>
              <w:spacing w:line="240" w:lineRule="auto"/>
              <w:ind w:firstLine="0" w:firstLineChars="0"/>
              <w:rPr>
                <w:rFonts w:hint="eastAsia"/>
                <w:color w:val="000000"/>
                <w:kern w:val="0"/>
                <w:sz w:val="21"/>
                <w:szCs w:val="21"/>
                <w:lang w:val="en-US" w:eastAsia="zh-CN"/>
              </w:rPr>
            </w:pPr>
          </w:p>
          <w:p>
            <w:pPr>
              <w:widowControl/>
              <w:spacing w:line="240" w:lineRule="auto"/>
              <w:ind w:firstLine="0" w:firstLineChars="0"/>
              <w:rPr>
                <w:rFonts w:hint="default"/>
                <w:color w:val="000000"/>
                <w:kern w:val="0"/>
                <w:sz w:val="21"/>
                <w:szCs w:val="21"/>
                <w:lang w:val="en-US" w:eastAsia="zh-CN"/>
              </w:rPr>
            </w:pPr>
            <w:r>
              <w:rPr>
                <w:rFonts w:hint="eastAsia"/>
                <w:color w:val="000000"/>
                <w:kern w:val="0"/>
                <w:sz w:val="21"/>
                <w:szCs w:val="21"/>
                <w:lang w:val="en-US" w:eastAsia="zh-CN"/>
              </w:rPr>
              <w:t>6.4生态修复</w:t>
            </w:r>
          </w:p>
        </w:tc>
        <w:tc>
          <w:tcPr>
            <w:tcW w:w="534" w:type="pct"/>
            <w:shd w:val="clear" w:color="auto" w:fill="auto"/>
            <w:vAlign w:val="center"/>
          </w:tcPr>
          <w:p>
            <w:pPr>
              <w:widowControl/>
              <w:spacing w:line="300" w:lineRule="exact"/>
              <w:ind w:firstLine="0" w:firstLineChars="0"/>
              <w:rPr>
                <w:rFonts w:ascii="Times New Roman" w:hAnsi="Times New Roman" w:eastAsia="仿宋" w:cs="Times New Roman"/>
                <w:color w:val="000000"/>
                <w:kern w:val="0"/>
                <w:sz w:val="21"/>
                <w:szCs w:val="21"/>
                <w:lang w:val="en-US" w:eastAsia="zh-CN" w:bidi="ar-SA"/>
              </w:rPr>
            </w:pPr>
            <w:r>
              <w:rPr>
                <w:color w:val="000000"/>
                <w:kern w:val="0"/>
                <w:sz w:val="21"/>
                <w:szCs w:val="21"/>
              </w:rPr>
              <w:t>6.</w:t>
            </w:r>
            <w:r>
              <w:rPr>
                <w:rFonts w:hint="eastAsia"/>
                <w:color w:val="000000"/>
                <w:kern w:val="0"/>
                <w:sz w:val="21"/>
                <w:szCs w:val="21"/>
                <w:lang w:val="en-US" w:eastAsia="zh-CN"/>
              </w:rPr>
              <w:t>4</w:t>
            </w:r>
            <w:r>
              <w:rPr>
                <w:color w:val="000000"/>
                <w:kern w:val="0"/>
                <w:sz w:val="21"/>
                <w:szCs w:val="21"/>
              </w:rPr>
              <w:t>.</w:t>
            </w:r>
            <w:r>
              <w:rPr>
                <w:rFonts w:hint="eastAsia"/>
                <w:color w:val="000000"/>
                <w:kern w:val="0"/>
                <w:sz w:val="21"/>
                <w:szCs w:val="21"/>
                <w:lang w:val="en-US" w:eastAsia="zh-CN"/>
              </w:rPr>
              <w:t>1</w:t>
            </w:r>
            <w:r>
              <w:rPr>
                <w:color w:val="000000"/>
                <w:kern w:val="0"/>
                <w:sz w:val="21"/>
                <w:szCs w:val="21"/>
              </w:rPr>
              <w:t>生态功能区建设维护和运营</w:t>
            </w:r>
          </w:p>
        </w:tc>
        <w:tc>
          <w:tcPr>
            <w:tcW w:w="1061" w:type="pct"/>
            <w:shd w:val="clear" w:color="auto" w:fill="auto"/>
            <w:vAlign w:val="center"/>
          </w:tcPr>
          <w:p>
            <w:pPr>
              <w:widowControl/>
              <w:spacing w:line="300" w:lineRule="exact"/>
              <w:ind w:firstLine="0" w:firstLineChars="0"/>
              <w:rPr>
                <w:rFonts w:ascii="Times New Roman" w:hAnsi="Times New Roman" w:eastAsia="仿宋" w:cs="Times New Roman"/>
                <w:color w:val="000000"/>
                <w:kern w:val="0"/>
                <w:sz w:val="21"/>
                <w:szCs w:val="21"/>
                <w:lang w:val="en-US" w:eastAsia="zh-CN" w:bidi="ar-SA"/>
              </w:rPr>
            </w:pPr>
            <w:r>
              <w:rPr>
                <w:color w:val="000000"/>
                <w:kern w:val="0"/>
                <w:sz w:val="21"/>
                <w:szCs w:val="21"/>
              </w:rPr>
              <w:t>对生态功能区和生态功能退化的区域进行的治理、修复和保护工程建设，如水土流失综合治理、荒漠化石漠化治理、矿山地质环境保护和生态恢复、自然保护区建设等。</w:t>
            </w:r>
          </w:p>
        </w:tc>
        <w:tc>
          <w:tcPr>
            <w:tcW w:w="943" w:type="pct"/>
            <w:shd w:val="clear" w:color="auto" w:fill="auto"/>
            <w:vAlign w:val="center"/>
          </w:tcPr>
          <w:p>
            <w:pPr>
              <w:widowControl/>
              <w:spacing w:line="300" w:lineRule="exact"/>
              <w:ind w:firstLine="0" w:firstLineChars="0"/>
              <w:jc w:val="center"/>
              <w:rPr>
                <w:rFonts w:ascii="Times New Roman" w:hAnsi="Times New Roman" w:eastAsia="仿宋" w:cs="Times New Roman"/>
                <w:color w:val="000000"/>
                <w:kern w:val="0"/>
                <w:sz w:val="21"/>
                <w:szCs w:val="21"/>
                <w:lang w:val="en-US" w:eastAsia="zh-CN" w:bidi="ar-SA"/>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rFonts w:ascii="Times New Roman" w:hAnsi="Times New Roman" w:eastAsia="仿宋" w:cs="Times New Roman"/>
                <w:color w:val="000000"/>
                <w:kern w:val="0"/>
                <w:sz w:val="21"/>
                <w:szCs w:val="21"/>
                <w:lang w:val="en-US" w:eastAsia="zh-CN" w:bidi="ar-SA"/>
              </w:rPr>
            </w:pPr>
            <w:bookmarkStart w:id="18" w:name="OLE_LINK16"/>
            <w:r>
              <w:rPr>
                <w:color w:val="000000"/>
                <w:kern w:val="0"/>
                <w:sz w:val="21"/>
                <w:szCs w:val="21"/>
              </w:rPr>
              <w:t>G1</w:t>
            </w:r>
            <w:bookmarkEnd w:id="18"/>
          </w:p>
        </w:tc>
        <w:tc>
          <w:tcPr>
            <w:tcW w:w="394" w:type="pct"/>
            <w:shd w:val="clear" w:color="auto" w:fill="auto"/>
            <w:vAlign w:val="center"/>
          </w:tcPr>
          <w:p>
            <w:pPr>
              <w:widowControl/>
              <w:spacing w:line="300" w:lineRule="exact"/>
              <w:ind w:firstLine="0" w:firstLineChars="0"/>
              <w:jc w:val="center"/>
              <w:rPr>
                <w:rFonts w:hint="default" w:ascii="Times New Roman" w:hAnsi="Times New Roman" w:eastAsia="仿宋" w:cs="Times New Roman"/>
                <w:color w:val="000000"/>
                <w:kern w:val="0"/>
                <w:sz w:val="21"/>
                <w:szCs w:val="21"/>
                <w:lang w:val="en-US" w:eastAsia="zh-CN" w:bidi="ar-SA"/>
              </w:rPr>
            </w:pPr>
            <w:r>
              <w:rPr>
                <w:rFonts w:hint="eastAsia"/>
                <w:color w:val="000000"/>
                <w:kern w:val="0"/>
                <w:sz w:val="21"/>
                <w:szCs w:val="21"/>
                <w:lang w:val="en-US" w:eastAsia="zh-CN"/>
              </w:rPr>
              <w:t>4.2.4</w:t>
            </w:r>
          </w:p>
        </w:tc>
        <w:tc>
          <w:tcPr>
            <w:tcW w:w="350" w:type="pct"/>
            <w:shd w:val="clear" w:color="auto" w:fill="auto"/>
            <w:vAlign w:val="center"/>
          </w:tcPr>
          <w:p>
            <w:pPr>
              <w:widowControl/>
              <w:spacing w:line="300" w:lineRule="exact"/>
              <w:ind w:firstLine="0" w:firstLineChars="0"/>
              <w:jc w:val="center"/>
              <w:rPr>
                <w:rFonts w:ascii="Times New Roman" w:hAnsi="Times New Roman" w:eastAsia="仿宋" w:cs="Times New Roman"/>
                <w:color w:val="000000"/>
                <w:kern w:val="0"/>
                <w:sz w:val="21"/>
                <w:szCs w:val="21"/>
                <w:lang w:val="en-US" w:eastAsia="zh-CN" w:bidi="ar-SA"/>
              </w:rPr>
            </w:pPr>
            <w:r>
              <w:rPr>
                <w:color w:val="000000"/>
                <w:kern w:val="0"/>
                <w:sz w:val="21"/>
                <w:szCs w:val="21"/>
              </w:rPr>
              <w:t>4.2.1.4</w:t>
            </w:r>
          </w:p>
        </w:tc>
        <w:tc>
          <w:tcPr>
            <w:tcW w:w="343" w:type="pct"/>
            <w:shd w:val="clear" w:color="auto" w:fill="auto"/>
            <w:vAlign w:val="center"/>
          </w:tcPr>
          <w:p>
            <w:pPr>
              <w:widowControl/>
              <w:spacing w:line="300" w:lineRule="exact"/>
              <w:ind w:firstLine="0" w:firstLineChars="0"/>
              <w:jc w:val="center"/>
              <w:rPr>
                <w:rFonts w:hint="default" w:ascii="Times New Roman" w:hAnsi="Times New Roman" w:eastAsia="仿宋" w:cs="Times New Roman"/>
                <w:color w:val="000000"/>
                <w:kern w:val="0"/>
                <w:sz w:val="21"/>
                <w:szCs w:val="21"/>
                <w:lang w:val="en-US" w:eastAsia="zh-CN" w:bidi="ar-SA"/>
              </w:rPr>
            </w:pPr>
            <w:r>
              <w:rPr>
                <w:rFonts w:hint="eastAsia"/>
                <w:color w:val="000000"/>
                <w:kern w:val="0"/>
                <w:sz w:val="21"/>
                <w:szCs w:val="21"/>
                <w:lang w:val="en-US" w:eastAsia="zh-CN"/>
              </w:rPr>
              <w:t>4.2</w:t>
            </w:r>
          </w:p>
        </w:tc>
        <w:tc>
          <w:tcPr>
            <w:tcW w:w="411" w:type="pct"/>
            <w:shd w:val="clear" w:color="auto" w:fill="auto"/>
            <w:vAlign w:val="center"/>
          </w:tcPr>
          <w:p>
            <w:pPr>
              <w:widowControl/>
              <w:spacing w:line="300" w:lineRule="exact"/>
              <w:ind w:firstLine="0" w:firstLineChars="0"/>
              <w:jc w:val="center"/>
              <w:rPr>
                <w:rFonts w:ascii="Times New Roman" w:hAnsi="Times New Roman" w:eastAsia="仿宋" w:cs="Times New Roman"/>
                <w:color w:val="000000"/>
                <w:kern w:val="0"/>
                <w:sz w:val="21"/>
                <w:szCs w:val="21"/>
                <w:lang w:val="en-US" w:eastAsia="zh-CN" w:bidi="ar-SA"/>
              </w:rPr>
            </w:pPr>
            <w:r>
              <w:rPr>
                <w:rFonts w:hint="eastAsia"/>
                <w:color w:val="000000"/>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rFonts w:hint="eastAsia"/>
                <w:color w:val="000000"/>
                <w:kern w:val="0"/>
                <w:sz w:val="21"/>
                <w:szCs w:val="21"/>
                <w:lang w:val="en-US" w:eastAsia="zh-CN"/>
              </w:rPr>
            </w:pPr>
          </w:p>
        </w:tc>
        <w:tc>
          <w:tcPr>
            <w:tcW w:w="534" w:type="pct"/>
            <w:shd w:val="clear" w:color="auto" w:fill="auto"/>
            <w:vAlign w:val="center"/>
          </w:tcPr>
          <w:p>
            <w:pPr>
              <w:widowControl/>
              <w:spacing w:line="300" w:lineRule="exact"/>
              <w:ind w:firstLine="0" w:firstLineChars="0"/>
              <w:rPr>
                <w:color w:val="000000"/>
                <w:kern w:val="0"/>
                <w:sz w:val="21"/>
                <w:szCs w:val="21"/>
              </w:rPr>
            </w:pPr>
            <w:r>
              <w:rPr>
                <w:rFonts w:hint="eastAsia"/>
                <w:color w:val="000000"/>
                <w:kern w:val="0"/>
                <w:sz w:val="21"/>
                <w:szCs w:val="21"/>
                <w:lang w:val="en-US" w:eastAsia="zh-CN"/>
              </w:rPr>
              <w:t>6.4.2</w:t>
            </w:r>
            <w:r>
              <w:rPr>
                <w:rFonts w:hint="eastAsia"/>
                <w:color w:val="000000"/>
                <w:kern w:val="0"/>
                <w:sz w:val="21"/>
                <w:szCs w:val="21"/>
              </w:rPr>
              <w:t>水生态系统旱涝灾害防控及应对</w:t>
            </w:r>
          </w:p>
        </w:tc>
        <w:tc>
          <w:tcPr>
            <w:tcW w:w="1061" w:type="pct"/>
            <w:shd w:val="clear" w:color="auto" w:fill="auto"/>
            <w:vAlign w:val="center"/>
          </w:tcPr>
          <w:p>
            <w:pPr>
              <w:widowControl/>
              <w:spacing w:line="300" w:lineRule="exact"/>
              <w:ind w:firstLine="0" w:firstLineChars="0"/>
              <w:rPr>
                <w:color w:val="000000"/>
                <w:kern w:val="0"/>
                <w:sz w:val="21"/>
                <w:szCs w:val="21"/>
              </w:rPr>
            </w:pPr>
            <w:r>
              <w:rPr>
                <w:rFonts w:hint="eastAsia"/>
                <w:color w:val="000000"/>
                <w:kern w:val="0"/>
                <w:sz w:val="21"/>
                <w:szCs w:val="21"/>
              </w:rPr>
              <w:t>包括自然水系连通恢复、水利设施建设、湿地恢复、灾害预警信息平台建设等水生态系统灾害防控及应对设施建设和运营。</w:t>
            </w:r>
          </w:p>
        </w:tc>
        <w:tc>
          <w:tcPr>
            <w:tcW w:w="943" w:type="pct"/>
            <w:shd w:val="clear" w:color="auto" w:fill="auto"/>
            <w:vAlign w:val="center"/>
          </w:tcPr>
          <w:p>
            <w:pPr>
              <w:widowControl/>
              <w:spacing w:line="300" w:lineRule="exact"/>
              <w:ind w:firstLine="0" w:firstLineChars="0"/>
              <w:rPr>
                <w:color w:val="000000"/>
                <w:kern w:val="0"/>
                <w:sz w:val="21"/>
                <w:szCs w:val="21"/>
              </w:rPr>
            </w:pPr>
            <w:r>
              <w:rPr>
                <w:rFonts w:hint="eastAsia"/>
                <w:color w:val="000000"/>
                <w:kern w:val="0"/>
                <w:sz w:val="21"/>
                <w:szCs w:val="21"/>
              </w:rPr>
              <w:t>需符合《洪涝灾情评估标准》（SL 579）、《湿地生态风险评估技术规范》（GB/T 27647）等国家、地方、行业相关标准规范要求。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4.3.9</w:t>
            </w:r>
          </w:p>
        </w:tc>
        <w:tc>
          <w:tcPr>
            <w:tcW w:w="350" w:type="pct"/>
            <w:shd w:val="clear" w:color="auto" w:fill="auto"/>
            <w:vAlign w:val="center"/>
          </w:tcPr>
          <w:p>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4.2.1.11</w:t>
            </w:r>
          </w:p>
        </w:tc>
        <w:tc>
          <w:tcPr>
            <w:tcW w:w="343" w:type="pct"/>
            <w:shd w:val="clear" w:color="auto" w:fill="auto"/>
            <w:vAlign w:val="center"/>
          </w:tcPr>
          <w:p>
            <w:pPr>
              <w:widowControl/>
              <w:spacing w:line="300" w:lineRule="exact"/>
              <w:ind w:firstLine="0" w:firstLineChars="0"/>
              <w:jc w:val="center"/>
              <w:rPr>
                <w:rFonts w:hint="default"/>
                <w:color w:val="000000"/>
                <w:kern w:val="0"/>
                <w:sz w:val="21"/>
                <w:szCs w:val="21"/>
                <w:lang w:val="en-US" w:eastAsia="zh-CN"/>
              </w:rPr>
            </w:pPr>
            <w:r>
              <w:rPr>
                <w:rFonts w:hint="eastAsia"/>
                <w:color w:val="000000"/>
                <w:kern w:val="0"/>
                <w:sz w:val="21"/>
                <w:szCs w:val="21"/>
                <w:lang w:val="en-US" w:eastAsia="zh-CN"/>
              </w:rPr>
              <w:t>4.3</w:t>
            </w:r>
          </w:p>
        </w:tc>
        <w:tc>
          <w:tcPr>
            <w:tcW w:w="411" w:type="pct"/>
            <w:shd w:val="clear" w:color="auto" w:fill="auto"/>
            <w:vAlign w:val="center"/>
          </w:tcPr>
          <w:p>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5.3.9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rFonts w:hint="eastAsia"/>
                <w:color w:val="000000"/>
                <w:kern w:val="0"/>
                <w:sz w:val="21"/>
                <w:szCs w:val="21"/>
                <w:lang w:val="en-US" w:eastAsia="zh-CN"/>
              </w:rPr>
            </w:pPr>
          </w:p>
        </w:tc>
        <w:tc>
          <w:tcPr>
            <w:tcW w:w="534" w:type="pct"/>
            <w:shd w:val="clear" w:color="auto" w:fill="auto"/>
            <w:vAlign w:val="center"/>
          </w:tcPr>
          <w:p>
            <w:pPr>
              <w:widowControl/>
              <w:spacing w:line="300" w:lineRule="exact"/>
              <w:ind w:firstLine="0" w:firstLineChars="0"/>
              <w:rPr>
                <w:rFonts w:hint="default" w:eastAsia="仿宋"/>
                <w:color w:val="000000"/>
                <w:kern w:val="0"/>
                <w:sz w:val="21"/>
                <w:szCs w:val="21"/>
                <w:lang w:val="en-US" w:eastAsia="zh-CN"/>
              </w:rPr>
            </w:pPr>
            <w:r>
              <w:rPr>
                <w:rFonts w:hint="eastAsia"/>
                <w:color w:val="000000"/>
                <w:kern w:val="0"/>
                <w:sz w:val="21"/>
                <w:szCs w:val="21"/>
                <w:lang w:val="en-US" w:eastAsia="zh-CN"/>
              </w:rPr>
              <w:t>6.4.3</w:t>
            </w:r>
            <w:bookmarkStart w:id="19" w:name="OLE_LINK17"/>
            <w:r>
              <w:rPr>
                <w:rFonts w:hint="eastAsia"/>
                <w:color w:val="000000"/>
                <w:kern w:val="0"/>
                <w:sz w:val="21"/>
                <w:szCs w:val="21"/>
              </w:rPr>
              <w:t>退耕还林还草和退牧还草工程建设</w:t>
            </w:r>
            <w:bookmarkEnd w:id="19"/>
          </w:p>
        </w:tc>
        <w:tc>
          <w:tcPr>
            <w:tcW w:w="1061" w:type="pct"/>
            <w:shd w:val="clear" w:color="auto" w:fill="auto"/>
            <w:vAlign w:val="center"/>
          </w:tcPr>
          <w:p>
            <w:pPr>
              <w:widowControl/>
              <w:spacing w:line="300" w:lineRule="exact"/>
              <w:ind w:firstLine="0" w:firstLineChars="0"/>
              <w:rPr>
                <w:rFonts w:hint="eastAsia"/>
                <w:color w:val="000000"/>
                <w:kern w:val="0"/>
                <w:sz w:val="21"/>
                <w:szCs w:val="21"/>
                <w:lang w:eastAsia="zh-CN"/>
              </w:rPr>
            </w:pPr>
            <w:r>
              <w:rPr>
                <w:rFonts w:hint="eastAsia"/>
                <w:color w:val="000000"/>
                <w:kern w:val="0"/>
                <w:sz w:val="21"/>
                <w:szCs w:val="21"/>
              </w:rPr>
              <w:t>包括为保护生态环境，在水土流失严重、沙化、盐碱化、石漠化严重耕地实施的有计划、有步骤停止耕种，因地制宜种草造林、恢复植被、抑制生态环境恶化的活动；以及为抑制草场退化，开展的禁牧封育、草原围栏、舍饲棚圈、人工饲草地建设等草原生态保护设施建设活动</w:t>
            </w:r>
            <w:r>
              <w:rPr>
                <w:rFonts w:hint="eastAsia"/>
                <w:color w:val="000000"/>
                <w:kern w:val="0"/>
                <w:sz w:val="21"/>
                <w:szCs w:val="21"/>
                <w:lang w:eastAsia="zh-CN"/>
              </w:rPr>
              <w:t>。</w:t>
            </w:r>
          </w:p>
          <w:p>
            <w:pPr>
              <w:widowControl/>
              <w:spacing w:line="300" w:lineRule="exact"/>
              <w:ind w:firstLine="0" w:firstLineChars="0"/>
              <w:rPr>
                <w:rFonts w:hint="eastAsia"/>
                <w:color w:val="000000"/>
                <w:kern w:val="0"/>
                <w:sz w:val="21"/>
                <w:szCs w:val="21"/>
                <w:lang w:eastAsia="zh-CN"/>
              </w:rPr>
            </w:pPr>
          </w:p>
        </w:tc>
        <w:tc>
          <w:tcPr>
            <w:tcW w:w="943" w:type="pct"/>
            <w:shd w:val="clear" w:color="auto" w:fill="auto"/>
            <w:vAlign w:val="center"/>
          </w:tcPr>
          <w:p>
            <w:pPr>
              <w:widowControl/>
              <w:spacing w:line="300" w:lineRule="exact"/>
              <w:ind w:firstLine="0" w:firstLineChars="0"/>
              <w:rPr>
                <w:rFonts w:hint="eastAsia" w:eastAsia="仿宋"/>
                <w:color w:val="000000"/>
                <w:kern w:val="0"/>
                <w:sz w:val="21"/>
                <w:szCs w:val="21"/>
                <w:lang w:eastAsia="zh-CN"/>
              </w:rPr>
            </w:pPr>
            <w:r>
              <w:rPr>
                <w:rFonts w:hint="eastAsia"/>
                <w:color w:val="000000"/>
                <w:kern w:val="0"/>
                <w:sz w:val="21"/>
                <w:szCs w:val="21"/>
              </w:rPr>
              <w:t>需符合《退耕还林工程建设效益监测评价》（GB/T 23233）、《退耕还林工程检查验收规则》（GB/T 23231）、《退耕还林工程质量评估指标与方法》（GB/T23235）等国家、地方有关法规政策和相关标准规范要求</w:t>
            </w:r>
            <w:r>
              <w:rPr>
                <w:rFonts w:hint="eastAsia"/>
                <w:color w:val="000000"/>
                <w:kern w:val="0"/>
                <w:sz w:val="21"/>
                <w:szCs w:val="21"/>
                <w:lang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G1</w:t>
            </w:r>
          </w:p>
        </w:tc>
        <w:tc>
          <w:tcPr>
            <w:tcW w:w="394" w:type="pct"/>
            <w:shd w:val="clear" w:color="auto" w:fill="auto"/>
            <w:vAlign w:val="center"/>
          </w:tcPr>
          <w:p>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4.3.1</w:t>
            </w:r>
          </w:p>
        </w:tc>
        <w:tc>
          <w:tcPr>
            <w:tcW w:w="350" w:type="pct"/>
            <w:shd w:val="clear" w:color="auto" w:fill="auto"/>
            <w:vAlign w:val="center"/>
          </w:tcPr>
          <w:p>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4.2.1.5</w:t>
            </w:r>
          </w:p>
        </w:tc>
        <w:tc>
          <w:tcPr>
            <w:tcW w:w="343" w:type="pct"/>
            <w:shd w:val="clear" w:color="auto" w:fill="auto"/>
            <w:vAlign w:val="center"/>
          </w:tcPr>
          <w:p>
            <w:pPr>
              <w:widowControl/>
              <w:spacing w:line="300" w:lineRule="exact"/>
              <w:ind w:firstLine="0" w:firstLineChars="0"/>
              <w:jc w:val="center"/>
              <w:rPr>
                <w:rFonts w:hint="default"/>
                <w:color w:val="000000"/>
                <w:kern w:val="0"/>
                <w:sz w:val="21"/>
                <w:szCs w:val="21"/>
                <w:lang w:val="en-US" w:eastAsia="zh-CN"/>
              </w:rPr>
            </w:pPr>
            <w:r>
              <w:rPr>
                <w:rFonts w:hint="eastAsia"/>
                <w:color w:val="000000"/>
                <w:kern w:val="0"/>
                <w:sz w:val="21"/>
                <w:szCs w:val="21"/>
                <w:lang w:val="en-US" w:eastAsia="zh-CN"/>
              </w:rPr>
              <w:t>4.3</w:t>
            </w:r>
          </w:p>
        </w:tc>
        <w:tc>
          <w:tcPr>
            <w:tcW w:w="411" w:type="pct"/>
            <w:shd w:val="clear" w:color="auto" w:fill="auto"/>
            <w:vAlign w:val="center"/>
          </w:tcPr>
          <w:p>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5.3.13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restart"/>
            <w:shd w:val="clear" w:color="auto" w:fill="auto"/>
            <w:vAlign w:val="center"/>
          </w:tcPr>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7 绿色服务产业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7 绿色服务产业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7 绿色服务产业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7 绿色服务产业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7 绿色服务产业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7 绿色服务产业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7 绿色服务产业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7 绿色服务产业</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tc>
        <w:tc>
          <w:tcPr>
            <w:tcW w:w="357" w:type="pct"/>
            <w:vMerge w:val="restart"/>
            <w:shd w:val="clear" w:color="auto" w:fill="auto"/>
            <w:vAlign w:val="center"/>
          </w:tcPr>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7.1监测检测服务</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7.1监测检测服务</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7.1.1环境影响评价监测</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包括水环境影响评价监测、大气环境影响评价监测、土壤环境影响评价监测、噪声与振动环境影响评价监测、环境损害应急处置方案设计服务、环境影响法律咨询服务等。</w:t>
            </w:r>
          </w:p>
          <w:p>
            <w:pPr>
              <w:widowControl/>
              <w:spacing w:line="300" w:lineRule="exact"/>
              <w:ind w:firstLine="0" w:firstLineChars="0"/>
              <w:rPr>
                <w:color w:val="000000"/>
                <w:kern w:val="0"/>
                <w:sz w:val="21"/>
                <w:szCs w:val="21"/>
              </w:rPr>
            </w:pP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6.4.4</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6.4.1.4</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6.2</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7.4.5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7.1.2企业环境监测</w:t>
            </w:r>
          </w:p>
        </w:tc>
        <w:tc>
          <w:tcPr>
            <w:tcW w:w="1061" w:type="pct"/>
            <w:shd w:val="clear" w:color="auto" w:fill="auto"/>
            <w:vAlign w:val="center"/>
          </w:tcPr>
          <w:p>
            <w:pPr>
              <w:widowControl/>
              <w:spacing w:line="300" w:lineRule="exact"/>
              <w:ind w:firstLine="0" w:firstLineChars="0"/>
              <w:jc w:val="left"/>
              <w:rPr>
                <w:color w:val="000000"/>
                <w:kern w:val="0"/>
                <w:sz w:val="21"/>
                <w:szCs w:val="21"/>
              </w:rPr>
            </w:pPr>
            <w:r>
              <w:rPr>
                <w:color w:val="000000"/>
                <w:kern w:val="0"/>
                <w:sz w:val="21"/>
                <w:szCs w:val="21"/>
              </w:rPr>
              <w:t>包括企业环境监测设备采购、企业环境监测服务、企业环境监测软件、硬件开发、企业环境影响数据库建设、企业污染物监控人员培训等。</w:t>
            </w:r>
          </w:p>
          <w:p>
            <w:pPr>
              <w:widowControl/>
              <w:spacing w:line="300" w:lineRule="exact"/>
              <w:ind w:firstLine="0" w:firstLineChars="0"/>
              <w:jc w:val="left"/>
              <w:rPr>
                <w:color w:val="000000"/>
                <w:kern w:val="0"/>
                <w:sz w:val="21"/>
                <w:szCs w:val="21"/>
              </w:rPr>
            </w:pP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lang w:bidi="ar"/>
              </w:rPr>
              <w:t>需符合《产业园区循环经济信息化公共平台数据接口规范》（GB/T 36578）等标准规范要求。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6.4.5</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6.4.1.5</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6.2</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7.3.5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7.1.3污染源监测</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包括污染源监测系统开发、污染源监测设备采购服务、污染源监测数据库和应用软件开发、污染物排放计量和监测设备校准服务等。</w:t>
            </w:r>
          </w:p>
          <w:p>
            <w:pPr>
              <w:widowControl/>
              <w:spacing w:line="300" w:lineRule="exact"/>
              <w:ind w:firstLine="0" w:firstLineChars="0"/>
              <w:rPr>
                <w:color w:val="000000"/>
                <w:kern w:val="0"/>
                <w:sz w:val="21"/>
                <w:szCs w:val="21"/>
              </w:rPr>
            </w:pP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6.4.2</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6.4.1.2</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6.2</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7.3.4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7.1.4生态环境监测</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水环境监测服务，空气监测服务，土地监测服务，农业废弃物资源监测服务，农用地、农用水资源监测服务，林业和草原碳汇监测服务，生态遥感监测服务，生物群落监测服务，生物多样性监测服务，水土保持监测服务，毒性试验服务等。</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6.4.6</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6.4.1.6</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6.2</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7.4.6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7.1.5能源在线监测系统建设</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能源在线监测管理系统方案设计、硬件设备采购、计量和在线监测设备校准等技术服务以及系统软件开发、信息化平台建设。</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能耗在线监测系统建设需满足《用能单位能耗在线监测技术要求》（GB/T 38692）、《建筑材料行业能耗在线监测技术要求》（GB/T 40083）等国家、地方、行业相关标准规范要求。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6.4.1</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6.4.1.1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6.2</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7.3.1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restart"/>
            <w:shd w:val="clear" w:color="auto" w:fill="auto"/>
            <w:vAlign w:val="center"/>
          </w:tcPr>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7.2绿色咨询技术服务</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7.2绿色咨询技术服务</w:t>
            </w:r>
          </w:p>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7.2.1绿色产业项目勘察服务</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风能、太阳能、生物质能、地热能等可再生能源资源及其他绿色资源勘察服务，可再生能源等绿色资源经济利用潜力及绿色产业项目建设规模潜力评估等技术咨询服务。</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6.1.1</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6.1.1.1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7.1.1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6"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7.2.2绿色产业项目方案设计服务</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可再生能源、能效、污染防治、资源综合利用等绿色产业项目设计技术咨询服务，建设、运营管理，维护方案设计技术服务、技术改造方案设计等技术咨询服务。</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6.1.2</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6.1.1.2</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7.2.3绿色产业项目技术咨询服务</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可再生能源、能效、污染防治、资源综合利用等绿色产业项目的尽职调查、规划研究和编制、可行性研究和可行性研究报告编制、风险评估、后评价、绿色金融、绿色技术创新、人才培训等技术咨询服务。</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6.1.3</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6.1.1.3</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7.1.2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6"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7.2.4清洁生产审核服务</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对企业生产过程及其生产管理开展全面系统的调查和诊断，发现其原料使用、工艺流程，产品生产、污染物排放等方面薄弱环节，并制定针对性清洁生产改造方案的技术咨询服务。</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6.1.4</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6.1.1.4</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7.4.4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restart"/>
            <w:shd w:val="clear" w:color="auto" w:fill="auto"/>
            <w:vAlign w:val="center"/>
          </w:tcPr>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rFonts w:hint="default" w:eastAsia="仿宋"/>
                <w:color w:val="000000"/>
                <w:kern w:val="0"/>
                <w:sz w:val="21"/>
                <w:szCs w:val="21"/>
                <w:lang w:val="en-US" w:eastAsia="zh-CN"/>
              </w:rPr>
            </w:pPr>
          </w:p>
          <w:p>
            <w:pPr>
              <w:widowControl/>
              <w:spacing w:line="240" w:lineRule="auto"/>
              <w:ind w:firstLine="0" w:firstLineChars="0"/>
              <w:rPr>
                <w:color w:val="000000"/>
                <w:kern w:val="0"/>
                <w:sz w:val="21"/>
                <w:szCs w:val="21"/>
              </w:rPr>
            </w:pPr>
            <w:r>
              <w:rPr>
                <w:color w:val="000000"/>
                <w:kern w:val="0"/>
                <w:sz w:val="21"/>
                <w:szCs w:val="21"/>
              </w:rPr>
              <w:t>7.3运营管理服务</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7.3运营管理服务</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7.3运营管理服务</w:t>
            </w:r>
          </w:p>
        </w:tc>
        <w:tc>
          <w:tcPr>
            <w:tcW w:w="534" w:type="pct"/>
            <w:shd w:val="clear" w:color="auto" w:fill="auto"/>
            <w:vAlign w:val="center"/>
          </w:tcPr>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r>
              <w:rPr>
                <w:color w:val="000000"/>
                <w:kern w:val="0"/>
                <w:sz w:val="21"/>
                <w:szCs w:val="21"/>
              </w:rPr>
              <w:t>7.3.1 绿色运营管理服务</w:t>
            </w: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p>
            <w:pPr>
              <w:widowControl/>
              <w:spacing w:line="300" w:lineRule="exact"/>
              <w:ind w:firstLine="0" w:firstLineChars="0"/>
              <w:rPr>
                <w:color w:val="000000"/>
                <w:kern w:val="0"/>
                <w:sz w:val="21"/>
                <w:szCs w:val="21"/>
              </w:rPr>
            </w:pP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能源管理体系建设服务、合同能源管理服务、电力需求侧管理服务。其中，能源管理体系建设服务包括企事业单位能源管理体系建设相关管理咨询服务、能源管理体系工具软件开发、信息化平台建设，能源管理体系认证服务等管理咨询服务；合同能源管理服务包括采用节能效益分享、能源费用托管、节能量保证、融资租赁等形式开展的节能技术改造服务，以及合同能源管理商业模式咨询、融资咨询等咨询服务；电力需求侧管理服务包括防止电能浪费，降低电耗、提高绿色电力生产与消费协同互动水平，促进电网对可再生能源电力消纳能力及电力用户可再生能源电力消费水平，以及通过电能替代实施大气环境治理和保护，向电力用户、电网企业提供的节约用电技术改造服务，移峰填谷、需求侧响应等有序用电管理咨询服务，电能替代技术改造，电力需求侧管理服务等。</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能源管理体系需符合《能源管理体系要求》（GB/T 23331）、《能源管理体系 实施指南》（GB/T 29456）、《水泥行业能源管理体系实施指南》（GB/T30259）等国家、地方相关标准规范要求。合同能源管理</w:t>
            </w:r>
            <w:r>
              <w:rPr>
                <w:color w:val="000000"/>
                <w:kern w:val="0"/>
                <w:sz w:val="21"/>
                <w:szCs w:val="21"/>
                <w:lang w:bidi="ar"/>
              </w:rPr>
              <w:t>需符合《合同能源管理技术通则》（GB/T 24915）、《合同能源管理服务评价技术导则》 （GB/T 40010）等相关标准规范要求。电力需求侧管理需符合《电力需求侧管理办法（修订版）》（发改运行规〔2017〕1690号）等国家、地方有关政策和标准规范要求。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left"/>
              <w:rPr>
                <w:color w:val="000000"/>
                <w:kern w:val="0"/>
                <w:sz w:val="21"/>
                <w:szCs w:val="21"/>
              </w:rPr>
            </w:pPr>
            <w:r>
              <w:rPr>
                <w:color w:val="000000"/>
                <w:kern w:val="0"/>
                <w:sz w:val="21"/>
                <w:szCs w:val="21"/>
              </w:rPr>
              <w:t>6.2.1/6.2.2/6.2.7</w:t>
            </w:r>
          </w:p>
        </w:tc>
        <w:tc>
          <w:tcPr>
            <w:tcW w:w="350" w:type="pct"/>
            <w:shd w:val="clear" w:color="auto" w:fill="auto"/>
            <w:vAlign w:val="center"/>
          </w:tcPr>
          <w:p>
            <w:pPr>
              <w:widowControl/>
              <w:spacing w:line="300" w:lineRule="exact"/>
              <w:ind w:firstLine="210" w:firstLineChars="100"/>
              <w:jc w:val="left"/>
              <w:rPr>
                <w:color w:val="000000"/>
                <w:kern w:val="0"/>
                <w:sz w:val="21"/>
                <w:szCs w:val="21"/>
              </w:rPr>
            </w:pPr>
            <w:r>
              <w:rPr>
                <w:color w:val="000000"/>
                <w:kern w:val="0"/>
                <w:sz w:val="21"/>
                <w:szCs w:val="21"/>
              </w:rPr>
              <w:t>6.2.1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7.2.1/7.2.2/7.2.4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7.3.2环境权益交易服务</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包括用能权交易服务、水权交易服务、排污许可及交易服务、碳排放权交易服务、可再生能源绿证交易服务。其中，用能权交易服务包括用能权统计核算、用能权第三方审核、用能权交易法律咨询、节能方案咨询、用能权交易平台建设、用能权资产管理和运营、用能权金融质押等用能权交易相关服务；水权交易服务包括水权交易可行性分析、水权交易参考价格核定、水权交易方案设计、水权交易法律咨询、水权交易技术咨询、水权交易平台建设等水权交易相关服务；排污许可交易服务包括排污许可证申请、审核，排污许可台账记录和执行报告，排污行为合规性审核或咨询、排污权交易法律咨询，排污权金融质押，以及排污权交易信息化平台建设等排污权许可及交易相关服务；碳排放权交易服务包括碳排放和国家温室气体自愿减排交易有关数据统计核算、碳配额注册登记及变更、碳交易法律服务、碳减排方案咨询、碳金融、碳信息管理服务等碳排放权交易相关服务；可再生能源绿证交易服务包括绿色电力证书认购交易、交易法律咨询服务，交易信息化平台建设等可再生能源绿证交易相关服务。</w:t>
            </w:r>
          </w:p>
        </w:tc>
        <w:tc>
          <w:tcPr>
            <w:tcW w:w="943" w:type="pct"/>
            <w:shd w:val="clear" w:color="auto" w:fill="auto"/>
            <w:vAlign w:val="center"/>
          </w:tcPr>
          <w:p>
            <w:pPr>
              <w:widowControl/>
              <w:spacing w:line="300" w:lineRule="exact"/>
              <w:ind w:firstLine="0" w:firstLineChars="0"/>
              <w:rPr>
                <w:rFonts w:hint="eastAsia" w:eastAsia="仿宋"/>
                <w:color w:val="000000"/>
                <w:kern w:val="0"/>
                <w:sz w:val="21"/>
                <w:szCs w:val="21"/>
                <w:lang w:eastAsia="zh-CN"/>
              </w:rPr>
            </w:pPr>
            <w:r>
              <w:rPr>
                <w:color w:val="000000"/>
                <w:kern w:val="0"/>
                <w:sz w:val="21"/>
                <w:szCs w:val="21"/>
              </w:rPr>
              <w:t>可再生能源绿证和绿色电力交易需符合《关于试行可再生能源绿色电力证书核发及自愿认购交易制度的通知》（发改能源〔2017〕132号）、《绿色电力交易试点工作方案》等政策要求</w:t>
            </w:r>
            <w:r>
              <w:rPr>
                <w:rFonts w:hint="eastAsia"/>
                <w:color w:val="000000"/>
                <w:kern w:val="0"/>
                <w:sz w:val="21"/>
                <w:szCs w:val="21"/>
                <w:lang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6.2.3/6.2.4/6.2.5/6.2.6/6.2.8</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6.2.2</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1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7.6.1/7.6.2/7.6.3/7.6.4/7.6.6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restart"/>
            <w:shd w:val="clear" w:color="auto" w:fill="auto"/>
            <w:vAlign w:val="center"/>
          </w:tcPr>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7.4项目评估审计核查服务</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7.4项目评估审计核查服务</w:t>
            </w:r>
          </w:p>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7.4.1节能评估和能源审计</w:t>
            </w:r>
          </w:p>
          <w:p>
            <w:pPr>
              <w:widowControl/>
              <w:spacing w:line="300" w:lineRule="exact"/>
              <w:ind w:firstLine="0" w:firstLineChars="0"/>
              <w:rPr>
                <w:color w:val="000000"/>
                <w:kern w:val="0"/>
                <w:sz w:val="21"/>
                <w:szCs w:val="21"/>
              </w:rPr>
            </w:pP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用能单位能源效率评估、节能改造方案设计技术咨询服务以及第三方能源审计、节能量评估、能源审计培训、固定资产投资项目节能报告编制服务等节能评估和能源审计相关服务。</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需符合《用能单位节能量计算方法》（GB/T13234）、《节能量测量和验证技术通则》（GB/T 28750）、《节能量测量和验证实施指南》（GB/T 32045）、《节能评估技术导则》（GB/T 31341）、《能源审计技术通则》（GB/T 17166）等国家、地方相关标准规范要求。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6.3.1</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6.3.1.1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6.1</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7.4.1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7.4.2环境影响评价</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环境影响综合评估、环境影响解决方案设计、环境影响法律咨询、环境影响数据库建设等环境影响评价相关技术服务，环境影响技术评估，生态保护红线、环境质量底线、资源利用上限和环境准入负面清单编制，以及建设项目、行政区域、工业园区等环境风险评估、环境应急控制方案编制、环境应急预案制定等资讯技术服务。</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6.3.2</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6.3.1.2</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6.2</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7.4.5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7.4.3碳排放核查</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碳排放第三方核查、碳排放核查人员培训、碳排放核查数据库建设、碳排放核查结果抽查校核服务等碳排放核查相关技术服务。</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企业碳排放核算需符合《工业企业温室气体排放核算和报告通则》（GB/T 32150）、《温室气体排放核算与报告要求》（GB/T 32151）等国家、地方相关标准规范要求。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6.3.3</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6.3.1.3</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6.1</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7.4.2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restart"/>
            <w:shd w:val="clear" w:color="auto" w:fill="auto"/>
            <w:vAlign w:val="center"/>
          </w:tcPr>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7.5技术产品认证和推广服务</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7.5技术产品认证和推广服务</w:t>
            </w: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p>
          <w:p>
            <w:pPr>
              <w:widowControl/>
              <w:spacing w:line="240" w:lineRule="auto"/>
              <w:ind w:firstLine="0" w:firstLineChars="0"/>
              <w:rPr>
                <w:color w:val="000000"/>
                <w:kern w:val="0"/>
                <w:sz w:val="21"/>
                <w:szCs w:val="21"/>
              </w:rPr>
            </w:pPr>
            <w:r>
              <w:rPr>
                <w:color w:val="000000"/>
                <w:kern w:val="0"/>
                <w:sz w:val="21"/>
                <w:szCs w:val="21"/>
              </w:rPr>
              <w:t>7.5技术产品认证和推广服务</w:t>
            </w: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7.5.1节能产品认证推广</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计算机、复印机、显示器、碎纸机、服务器等办公商用电器产品，中小型三相异步电机等机电产品的节能认证和推广服务（含绿色标识产品）。</w:t>
            </w:r>
          </w:p>
        </w:tc>
        <w:tc>
          <w:tcPr>
            <w:tcW w:w="943" w:type="pct"/>
            <w:shd w:val="clear" w:color="auto" w:fill="auto"/>
            <w:vAlign w:val="center"/>
          </w:tcPr>
          <w:p>
            <w:pPr>
              <w:widowControl/>
              <w:spacing w:line="300" w:lineRule="exact"/>
              <w:ind w:firstLine="0" w:firstLineChars="0"/>
              <w:rPr>
                <w:rFonts w:hint="eastAsia" w:eastAsia="仿宋"/>
                <w:color w:val="000000"/>
                <w:kern w:val="0"/>
                <w:sz w:val="21"/>
                <w:szCs w:val="21"/>
                <w:lang w:eastAsia="zh-CN"/>
              </w:rPr>
            </w:pPr>
            <w:r>
              <w:rPr>
                <w:color w:val="000000"/>
                <w:kern w:val="0"/>
                <w:sz w:val="21"/>
                <w:szCs w:val="21"/>
              </w:rPr>
              <w:t>需符合《绿色产品标识使用管理办法》（市场监管总局公告2019年第20号）</w:t>
            </w:r>
            <w:r>
              <w:rPr>
                <w:rFonts w:hint="eastAsia"/>
                <w:color w:val="000000"/>
                <w:kern w:val="0"/>
                <w:sz w:val="21"/>
                <w:szCs w:val="21"/>
                <w:lang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6.5.1</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6.5.1.1</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6.1</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7.5.2部分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7.5.2低碳产品认证推广</w:t>
            </w:r>
          </w:p>
        </w:tc>
        <w:tc>
          <w:tcPr>
            <w:tcW w:w="106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ind w:firstLine="0" w:firstLineChars="0"/>
              <w:textAlignment w:val="auto"/>
              <w:rPr>
                <w:color w:val="000000"/>
                <w:kern w:val="0"/>
                <w:sz w:val="21"/>
                <w:szCs w:val="21"/>
              </w:rPr>
            </w:pPr>
            <w:r>
              <w:rPr>
                <w:color w:val="000000"/>
                <w:kern w:val="0"/>
                <w:sz w:val="21"/>
                <w:szCs w:val="21"/>
              </w:rPr>
              <w:t>产品生产和消费全生命周期内产品碳足迹评价、碳减排效益显著的工业产品、商用产品、民用产品的低碳产品认证和推广服务（含绿色标识产品），如水泥、玻璃等建材产品，电机、变压器、轮胎等机电产品的低碳产品认证和推广服务。</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lang w:bidi="ar"/>
              </w:rPr>
              <w:t>产品需符合国家、地方相关标准规范要求。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6.5.2</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6.5.1.2</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6.1</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7.5.2部分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7.5.3节水产品认证推广</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节水效益显著的工业、民用反渗透净水机、水嘴、淋浴器、水箱配件、洗衣机等节水产品的认证和推广服务（含绿色标识产品）。</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lang w:bidi="ar"/>
              </w:rPr>
              <w:t>产品需符合国家、地方相关标准规范要求。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6.5.3</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6.5.1.3</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6.3</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7.5.2部分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7.5.4环境标志产品认证推广</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低毒少害、节约资源、能源，符合特定环保要求的环境标志产品认证和推广服务（含绿色标识产品），如电子电器、建材、机械设备等产品的环境标志产品认证和推广服务。</w:t>
            </w:r>
          </w:p>
        </w:tc>
        <w:tc>
          <w:tcPr>
            <w:tcW w:w="943" w:type="pct"/>
            <w:shd w:val="clear" w:color="auto" w:fill="auto"/>
            <w:vAlign w:val="center"/>
          </w:tcPr>
          <w:p>
            <w:pPr>
              <w:widowControl/>
              <w:spacing w:line="300" w:lineRule="exact"/>
              <w:ind w:firstLine="0" w:firstLineChars="0"/>
              <w:rPr>
                <w:color w:val="000000"/>
                <w:kern w:val="0"/>
                <w:sz w:val="21"/>
                <w:szCs w:val="21"/>
                <w:lang w:bidi="ar"/>
              </w:rPr>
            </w:pPr>
            <w:r>
              <w:rPr>
                <w:color w:val="000000"/>
                <w:kern w:val="0"/>
                <w:sz w:val="21"/>
                <w:szCs w:val="21"/>
                <w:lang w:bidi="ar"/>
              </w:rPr>
              <w:t>产品需符合国家、地方相关标准规范要求。</w:t>
            </w:r>
          </w:p>
          <w:p>
            <w:pPr>
              <w:widowControl/>
              <w:spacing w:line="300" w:lineRule="exact"/>
              <w:ind w:firstLine="0" w:firstLineChars="0"/>
              <w:rPr>
                <w:color w:val="000000"/>
                <w:kern w:val="0"/>
                <w:sz w:val="21"/>
                <w:szCs w:val="21"/>
              </w:rPr>
            </w:pP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6.5.4</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6.5.1.4</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6.2</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7.5.2部分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7.5.5</w:t>
            </w:r>
            <w:bookmarkStart w:id="20" w:name="OLE_LINK4"/>
            <w:r>
              <w:rPr>
                <w:color w:val="000000"/>
                <w:kern w:val="0"/>
                <w:sz w:val="21"/>
                <w:szCs w:val="21"/>
              </w:rPr>
              <w:t>有机食品</w:t>
            </w:r>
            <w:bookmarkEnd w:id="20"/>
            <w:r>
              <w:rPr>
                <w:color w:val="000000"/>
                <w:kern w:val="0"/>
                <w:sz w:val="21"/>
                <w:szCs w:val="21"/>
              </w:rPr>
              <w:t>认证推广</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产品及其生产环境符合有效期内《有机产品》（GB/T 19630.1- GB/T 19630.4）等国家标准的农产品有机食品认证和推广（含绿色标识产品）服务。如蔬菜、水果等种植业产品，食用菌、野生植物产品、水产品、畜禽养殖产品等，以及动物饲料等产品的有机产品认证和推广服务。</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lang w:bidi="ar"/>
              </w:rPr>
              <w:t>需符合《有机产品认证管理办法》（市场监管总局令2022年第61号第二次修订），产品需符合国家、地方相关标准规范要求。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6.5.5</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6.5.1.5</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6.2</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7.5.2部分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7.5.6绿色食品认证推广</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产品或产品原料产地符合有效期内绿色食品相关生态环境标准，加工生产过程符合绿色食品相关生产操作规程，产品符合绿色食品相关质量和卫生标准等绿色食品认证和推广服务。如蔬菜、水果、肉及肉制品等食品的绿色食品认证和推广服务。</w:t>
            </w:r>
          </w:p>
        </w:tc>
        <w:tc>
          <w:tcPr>
            <w:tcW w:w="943"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lang w:bidi="ar"/>
              </w:rPr>
              <w:t>《绿色食品标志管理办法》（农业农村部令2022年第1号修订）等有关法规政 策要求，产品需符合国家、地方相关标准规范要求。</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6.5.6</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6.5.1.6</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6.2</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7.5.2部分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4"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7.5.7资源综合利用产品认定推广</w:t>
            </w:r>
          </w:p>
        </w:tc>
        <w:tc>
          <w:tcPr>
            <w:tcW w:w="1061"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列入有效期内《国家工业固体废物资源综合利用产品目录》（2018年公布）产品的资源综合利用产品认定和推广服务，以及纳入《再制造产品目录》（第一批至第七批）的再制造产品的认定和推广服务。</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6.5.7</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6.5.1.7</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6.2</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7.5.2部分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trPr>
        <w:tc>
          <w:tcPr>
            <w:tcW w:w="375" w:type="pct"/>
            <w:vMerge w:val="continue"/>
            <w:vAlign w:val="center"/>
          </w:tcPr>
          <w:p>
            <w:pPr>
              <w:widowControl/>
              <w:spacing w:line="240" w:lineRule="auto"/>
              <w:ind w:firstLine="0" w:firstLineChars="0"/>
              <w:rPr>
                <w:color w:val="000000"/>
                <w:kern w:val="0"/>
                <w:sz w:val="21"/>
                <w:szCs w:val="21"/>
              </w:rPr>
            </w:pPr>
          </w:p>
        </w:tc>
        <w:tc>
          <w:tcPr>
            <w:tcW w:w="357" w:type="pct"/>
            <w:vMerge w:val="continue"/>
            <w:vAlign w:val="center"/>
          </w:tcPr>
          <w:p>
            <w:pPr>
              <w:widowControl/>
              <w:spacing w:line="240" w:lineRule="auto"/>
              <w:ind w:firstLine="0" w:firstLineChars="0"/>
              <w:rPr>
                <w:color w:val="000000"/>
                <w:kern w:val="0"/>
                <w:sz w:val="21"/>
                <w:szCs w:val="21"/>
              </w:rPr>
            </w:pPr>
          </w:p>
        </w:tc>
        <w:tc>
          <w:tcPr>
            <w:tcW w:w="534" w:type="pct"/>
            <w:shd w:val="clear" w:color="auto" w:fill="auto"/>
            <w:vAlign w:val="center"/>
          </w:tcPr>
          <w:p>
            <w:pPr>
              <w:widowControl/>
              <w:spacing w:line="300" w:lineRule="exact"/>
              <w:ind w:firstLine="0" w:firstLineChars="0"/>
              <w:rPr>
                <w:color w:val="000000"/>
                <w:kern w:val="0"/>
                <w:sz w:val="21"/>
                <w:szCs w:val="21"/>
              </w:rPr>
            </w:pPr>
            <w:r>
              <w:rPr>
                <w:color w:val="000000"/>
                <w:kern w:val="0"/>
                <w:sz w:val="21"/>
                <w:szCs w:val="21"/>
              </w:rPr>
              <w:t>7.5.8绿色建材认证推广</w:t>
            </w:r>
          </w:p>
        </w:tc>
        <w:tc>
          <w:tcPr>
            <w:tcW w:w="1061" w:type="pct"/>
            <w:shd w:val="clear" w:color="auto" w:fill="auto"/>
            <w:vAlign w:val="center"/>
          </w:tcPr>
          <w:p>
            <w:pPr>
              <w:widowControl/>
              <w:spacing w:line="300" w:lineRule="exact"/>
              <w:ind w:firstLine="0" w:firstLineChars="0"/>
              <w:rPr>
                <w:rFonts w:hint="default" w:eastAsia="仿宋"/>
                <w:color w:val="000000"/>
                <w:kern w:val="0"/>
                <w:sz w:val="21"/>
                <w:szCs w:val="21"/>
                <w:lang w:val="en-US" w:eastAsia="zh-CN"/>
              </w:rPr>
            </w:pPr>
            <w:r>
              <w:rPr>
                <w:rFonts w:hint="eastAsia"/>
                <w:color w:val="000000"/>
                <w:kern w:val="0"/>
                <w:sz w:val="21"/>
                <w:szCs w:val="21"/>
                <w:lang w:val="en-US" w:eastAsia="zh-CN"/>
              </w:rPr>
              <w:t>获得一星级及以上标识的节能墙体材料、外墙保温材料、节能门窗、装配式建筑部品部件、预拌混凝土（砂浆）等绿色建材的认证和推广服务。</w:t>
            </w:r>
          </w:p>
        </w:tc>
        <w:tc>
          <w:tcPr>
            <w:tcW w:w="943" w:type="pct"/>
            <w:shd w:val="clear" w:color="auto" w:fill="auto"/>
            <w:vAlign w:val="center"/>
          </w:tcPr>
          <w:p>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27"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G2</w:t>
            </w:r>
          </w:p>
        </w:tc>
        <w:tc>
          <w:tcPr>
            <w:tcW w:w="394"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6.5.8</w:t>
            </w:r>
          </w:p>
        </w:tc>
        <w:tc>
          <w:tcPr>
            <w:tcW w:w="350"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6.5.1.8</w:t>
            </w:r>
          </w:p>
        </w:tc>
        <w:tc>
          <w:tcPr>
            <w:tcW w:w="343"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6.2</w:t>
            </w:r>
          </w:p>
        </w:tc>
        <w:tc>
          <w:tcPr>
            <w:tcW w:w="411" w:type="pct"/>
            <w:shd w:val="clear" w:color="auto" w:fill="auto"/>
            <w:vAlign w:val="center"/>
          </w:tcPr>
          <w:p>
            <w:pPr>
              <w:widowControl/>
              <w:spacing w:line="300" w:lineRule="exact"/>
              <w:ind w:firstLine="0" w:firstLineChars="0"/>
              <w:jc w:val="center"/>
              <w:rPr>
                <w:color w:val="000000"/>
                <w:kern w:val="0"/>
                <w:sz w:val="21"/>
                <w:szCs w:val="21"/>
              </w:rPr>
            </w:pPr>
            <w:r>
              <w:rPr>
                <w:color w:val="000000"/>
                <w:kern w:val="0"/>
                <w:sz w:val="21"/>
                <w:szCs w:val="21"/>
              </w:rPr>
              <w:t>7.5.2部分</w:t>
            </w:r>
          </w:p>
        </w:tc>
      </w:tr>
      <w:bookmarkEnd w:id="9"/>
    </w:tbl>
    <w:p>
      <w:pPr>
        <w:keepNext w:val="0"/>
        <w:keepLines w:val="0"/>
        <w:pageBreakBefore w:val="0"/>
        <w:widowControl w:val="0"/>
        <w:tabs>
          <w:tab w:val="left" w:pos="4830"/>
        </w:tabs>
        <w:kinsoku/>
        <w:wordWrap/>
        <w:overflowPunct/>
        <w:topLinePunct w:val="0"/>
        <w:autoSpaceDE/>
        <w:autoSpaceDN/>
        <w:bidi w:val="0"/>
        <w:adjustRightInd/>
        <w:snapToGrid/>
        <w:spacing w:line="20" w:lineRule="exact"/>
        <w:ind w:left="0" w:leftChars="0" w:firstLine="0" w:firstLineChars="0"/>
        <w:textAlignment w:val="auto"/>
        <w:rPr>
          <w:rFonts w:eastAsia="仿宋_GB2312"/>
          <w:bCs/>
          <w:sz w:val="24"/>
        </w:rPr>
      </w:pPr>
    </w:p>
    <w:p>
      <w:pPr>
        <w:tabs>
          <w:tab w:val="left" w:pos="4830"/>
        </w:tabs>
        <w:spacing w:line="560" w:lineRule="exact"/>
        <w:ind w:firstLine="480"/>
        <w:rPr>
          <w:rFonts w:eastAsia="仿宋_GB2312"/>
          <w:bCs/>
          <w:sz w:val="24"/>
        </w:rPr>
      </w:pPr>
      <w:r>
        <w:rPr>
          <w:rFonts w:eastAsia="仿宋_GB2312"/>
          <w:bCs/>
          <w:sz w:val="24"/>
        </w:rPr>
        <w:t>说明：</w:t>
      </w:r>
    </w:p>
    <w:p>
      <w:pPr>
        <w:tabs>
          <w:tab w:val="left" w:pos="4830"/>
        </w:tabs>
        <w:spacing w:line="560" w:lineRule="exact"/>
        <w:ind w:left="720" w:leftChars="160" w:hanging="240" w:hangingChars="100"/>
        <w:rPr>
          <w:rFonts w:eastAsia="仿宋_GB2312"/>
          <w:bCs/>
          <w:sz w:val="24"/>
        </w:rPr>
      </w:pPr>
      <w:r>
        <w:rPr>
          <w:rFonts w:eastAsia="仿宋_GB2312"/>
          <w:bCs/>
          <w:sz w:val="24"/>
        </w:rPr>
        <w:t xml:space="preserve">1. </w:t>
      </w:r>
      <w:bookmarkStart w:id="21" w:name="_Hlk62060341"/>
      <w:r>
        <w:rPr>
          <w:rFonts w:eastAsia="仿宋_GB2312"/>
          <w:bCs/>
          <w:sz w:val="24"/>
        </w:rPr>
        <w:t>绿色项目等级：G1代表深绿类项目，表示综合环境效益显著；G2代表中绿类项目，表示综合环境效益良好；G3代表浅绿类项目，表示综合环境效益一般。综合环境效益包括具有显著资源节约、环境保护、生态保护、应对气候变化等四种效益。</w:t>
      </w:r>
      <w:bookmarkEnd w:id="21"/>
    </w:p>
    <w:p>
      <w:pPr>
        <w:tabs>
          <w:tab w:val="left" w:pos="4830"/>
        </w:tabs>
        <w:spacing w:line="560" w:lineRule="exact"/>
        <w:ind w:firstLine="480"/>
        <w:rPr>
          <w:rFonts w:eastAsia="仿宋_GB2312"/>
          <w:bCs/>
          <w:color w:val="auto"/>
          <w:sz w:val="24"/>
        </w:rPr>
      </w:pPr>
      <w:r>
        <w:rPr>
          <w:rFonts w:eastAsia="仿宋_GB2312"/>
          <w:bCs/>
          <w:sz w:val="24"/>
        </w:rPr>
        <w:t>2. 根据</w:t>
      </w:r>
      <w:r>
        <w:rPr>
          <w:rFonts w:hint="eastAsia" w:eastAsia="仿宋_GB2312"/>
          <w:bCs/>
          <w:sz w:val="24"/>
          <w:lang w:val="en-US" w:eastAsia="zh-CN"/>
        </w:rPr>
        <w:t>中国技术经济学会</w:t>
      </w:r>
      <w:r>
        <w:rPr>
          <w:rFonts w:hint="eastAsia" w:eastAsia="仿宋_GB2312"/>
          <w:bCs/>
          <w:sz w:val="24"/>
          <w:lang w:eastAsia="zh-CN"/>
        </w:rPr>
        <w:t>《</w:t>
      </w:r>
      <w:r>
        <w:rPr>
          <w:rFonts w:hint="eastAsia" w:eastAsia="仿宋_GB2312"/>
          <w:bCs/>
          <w:sz w:val="24"/>
          <w:lang w:val="en-US" w:eastAsia="zh-CN"/>
        </w:rPr>
        <w:t>气候投融资项目分类指南</w:t>
      </w:r>
      <w:r>
        <w:rPr>
          <w:rFonts w:hint="eastAsia" w:eastAsia="仿宋_GB2312"/>
          <w:bCs/>
          <w:sz w:val="24"/>
          <w:lang w:eastAsia="zh-CN"/>
        </w:rPr>
        <w:t>》（</w:t>
      </w:r>
      <w:r>
        <w:rPr>
          <w:rFonts w:hint="eastAsia" w:eastAsia="仿宋_GB2312"/>
          <w:bCs/>
          <w:sz w:val="24"/>
          <w:lang w:val="en-US" w:eastAsia="zh-CN"/>
        </w:rPr>
        <w:t>T/CSTE 0061-2021</w:t>
      </w:r>
      <w:r>
        <w:rPr>
          <w:rFonts w:hint="eastAsia" w:eastAsia="仿宋_GB2312"/>
          <w:bCs/>
          <w:sz w:val="24"/>
          <w:lang w:eastAsia="zh-CN"/>
        </w:rPr>
        <w:t>）</w:t>
      </w:r>
      <w:r>
        <w:rPr>
          <w:rFonts w:hint="eastAsia" w:eastAsia="仿宋_GB2312"/>
          <w:bCs/>
          <w:sz w:val="24"/>
          <w:lang w:val="en-US" w:eastAsia="zh-CN"/>
        </w:rPr>
        <w:t>、生态环境部《</w:t>
      </w:r>
      <w:r>
        <w:rPr>
          <w:rFonts w:hint="eastAsia" w:eastAsia="仿宋_GB2312"/>
          <w:bCs/>
          <w:sz w:val="24"/>
        </w:rPr>
        <w:t>气候投融资试点地方气候投融资项目入库参考标准</w:t>
      </w:r>
      <w:r>
        <w:rPr>
          <w:rFonts w:hint="eastAsia" w:eastAsia="仿宋_GB2312"/>
          <w:bCs/>
          <w:sz w:val="24"/>
          <w:lang w:val="en-US" w:eastAsia="zh-CN"/>
        </w:rPr>
        <w:t>》</w:t>
      </w:r>
      <w:r>
        <w:rPr>
          <w:rFonts w:eastAsia="仿宋_GB2312"/>
          <w:bCs/>
          <w:sz w:val="24"/>
        </w:rPr>
        <w:t>等</w:t>
      </w:r>
      <w:r>
        <w:rPr>
          <w:rFonts w:hint="eastAsia" w:eastAsia="仿宋_GB2312"/>
          <w:bCs/>
          <w:sz w:val="24"/>
          <w:lang w:val="en-US" w:eastAsia="zh-CN"/>
        </w:rPr>
        <w:t>相关内容</w:t>
      </w:r>
      <w:r>
        <w:rPr>
          <w:rFonts w:eastAsia="仿宋_GB2312"/>
          <w:bCs/>
          <w:sz w:val="24"/>
        </w:rPr>
        <w:t>，本绿色项目目录中，共</w:t>
      </w:r>
      <w:r>
        <w:rPr>
          <w:rFonts w:eastAsia="仿宋_GB2312"/>
          <w:bCs/>
          <w:color w:val="auto"/>
          <w:sz w:val="24"/>
        </w:rPr>
        <w:t>有</w:t>
      </w:r>
      <w:r>
        <w:rPr>
          <w:rFonts w:hint="eastAsia" w:eastAsia="仿宋_GB2312"/>
          <w:bCs/>
          <w:color w:val="auto"/>
          <w:sz w:val="24"/>
          <w:lang w:val="en-US" w:eastAsia="zh-CN"/>
        </w:rPr>
        <w:t>44</w:t>
      </w:r>
      <w:r>
        <w:rPr>
          <w:rFonts w:eastAsia="仿宋_GB2312"/>
          <w:bCs/>
          <w:color w:val="auto"/>
          <w:sz w:val="24"/>
        </w:rPr>
        <w:t>项应对气候变化类项目，其中减缓类</w:t>
      </w:r>
      <w:r>
        <w:rPr>
          <w:rFonts w:hint="eastAsia" w:eastAsia="仿宋_GB2312"/>
          <w:bCs/>
          <w:color w:val="auto"/>
          <w:sz w:val="24"/>
          <w:lang w:val="en-US" w:eastAsia="zh-CN"/>
        </w:rPr>
        <w:t>38</w:t>
      </w:r>
      <w:r>
        <w:rPr>
          <w:rFonts w:eastAsia="仿宋_GB2312"/>
          <w:bCs/>
          <w:color w:val="auto"/>
          <w:sz w:val="24"/>
        </w:rPr>
        <w:t>项，适应类的</w:t>
      </w:r>
      <w:r>
        <w:rPr>
          <w:rFonts w:hint="eastAsia" w:eastAsia="仿宋_GB2312"/>
          <w:bCs/>
          <w:color w:val="auto"/>
          <w:sz w:val="24"/>
          <w:lang w:val="en-US" w:eastAsia="zh-CN"/>
        </w:rPr>
        <w:t>6</w:t>
      </w:r>
      <w:r>
        <w:rPr>
          <w:rFonts w:eastAsia="仿宋_GB2312"/>
          <w:bCs/>
          <w:color w:val="auto"/>
          <w:sz w:val="24"/>
        </w:rPr>
        <w:t>项。</w:t>
      </w:r>
    </w:p>
    <w:p>
      <w:pPr>
        <w:tabs>
          <w:tab w:val="left" w:pos="4830"/>
        </w:tabs>
        <w:spacing w:line="560" w:lineRule="exact"/>
        <w:ind w:firstLine="480"/>
        <w:rPr>
          <w:rFonts w:eastAsia="仿宋_GB2312"/>
          <w:bCs/>
          <w:sz w:val="24"/>
        </w:rPr>
      </w:pPr>
      <w:r>
        <w:rPr>
          <w:rFonts w:eastAsia="仿宋_GB2312"/>
          <w:bCs/>
          <w:sz w:val="24"/>
        </w:rPr>
        <w:t>3. 本目录主要</w:t>
      </w:r>
      <w:bookmarkStart w:id="22" w:name="_Hlk62060137"/>
      <w:r>
        <w:rPr>
          <w:rFonts w:eastAsia="仿宋_GB2312"/>
          <w:bCs/>
          <w:sz w:val="24"/>
        </w:rPr>
        <w:t>对标国内标准包括：</w:t>
      </w:r>
      <w:bookmarkStart w:id="23" w:name="OLE_LINK1"/>
      <w:r>
        <w:rPr>
          <w:rFonts w:eastAsia="仿宋_GB2312"/>
          <w:bCs/>
          <w:sz w:val="24"/>
        </w:rPr>
        <w:t>《绿色产业指导目录（2019年版）》</w:t>
      </w:r>
      <w:bookmarkEnd w:id="23"/>
      <w:r>
        <w:rPr>
          <w:rFonts w:eastAsia="仿宋_GB2312"/>
          <w:bCs/>
          <w:sz w:val="24"/>
        </w:rPr>
        <w:t>《绿色产业指导目录（2023年版）》（征求意见稿）《绿色债券支持项目目录（2021年版）》</w:t>
      </w:r>
      <w:bookmarkStart w:id="24" w:name="OLE_LINK8"/>
      <w:r>
        <w:rPr>
          <w:rFonts w:eastAsia="仿宋_GB2312"/>
          <w:bCs/>
          <w:sz w:val="24"/>
        </w:rPr>
        <w:t>《绿色融资统计》（2020年版）</w:t>
      </w:r>
      <w:bookmarkEnd w:id="24"/>
      <w:r>
        <w:rPr>
          <w:rFonts w:eastAsia="仿宋_GB2312"/>
          <w:bCs/>
          <w:sz w:val="24"/>
        </w:rPr>
        <w:t>。</w:t>
      </w:r>
      <w:bookmarkEnd w:id="22"/>
    </w:p>
    <w:p>
      <w:pPr>
        <w:tabs>
          <w:tab w:val="left" w:pos="4830"/>
        </w:tabs>
        <w:spacing w:line="560" w:lineRule="exact"/>
        <w:ind w:firstLine="480"/>
        <w:rPr>
          <w:rFonts w:eastAsia="仿宋_GB2312"/>
          <w:bCs/>
          <w:sz w:val="24"/>
        </w:rPr>
      </w:pPr>
      <w:r>
        <w:rPr>
          <w:rFonts w:eastAsia="仿宋_GB2312"/>
          <w:bCs/>
          <w:sz w:val="24"/>
        </w:rPr>
        <w:t>4. 本目录中技术要求均应参照现行有效期内标准、规程等。</w:t>
      </w:r>
    </w:p>
    <w:p>
      <w:pPr>
        <w:tabs>
          <w:tab w:val="left" w:pos="4830"/>
        </w:tabs>
        <w:spacing w:line="560" w:lineRule="exact"/>
        <w:ind w:firstLine="480"/>
        <w:rPr>
          <w:rFonts w:eastAsia="仿宋_GB2312"/>
          <w:sz w:val="32"/>
          <w:szCs w:val="32"/>
        </w:rPr>
        <w:sectPr>
          <w:headerReference r:id="rId5" w:type="default"/>
          <w:footerReference r:id="rId6" w:type="default"/>
          <w:pgSz w:w="16838" w:h="11906" w:orient="landscape"/>
          <w:pgMar w:top="1117" w:right="720" w:bottom="380" w:left="1570" w:header="567" w:footer="567" w:gutter="0"/>
          <w:pgNumType w:fmt="numberInDash"/>
          <w:cols w:space="425" w:num="1"/>
          <w:docGrid w:type="lines" w:linePitch="408" w:charSpace="0"/>
        </w:sectPr>
      </w:pPr>
      <w:r>
        <w:rPr>
          <w:rFonts w:eastAsia="仿宋_GB2312"/>
          <w:bCs/>
          <w:sz w:val="24"/>
        </w:rPr>
        <w:t>5. 本目录将根据兰州新区产业和项目发展进行动态调整。</w:t>
      </w:r>
    </w:p>
    <w:p>
      <w:pPr>
        <w:numPr>
          <w:ilvl w:val="255"/>
          <w:numId w:val="0"/>
        </w:numPr>
        <w:spacing w:line="560" w:lineRule="exact"/>
      </w:pPr>
      <w:bookmarkStart w:id="25" w:name="_GoBack"/>
      <w:bookmarkEnd w:id="25"/>
    </w:p>
    <w:sectPr>
      <w:pgSz w:w="11906" w:h="16838"/>
      <w:pgMar w:top="1440" w:right="1800" w:bottom="1440" w:left="1800" w:header="851" w:footer="567"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00"/>
      </w:pPr>
      <w:r>
        <w:separator/>
      </w:r>
    </w:p>
  </w:endnote>
  <w:endnote w:type="continuationSeparator" w:id="1">
    <w:p>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40F60E0-A4D6-4CEE-A684-32DF3092208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0411DAA8-AEF2-4090-993A-52BD7C316302}"/>
  </w:font>
  <w:font w:name="等线 Light">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embedRegular r:id="rId3" w:fontKey="{27EC15E9-A379-404B-B477-67717E7E585F}"/>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embedRegular r:id="rId4" w:fontKey="{7CC8BD79-B2F5-42FA-BCBB-138241B4D43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jc w:val="center"/>
    </w:pPr>
  </w:p>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00"/>
      </w:pPr>
      <w:r>
        <w:separator/>
      </w:r>
    </w:p>
  </w:footnote>
  <w:footnote w:type="continuationSeparator" w:id="1">
    <w:p>
      <w:pPr>
        <w:spacing w:line="240" w:lineRule="auto"/>
        <w:ind w:firstLine="6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ind w:firstLine="0" w:firstLineChars="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50019F"/>
    <w:multiLevelType w:val="multilevel"/>
    <w:tmpl w:val="2E50019F"/>
    <w:lvl w:ilvl="0" w:tentative="0">
      <w:start w:val="1"/>
      <w:numFmt w:val="chineseCountingThousand"/>
      <w:pStyle w:val="2"/>
      <w:lvlText w:val="第%1章"/>
      <w:lvlJc w:val="center"/>
      <w:pPr>
        <w:ind w:left="620" w:hanging="420"/>
      </w:pPr>
      <w:rPr>
        <w:rFonts w:hint="eastAsia"/>
      </w:rPr>
    </w:lvl>
    <w:lvl w:ilvl="1" w:tentative="0">
      <w:start w:val="1"/>
      <w:numFmt w:val="lowerLetter"/>
      <w:lvlText w:val="%2)"/>
      <w:lvlJc w:val="left"/>
      <w:pPr>
        <w:ind w:left="1040" w:hanging="420"/>
      </w:p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50"/>
  <w:drawingGridVerticalSpacing w:val="204"/>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I2ODhmNWFjNWViNDU0NjQ2ZDljZjdiNjRiZTA4YzQifQ=="/>
  </w:docVars>
  <w:rsids>
    <w:rsidRoot w:val="00D50D78"/>
    <w:rsid w:val="00004DE5"/>
    <w:rsid w:val="00006299"/>
    <w:rsid w:val="00010235"/>
    <w:rsid w:val="00015A57"/>
    <w:rsid w:val="0001675B"/>
    <w:rsid w:val="00016907"/>
    <w:rsid w:val="00022DE9"/>
    <w:rsid w:val="00025B18"/>
    <w:rsid w:val="00033F90"/>
    <w:rsid w:val="00035D53"/>
    <w:rsid w:val="000434CF"/>
    <w:rsid w:val="00047FF6"/>
    <w:rsid w:val="0005073B"/>
    <w:rsid w:val="000528A4"/>
    <w:rsid w:val="00063536"/>
    <w:rsid w:val="0006535F"/>
    <w:rsid w:val="00070986"/>
    <w:rsid w:val="00075584"/>
    <w:rsid w:val="00076822"/>
    <w:rsid w:val="00086502"/>
    <w:rsid w:val="00087FE6"/>
    <w:rsid w:val="0009076E"/>
    <w:rsid w:val="00093676"/>
    <w:rsid w:val="000975FD"/>
    <w:rsid w:val="000A03F0"/>
    <w:rsid w:val="000A094B"/>
    <w:rsid w:val="000A1D62"/>
    <w:rsid w:val="000A65F9"/>
    <w:rsid w:val="000A7FCE"/>
    <w:rsid w:val="000B1D6F"/>
    <w:rsid w:val="000B2AD8"/>
    <w:rsid w:val="000B56FE"/>
    <w:rsid w:val="000B6101"/>
    <w:rsid w:val="000B6459"/>
    <w:rsid w:val="000B7826"/>
    <w:rsid w:val="000C08C7"/>
    <w:rsid w:val="000C7E70"/>
    <w:rsid w:val="000D12AA"/>
    <w:rsid w:val="000D3C17"/>
    <w:rsid w:val="000F087F"/>
    <w:rsid w:val="000F0FC9"/>
    <w:rsid w:val="000F74E8"/>
    <w:rsid w:val="00100C5A"/>
    <w:rsid w:val="0010387C"/>
    <w:rsid w:val="001066E8"/>
    <w:rsid w:val="0011223A"/>
    <w:rsid w:val="001138C2"/>
    <w:rsid w:val="0011590B"/>
    <w:rsid w:val="00116BC8"/>
    <w:rsid w:val="00116DC9"/>
    <w:rsid w:val="001174C7"/>
    <w:rsid w:val="00123B55"/>
    <w:rsid w:val="00124742"/>
    <w:rsid w:val="001249D8"/>
    <w:rsid w:val="00126539"/>
    <w:rsid w:val="001338BB"/>
    <w:rsid w:val="00136281"/>
    <w:rsid w:val="00143952"/>
    <w:rsid w:val="001439B3"/>
    <w:rsid w:val="001449CC"/>
    <w:rsid w:val="00155CE2"/>
    <w:rsid w:val="00156876"/>
    <w:rsid w:val="00160341"/>
    <w:rsid w:val="001604CD"/>
    <w:rsid w:val="00162B6B"/>
    <w:rsid w:val="00166EC6"/>
    <w:rsid w:val="00172D57"/>
    <w:rsid w:val="001906B6"/>
    <w:rsid w:val="00190993"/>
    <w:rsid w:val="00192E09"/>
    <w:rsid w:val="00197819"/>
    <w:rsid w:val="001A09DF"/>
    <w:rsid w:val="001A111A"/>
    <w:rsid w:val="001A53C1"/>
    <w:rsid w:val="001B3305"/>
    <w:rsid w:val="001C0726"/>
    <w:rsid w:val="001C0A7B"/>
    <w:rsid w:val="001C195C"/>
    <w:rsid w:val="001C5403"/>
    <w:rsid w:val="001C600A"/>
    <w:rsid w:val="001C6698"/>
    <w:rsid w:val="001C7778"/>
    <w:rsid w:val="001D0773"/>
    <w:rsid w:val="001D27AC"/>
    <w:rsid w:val="001D28EA"/>
    <w:rsid w:val="001D67C5"/>
    <w:rsid w:val="001E40A4"/>
    <w:rsid w:val="001E4679"/>
    <w:rsid w:val="001F00D8"/>
    <w:rsid w:val="001F0DE0"/>
    <w:rsid w:val="001F1489"/>
    <w:rsid w:val="001F280E"/>
    <w:rsid w:val="001F3968"/>
    <w:rsid w:val="001F7340"/>
    <w:rsid w:val="001F7C16"/>
    <w:rsid w:val="00202293"/>
    <w:rsid w:val="00212406"/>
    <w:rsid w:val="00212846"/>
    <w:rsid w:val="00212CFF"/>
    <w:rsid w:val="002137ED"/>
    <w:rsid w:val="002142F1"/>
    <w:rsid w:val="00224F2F"/>
    <w:rsid w:val="00225027"/>
    <w:rsid w:val="00226A3F"/>
    <w:rsid w:val="00234BFE"/>
    <w:rsid w:val="002477DC"/>
    <w:rsid w:val="002479DE"/>
    <w:rsid w:val="002509C6"/>
    <w:rsid w:val="0025320D"/>
    <w:rsid w:val="00256A31"/>
    <w:rsid w:val="00262D23"/>
    <w:rsid w:val="0026580E"/>
    <w:rsid w:val="002658DD"/>
    <w:rsid w:val="0026707B"/>
    <w:rsid w:val="00274299"/>
    <w:rsid w:val="00277331"/>
    <w:rsid w:val="00277BB8"/>
    <w:rsid w:val="00281F60"/>
    <w:rsid w:val="00282647"/>
    <w:rsid w:val="00290560"/>
    <w:rsid w:val="00297F7A"/>
    <w:rsid w:val="002A73CC"/>
    <w:rsid w:val="002B0122"/>
    <w:rsid w:val="002B6D4E"/>
    <w:rsid w:val="002C1A01"/>
    <w:rsid w:val="002C2921"/>
    <w:rsid w:val="002C466D"/>
    <w:rsid w:val="002D7C15"/>
    <w:rsid w:val="002E1EB4"/>
    <w:rsid w:val="002E2DD8"/>
    <w:rsid w:val="002E3FF5"/>
    <w:rsid w:val="002E6BA4"/>
    <w:rsid w:val="002F0086"/>
    <w:rsid w:val="002F0D64"/>
    <w:rsid w:val="002F0EB7"/>
    <w:rsid w:val="002F103F"/>
    <w:rsid w:val="002F2955"/>
    <w:rsid w:val="002F3BA9"/>
    <w:rsid w:val="003008EA"/>
    <w:rsid w:val="00300962"/>
    <w:rsid w:val="00305E04"/>
    <w:rsid w:val="0030741D"/>
    <w:rsid w:val="0031035F"/>
    <w:rsid w:val="00313416"/>
    <w:rsid w:val="003161AA"/>
    <w:rsid w:val="0032045B"/>
    <w:rsid w:val="003223AE"/>
    <w:rsid w:val="00324072"/>
    <w:rsid w:val="003247C3"/>
    <w:rsid w:val="00325890"/>
    <w:rsid w:val="0032621C"/>
    <w:rsid w:val="003265E3"/>
    <w:rsid w:val="00341A43"/>
    <w:rsid w:val="00343010"/>
    <w:rsid w:val="0034524E"/>
    <w:rsid w:val="00345D03"/>
    <w:rsid w:val="0035147A"/>
    <w:rsid w:val="0035543C"/>
    <w:rsid w:val="0036170D"/>
    <w:rsid w:val="00362AE5"/>
    <w:rsid w:val="003639F6"/>
    <w:rsid w:val="003662DD"/>
    <w:rsid w:val="003730EB"/>
    <w:rsid w:val="003777FE"/>
    <w:rsid w:val="00380360"/>
    <w:rsid w:val="003807BB"/>
    <w:rsid w:val="00382AC5"/>
    <w:rsid w:val="0039093A"/>
    <w:rsid w:val="00391FF5"/>
    <w:rsid w:val="00393A9D"/>
    <w:rsid w:val="00397D4C"/>
    <w:rsid w:val="003A101D"/>
    <w:rsid w:val="003A548A"/>
    <w:rsid w:val="003B058E"/>
    <w:rsid w:val="003B4397"/>
    <w:rsid w:val="003B4E2A"/>
    <w:rsid w:val="003B4E7B"/>
    <w:rsid w:val="003B5C16"/>
    <w:rsid w:val="003C5250"/>
    <w:rsid w:val="003D2214"/>
    <w:rsid w:val="003D2690"/>
    <w:rsid w:val="003D2F4D"/>
    <w:rsid w:val="003E0E84"/>
    <w:rsid w:val="003E222D"/>
    <w:rsid w:val="003F54C7"/>
    <w:rsid w:val="004139B5"/>
    <w:rsid w:val="004161B8"/>
    <w:rsid w:val="0041797D"/>
    <w:rsid w:val="00421F89"/>
    <w:rsid w:val="00423169"/>
    <w:rsid w:val="00440D2A"/>
    <w:rsid w:val="004420FE"/>
    <w:rsid w:val="00445CD8"/>
    <w:rsid w:val="004504B4"/>
    <w:rsid w:val="004520C7"/>
    <w:rsid w:val="00452468"/>
    <w:rsid w:val="00453878"/>
    <w:rsid w:val="0047087B"/>
    <w:rsid w:val="00471C7C"/>
    <w:rsid w:val="004727FD"/>
    <w:rsid w:val="00474A84"/>
    <w:rsid w:val="00487004"/>
    <w:rsid w:val="00492CC4"/>
    <w:rsid w:val="004956C9"/>
    <w:rsid w:val="004A3019"/>
    <w:rsid w:val="004A3456"/>
    <w:rsid w:val="004A3ECE"/>
    <w:rsid w:val="004A4A6F"/>
    <w:rsid w:val="004A6907"/>
    <w:rsid w:val="004B083F"/>
    <w:rsid w:val="004B32FC"/>
    <w:rsid w:val="004B435E"/>
    <w:rsid w:val="004C2352"/>
    <w:rsid w:val="004C70B9"/>
    <w:rsid w:val="004C726B"/>
    <w:rsid w:val="004D69C7"/>
    <w:rsid w:val="004E753B"/>
    <w:rsid w:val="004F64CB"/>
    <w:rsid w:val="004F7AE0"/>
    <w:rsid w:val="0050041A"/>
    <w:rsid w:val="00500AEB"/>
    <w:rsid w:val="00500F7F"/>
    <w:rsid w:val="005037E9"/>
    <w:rsid w:val="005039D9"/>
    <w:rsid w:val="0050446E"/>
    <w:rsid w:val="00504D82"/>
    <w:rsid w:val="00507058"/>
    <w:rsid w:val="00507E64"/>
    <w:rsid w:val="005131BA"/>
    <w:rsid w:val="00513FC7"/>
    <w:rsid w:val="005147CD"/>
    <w:rsid w:val="00515EC8"/>
    <w:rsid w:val="00516243"/>
    <w:rsid w:val="005311B5"/>
    <w:rsid w:val="005322F8"/>
    <w:rsid w:val="0053611E"/>
    <w:rsid w:val="0054358B"/>
    <w:rsid w:val="005442DA"/>
    <w:rsid w:val="005545CF"/>
    <w:rsid w:val="00554D11"/>
    <w:rsid w:val="0055647F"/>
    <w:rsid w:val="00557A84"/>
    <w:rsid w:val="00560646"/>
    <w:rsid w:val="005645AE"/>
    <w:rsid w:val="0057540C"/>
    <w:rsid w:val="00576867"/>
    <w:rsid w:val="00577847"/>
    <w:rsid w:val="005829F2"/>
    <w:rsid w:val="00585E90"/>
    <w:rsid w:val="005862B9"/>
    <w:rsid w:val="00587EFB"/>
    <w:rsid w:val="005902C0"/>
    <w:rsid w:val="00590407"/>
    <w:rsid w:val="005939A9"/>
    <w:rsid w:val="005A115D"/>
    <w:rsid w:val="005A1245"/>
    <w:rsid w:val="005A1CC1"/>
    <w:rsid w:val="005B02A9"/>
    <w:rsid w:val="005C2D8C"/>
    <w:rsid w:val="005C4D2C"/>
    <w:rsid w:val="005C65A2"/>
    <w:rsid w:val="005D3197"/>
    <w:rsid w:val="005D39A6"/>
    <w:rsid w:val="005D58AC"/>
    <w:rsid w:val="005D5D75"/>
    <w:rsid w:val="005E0D09"/>
    <w:rsid w:val="005E0DC8"/>
    <w:rsid w:val="005E1BEC"/>
    <w:rsid w:val="005E1D60"/>
    <w:rsid w:val="005E54C1"/>
    <w:rsid w:val="005E6964"/>
    <w:rsid w:val="005F02FF"/>
    <w:rsid w:val="005F080D"/>
    <w:rsid w:val="005F19E2"/>
    <w:rsid w:val="005F1E64"/>
    <w:rsid w:val="005F260F"/>
    <w:rsid w:val="005F440E"/>
    <w:rsid w:val="00601C76"/>
    <w:rsid w:val="006033B4"/>
    <w:rsid w:val="00603411"/>
    <w:rsid w:val="006039BD"/>
    <w:rsid w:val="00612516"/>
    <w:rsid w:val="006137CD"/>
    <w:rsid w:val="00622E04"/>
    <w:rsid w:val="006253E8"/>
    <w:rsid w:val="00630A0B"/>
    <w:rsid w:val="00642C81"/>
    <w:rsid w:val="00646A4D"/>
    <w:rsid w:val="00651627"/>
    <w:rsid w:val="006552A6"/>
    <w:rsid w:val="0065652F"/>
    <w:rsid w:val="006629F4"/>
    <w:rsid w:val="00664EA2"/>
    <w:rsid w:val="006766C6"/>
    <w:rsid w:val="00680E84"/>
    <w:rsid w:val="006873A4"/>
    <w:rsid w:val="0069299D"/>
    <w:rsid w:val="006A1B6A"/>
    <w:rsid w:val="006A788A"/>
    <w:rsid w:val="006B2F6D"/>
    <w:rsid w:val="006C1111"/>
    <w:rsid w:val="006C1526"/>
    <w:rsid w:val="006C372F"/>
    <w:rsid w:val="006C3CA1"/>
    <w:rsid w:val="006C57C2"/>
    <w:rsid w:val="006D0835"/>
    <w:rsid w:val="006D2814"/>
    <w:rsid w:val="006D45E0"/>
    <w:rsid w:val="006D4D55"/>
    <w:rsid w:val="006D608F"/>
    <w:rsid w:val="006D68D3"/>
    <w:rsid w:val="006E2B8B"/>
    <w:rsid w:val="006E320F"/>
    <w:rsid w:val="006E36DF"/>
    <w:rsid w:val="006E38CA"/>
    <w:rsid w:val="006E5489"/>
    <w:rsid w:val="006E64FC"/>
    <w:rsid w:val="006F15F8"/>
    <w:rsid w:val="006F19AE"/>
    <w:rsid w:val="006F50F5"/>
    <w:rsid w:val="006F5947"/>
    <w:rsid w:val="006F6F14"/>
    <w:rsid w:val="00700B9C"/>
    <w:rsid w:val="00702A54"/>
    <w:rsid w:val="00704F42"/>
    <w:rsid w:val="00704F57"/>
    <w:rsid w:val="00710431"/>
    <w:rsid w:val="007113AF"/>
    <w:rsid w:val="00716CF5"/>
    <w:rsid w:val="00731180"/>
    <w:rsid w:val="00733F70"/>
    <w:rsid w:val="00734FEA"/>
    <w:rsid w:val="007364B8"/>
    <w:rsid w:val="007473DD"/>
    <w:rsid w:val="00751273"/>
    <w:rsid w:val="00761B82"/>
    <w:rsid w:val="00762EBF"/>
    <w:rsid w:val="00765EC4"/>
    <w:rsid w:val="007759B0"/>
    <w:rsid w:val="00776023"/>
    <w:rsid w:val="00776D35"/>
    <w:rsid w:val="00781C7C"/>
    <w:rsid w:val="007826AB"/>
    <w:rsid w:val="0078468E"/>
    <w:rsid w:val="00792C5F"/>
    <w:rsid w:val="00793721"/>
    <w:rsid w:val="00795A1F"/>
    <w:rsid w:val="00796289"/>
    <w:rsid w:val="007A5ED9"/>
    <w:rsid w:val="007B11D2"/>
    <w:rsid w:val="007B3F7F"/>
    <w:rsid w:val="007B72A6"/>
    <w:rsid w:val="007B7F9D"/>
    <w:rsid w:val="007C0F17"/>
    <w:rsid w:val="007C1960"/>
    <w:rsid w:val="007C6C86"/>
    <w:rsid w:val="007C7F20"/>
    <w:rsid w:val="007D27D2"/>
    <w:rsid w:val="007D5AA0"/>
    <w:rsid w:val="007E1ED2"/>
    <w:rsid w:val="007F49C2"/>
    <w:rsid w:val="007F5C7C"/>
    <w:rsid w:val="00805C12"/>
    <w:rsid w:val="00806C53"/>
    <w:rsid w:val="00810400"/>
    <w:rsid w:val="00810E5E"/>
    <w:rsid w:val="008128BA"/>
    <w:rsid w:val="008133C9"/>
    <w:rsid w:val="008150DC"/>
    <w:rsid w:val="00815497"/>
    <w:rsid w:val="008167B6"/>
    <w:rsid w:val="00821B35"/>
    <w:rsid w:val="00822420"/>
    <w:rsid w:val="00826222"/>
    <w:rsid w:val="008264FB"/>
    <w:rsid w:val="008316D8"/>
    <w:rsid w:val="008321FA"/>
    <w:rsid w:val="00836531"/>
    <w:rsid w:val="00837E9F"/>
    <w:rsid w:val="00841259"/>
    <w:rsid w:val="00843EFB"/>
    <w:rsid w:val="00847C0C"/>
    <w:rsid w:val="00850573"/>
    <w:rsid w:val="00860C95"/>
    <w:rsid w:val="00864FCC"/>
    <w:rsid w:val="008702F9"/>
    <w:rsid w:val="00870F69"/>
    <w:rsid w:val="00872C01"/>
    <w:rsid w:val="00873D38"/>
    <w:rsid w:val="0087489D"/>
    <w:rsid w:val="00877CC9"/>
    <w:rsid w:val="00887BFB"/>
    <w:rsid w:val="00891CBB"/>
    <w:rsid w:val="00892D0A"/>
    <w:rsid w:val="00896D81"/>
    <w:rsid w:val="008A1637"/>
    <w:rsid w:val="008A1F19"/>
    <w:rsid w:val="008A2F22"/>
    <w:rsid w:val="008A4F83"/>
    <w:rsid w:val="008A5EF6"/>
    <w:rsid w:val="008B3816"/>
    <w:rsid w:val="008B575A"/>
    <w:rsid w:val="008C08AD"/>
    <w:rsid w:val="008C2105"/>
    <w:rsid w:val="008C2A4F"/>
    <w:rsid w:val="008C4074"/>
    <w:rsid w:val="008C4AD0"/>
    <w:rsid w:val="008D3962"/>
    <w:rsid w:val="008D4EDB"/>
    <w:rsid w:val="008D6C0F"/>
    <w:rsid w:val="008D6DDC"/>
    <w:rsid w:val="008D70E6"/>
    <w:rsid w:val="008D7106"/>
    <w:rsid w:val="008D76CC"/>
    <w:rsid w:val="008E6E2F"/>
    <w:rsid w:val="008F08AD"/>
    <w:rsid w:val="008F1B06"/>
    <w:rsid w:val="008F499B"/>
    <w:rsid w:val="008F4D03"/>
    <w:rsid w:val="008F7929"/>
    <w:rsid w:val="00904709"/>
    <w:rsid w:val="00930C5B"/>
    <w:rsid w:val="00931223"/>
    <w:rsid w:val="00931360"/>
    <w:rsid w:val="00933E4E"/>
    <w:rsid w:val="0093719E"/>
    <w:rsid w:val="009445A8"/>
    <w:rsid w:val="0094526E"/>
    <w:rsid w:val="0095156D"/>
    <w:rsid w:val="0095286D"/>
    <w:rsid w:val="00955267"/>
    <w:rsid w:val="009570E5"/>
    <w:rsid w:val="00960D19"/>
    <w:rsid w:val="0096156E"/>
    <w:rsid w:val="00964848"/>
    <w:rsid w:val="009659B4"/>
    <w:rsid w:val="00971589"/>
    <w:rsid w:val="00976A36"/>
    <w:rsid w:val="0097712D"/>
    <w:rsid w:val="00977EF1"/>
    <w:rsid w:val="00995A90"/>
    <w:rsid w:val="00995E08"/>
    <w:rsid w:val="00996028"/>
    <w:rsid w:val="009A0E56"/>
    <w:rsid w:val="009A1C3B"/>
    <w:rsid w:val="009A221A"/>
    <w:rsid w:val="009A3B62"/>
    <w:rsid w:val="009A4BEC"/>
    <w:rsid w:val="009B0BA8"/>
    <w:rsid w:val="009B2249"/>
    <w:rsid w:val="009B314D"/>
    <w:rsid w:val="009B48B1"/>
    <w:rsid w:val="009C219B"/>
    <w:rsid w:val="009C2320"/>
    <w:rsid w:val="009D0A2E"/>
    <w:rsid w:val="009E6C2E"/>
    <w:rsid w:val="009E70EE"/>
    <w:rsid w:val="009E7348"/>
    <w:rsid w:val="009F1AD2"/>
    <w:rsid w:val="00A01D29"/>
    <w:rsid w:val="00A11EF7"/>
    <w:rsid w:val="00A14D1A"/>
    <w:rsid w:val="00A15F67"/>
    <w:rsid w:val="00A17381"/>
    <w:rsid w:val="00A253AC"/>
    <w:rsid w:val="00A32085"/>
    <w:rsid w:val="00A4185F"/>
    <w:rsid w:val="00A433CA"/>
    <w:rsid w:val="00A44D6A"/>
    <w:rsid w:val="00A45D60"/>
    <w:rsid w:val="00A565D3"/>
    <w:rsid w:val="00A61766"/>
    <w:rsid w:val="00A62084"/>
    <w:rsid w:val="00A63B26"/>
    <w:rsid w:val="00A700D3"/>
    <w:rsid w:val="00A74232"/>
    <w:rsid w:val="00A75589"/>
    <w:rsid w:val="00A75C76"/>
    <w:rsid w:val="00A83404"/>
    <w:rsid w:val="00A854A7"/>
    <w:rsid w:val="00A869A6"/>
    <w:rsid w:val="00A86EB9"/>
    <w:rsid w:val="00A91C66"/>
    <w:rsid w:val="00A947AB"/>
    <w:rsid w:val="00AA1B3D"/>
    <w:rsid w:val="00AA1D98"/>
    <w:rsid w:val="00AA7564"/>
    <w:rsid w:val="00AB044B"/>
    <w:rsid w:val="00AB2975"/>
    <w:rsid w:val="00AB4735"/>
    <w:rsid w:val="00AC1F96"/>
    <w:rsid w:val="00AC7058"/>
    <w:rsid w:val="00AD0278"/>
    <w:rsid w:val="00AD0759"/>
    <w:rsid w:val="00AD4302"/>
    <w:rsid w:val="00AF5C37"/>
    <w:rsid w:val="00AF69F5"/>
    <w:rsid w:val="00B03142"/>
    <w:rsid w:val="00B036E1"/>
    <w:rsid w:val="00B046F1"/>
    <w:rsid w:val="00B049A0"/>
    <w:rsid w:val="00B052DC"/>
    <w:rsid w:val="00B07CDA"/>
    <w:rsid w:val="00B12B39"/>
    <w:rsid w:val="00B15B09"/>
    <w:rsid w:val="00B178D4"/>
    <w:rsid w:val="00B230F5"/>
    <w:rsid w:val="00B24AED"/>
    <w:rsid w:val="00B24D91"/>
    <w:rsid w:val="00B2603B"/>
    <w:rsid w:val="00B27158"/>
    <w:rsid w:val="00B3450A"/>
    <w:rsid w:val="00B35793"/>
    <w:rsid w:val="00B43073"/>
    <w:rsid w:val="00B45F27"/>
    <w:rsid w:val="00B5647F"/>
    <w:rsid w:val="00B616F8"/>
    <w:rsid w:val="00B65315"/>
    <w:rsid w:val="00B6795C"/>
    <w:rsid w:val="00B713FB"/>
    <w:rsid w:val="00B73363"/>
    <w:rsid w:val="00B73B26"/>
    <w:rsid w:val="00B77479"/>
    <w:rsid w:val="00B77730"/>
    <w:rsid w:val="00B816BA"/>
    <w:rsid w:val="00B819CE"/>
    <w:rsid w:val="00B822B5"/>
    <w:rsid w:val="00B82C6A"/>
    <w:rsid w:val="00B86366"/>
    <w:rsid w:val="00B864AF"/>
    <w:rsid w:val="00B8771B"/>
    <w:rsid w:val="00B930A1"/>
    <w:rsid w:val="00B957C3"/>
    <w:rsid w:val="00B97469"/>
    <w:rsid w:val="00BA623F"/>
    <w:rsid w:val="00BB5599"/>
    <w:rsid w:val="00BB56ED"/>
    <w:rsid w:val="00BC0E7F"/>
    <w:rsid w:val="00BC19C0"/>
    <w:rsid w:val="00BC27AC"/>
    <w:rsid w:val="00BC3D1C"/>
    <w:rsid w:val="00BC7808"/>
    <w:rsid w:val="00BC7881"/>
    <w:rsid w:val="00BC7E3A"/>
    <w:rsid w:val="00BD4730"/>
    <w:rsid w:val="00BE120D"/>
    <w:rsid w:val="00BE425C"/>
    <w:rsid w:val="00BE68D3"/>
    <w:rsid w:val="00BE77CE"/>
    <w:rsid w:val="00BF419B"/>
    <w:rsid w:val="00C0205C"/>
    <w:rsid w:val="00C065B1"/>
    <w:rsid w:val="00C12236"/>
    <w:rsid w:val="00C162D4"/>
    <w:rsid w:val="00C16764"/>
    <w:rsid w:val="00C2204B"/>
    <w:rsid w:val="00C2609B"/>
    <w:rsid w:val="00C325B7"/>
    <w:rsid w:val="00C352C1"/>
    <w:rsid w:val="00C40C9E"/>
    <w:rsid w:val="00C44BD8"/>
    <w:rsid w:val="00C506C8"/>
    <w:rsid w:val="00C50EC9"/>
    <w:rsid w:val="00C51A48"/>
    <w:rsid w:val="00C53913"/>
    <w:rsid w:val="00C6008C"/>
    <w:rsid w:val="00C61717"/>
    <w:rsid w:val="00C67336"/>
    <w:rsid w:val="00C70DB9"/>
    <w:rsid w:val="00C716F1"/>
    <w:rsid w:val="00C75E2B"/>
    <w:rsid w:val="00C8157F"/>
    <w:rsid w:val="00C836F4"/>
    <w:rsid w:val="00C84486"/>
    <w:rsid w:val="00C84753"/>
    <w:rsid w:val="00C86C24"/>
    <w:rsid w:val="00C9262F"/>
    <w:rsid w:val="00C92C67"/>
    <w:rsid w:val="00C930CC"/>
    <w:rsid w:val="00CA38E8"/>
    <w:rsid w:val="00CA3B08"/>
    <w:rsid w:val="00CA4342"/>
    <w:rsid w:val="00CA6D4F"/>
    <w:rsid w:val="00CB1CFA"/>
    <w:rsid w:val="00CB3AF3"/>
    <w:rsid w:val="00CB3B23"/>
    <w:rsid w:val="00CB699E"/>
    <w:rsid w:val="00CC1C1B"/>
    <w:rsid w:val="00CC56E0"/>
    <w:rsid w:val="00CC7638"/>
    <w:rsid w:val="00CC7EC5"/>
    <w:rsid w:val="00CD1A4C"/>
    <w:rsid w:val="00CD257B"/>
    <w:rsid w:val="00CD3E0A"/>
    <w:rsid w:val="00CD4A47"/>
    <w:rsid w:val="00CD4A50"/>
    <w:rsid w:val="00CE71D7"/>
    <w:rsid w:val="00CF16AE"/>
    <w:rsid w:val="00CF1CBE"/>
    <w:rsid w:val="00CF2A71"/>
    <w:rsid w:val="00CF3B48"/>
    <w:rsid w:val="00CF4303"/>
    <w:rsid w:val="00CF545C"/>
    <w:rsid w:val="00D0034B"/>
    <w:rsid w:val="00D017D1"/>
    <w:rsid w:val="00D10153"/>
    <w:rsid w:val="00D15DD3"/>
    <w:rsid w:val="00D16304"/>
    <w:rsid w:val="00D168CD"/>
    <w:rsid w:val="00D20F0D"/>
    <w:rsid w:val="00D21E3C"/>
    <w:rsid w:val="00D233B0"/>
    <w:rsid w:val="00D25C98"/>
    <w:rsid w:val="00D34DB2"/>
    <w:rsid w:val="00D3761D"/>
    <w:rsid w:val="00D40290"/>
    <w:rsid w:val="00D421EE"/>
    <w:rsid w:val="00D460F2"/>
    <w:rsid w:val="00D46414"/>
    <w:rsid w:val="00D50D78"/>
    <w:rsid w:val="00D51249"/>
    <w:rsid w:val="00D61100"/>
    <w:rsid w:val="00D64D81"/>
    <w:rsid w:val="00D70A32"/>
    <w:rsid w:val="00D7128C"/>
    <w:rsid w:val="00D7170B"/>
    <w:rsid w:val="00D72DB8"/>
    <w:rsid w:val="00D80323"/>
    <w:rsid w:val="00D80C41"/>
    <w:rsid w:val="00D84A1D"/>
    <w:rsid w:val="00D85032"/>
    <w:rsid w:val="00D85CDD"/>
    <w:rsid w:val="00D87C79"/>
    <w:rsid w:val="00D905A8"/>
    <w:rsid w:val="00DA3DF2"/>
    <w:rsid w:val="00DA763A"/>
    <w:rsid w:val="00DA7C34"/>
    <w:rsid w:val="00DC0584"/>
    <w:rsid w:val="00DC11B7"/>
    <w:rsid w:val="00DC66C1"/>
    <w:rsid w:val="00DD1336"/>
    <w:rsid w:val="00DD24E8"/>
    <w:rsid w:val="00DD391A"/>
    <w:rsid w:val="00DD5391"/>
    <w:rsid w:val="00DD664F"/>
    <w:rsid w:val="00DE37A3"/>
    <w:rsid w:val="00DE50C1"/>
    <w:rsid w:val="00DF0124"/>
    <w:rsid w:val="00DF78BF"/>
    <w:rsid w:val="00DF7D73"/>
    <w:rsid w:val="00DF7E98"/>
    <w:rsid w:val="00E047BF"/>
    <w:rsid w:val="00E05339"/>
    <w:rsid w:val="00E05E3F"/>
    <w:rsid w:val="00E1190E"/>
    <w:rsid w:val="00E11E01"/>
    <w:rsid w:val="00E14285"/>
    <w:rsid w:val="00E15A9F"/>
    <w:rsid w:val="00E160A9"/>
    <w:rsid w:val="00E237DB"/>
    <w:rsid w:val="00E24007"/>
    <w:rsid w:val="00E263DD"/>
    <w:rsid w:val="00E266B3"/>
    <w:rsid w:val="00E30218"/>
    <w:rsid w:val="00E330BE"/>
    <w:rsid w:val="00E3312D"/>
    <w:rsid w:val="00E34FDA"/>
    <w:rsid w:val="00E3755B"/>
    <w:rsid w:val="00E42303"/>
    <w:rsid w:val="00E42879"/>
    <w:rsid w:val="00E432D1"/>
    <w:rsid w:val="00E45C70"/>
    <w:rsid w:val="00E46CDA"/>
    <w:rsid w:val="00E51464"/>
    <w:rsid w:val="00E53B08"/>
    <w:rsid w:val="00E54BC6"/>
    <w:rsid w:val="00E61364"/>
    <w:rsid w:val="00E62DAC"/>
    <w:rsid w:val="00E63027"/>
    <w:rsid w:val="00E72886"/>
    <w:rsid w:val="00E72E3C"/>
    <w:rsid w:val="00E76F49"/>
    <w:rsid w:val="00E77917"/>
    <w:rsid w:val="00E8237D"/>
    <w:rsid w:val="00E831F0"/>
    <w:rsid w:val="00E93EA8"/>
    <w:rsid w:val="00E96D6A"/>
    <w:rsid w:val="00EA0D56"/>
    <w:rsid w:val="00EA11A8"/>
    <w:rsid w:val="00EA51CD"/>
    <w:rsid w:val="00EA5D0A"/>
    <w:rsid w:val="00EA7434"/>
    <w:rsid w:val="00EB48C6"/>
    <w:rsid w:val="00EC0B5B"/>
    <w:rsid w:val="00EC398B"/>
    <w:rsid w:val="00EE0C35"/>
    <w:rsid w:val="00EE1FEF"/>
    <w:rsid w:val="00EE524A"/>
    <w:rsid w:val="00EF0183"/>
    <w:rsid w:val="00EF0CA4"/>
    <w:rsid w:val="00EF1E8E"/>
    <w:rsid w:val="00EF4D1A"/>
    <w:rsid w:val="00EF54DF"/>
    <w:rsid w:val="00EF5AC0"/>
    <w:rsid w:val="00EF66ED"/>
    <w:rsid w:val="00F061A3"/>
    <w:rsid w:val="00F06A08"/>
    <w:rsid w:val="00F127BD"/>
    <w:rsid w:val="00F15B81"/>
    <w:rsid w:val="00F2059A"/>
    <w:rsid w:val="00F26654"/>
    <w:rsid w:val="00F273EC"/>
    <w:rsid w:val="00F2796C"/>
    <w:rsid w:val="00F27A39"/>
    <w:rsid w:val="00F31589"/>
    <w:rsid w:val="00F31964"/>
    <w:rsid w:val="00F323DA"/>
    <w:rsid w:val="00F3296A"/>
    <w:rsid w:val="00F420BA"/>
    <w:rsid w:val="00F441B3"/>
    <w:rsid w:val="00F51D64"/>
    <w:rsid w:val="00F5484B"/>
    <w:rsid w:val="00F5594A"/>
    <w:rsid w:val="00F619AB"/>
    <w:rsid w:val="00F76A0C"/>
    <w:rsid w:val="00F7729E"/>
    <w:rsid w:val="00F851F1"/>
    <w:rsid w:val="00F85A67"/>
    <w:rsid w:val="00F90056"/>
    <w:rsid w:val="00F90C90"/>
    <w:rsid w:val="00F9155A"/>
    <w:rsid w:val="00F931FD"/>
    <w:rsid w:val="00FA0D89"/>
    <w:rsid w:val="00FA12A2"/>
    <w:rsid w:val="00FA4BFC"/>
    <w:rsid w:val="00FA5552"/>
    <w:rsid w:val="00FA55A8"/>
    <w:rsid w:val="00FA6F8C"/>
    <w:rsid w:val="00FB184A"/>
    <w:rsid w:val="00FB2970"/>
    <w:rsid w:val="00FB4A5D"/>
    <w:rsid w:val="00FC076E"/>
    <w:rsid w:val="00FC444E"/>
    <w:rsid w:val="00FC5093"/>
    <w:rsid w:val="00FD6EBB"/>
    <w:rsid w:val="00FD75B7"/>
    <w:rsid w:val="00FE1B9D"/>
    <w:rsid w:val="00FE291F"/>
    <w:rsid w:val="00FE417C"/>
    <w:rsid w:val="00FE689F"/>
    <w:rsid w:val="00FF16A3"/>
    <w:rsid w:val="00FF59D5"/>
    <w:rsid w:val="00FF7762"/>
    <w:rsid w:val="00FF7B96"/>
    <w:rsid w:val="010065EF"/>
    <w:rsid w:val="01313FD0"/>
    <w:rsid w:val="01545A05"/>
    <w:rsid w:val="0196516C"/>
    <w:rsid w:val="01D97881"/>
    <w:rsid w:val="01E01E9D"/>
    <w:rsid w:val="01EE1956"/>
    <w:rsid w:val="020D098D"/>
    <w:rsid w:val="021D229B"/>
    <w:rsid w:val="029B2199"/>
    <w:rsid w:val="02C136CC"/>
    <w:rsid w:val="02C43AF3"/>
    <w:rsid w:val="030D0B94"/>
    <w:rsid w:val="03685798"/>
    <w:rsid w:val="037F21E0"/>
    <w:rsid w:val="039C5ACF"/>
    <w:rsid w:val="039D7B38"/>
    <w:rsid w:val="04103826"/>
    <w:rsid w:val="044B7594"/>
    <w:rsid w:val="04824684"/>
    <w:rsid w:val="04840C0D"/>
    <w:rsid w:val="04845DB3"/>
    <w:rsid w:val="04EF777D"/>
    <w:rsid w:val="058842F6"/>
    <w:rsid w:val="05A06988"/>
    <w:rsid w:val="05CA5FD9"/>
    <w:rsid w:val="05CD222A"/>
    <w:rsid w:val="05E72082"/>
    <w:rsid w:val="06022A08"/>
    <w:rsid w:val="0614349F"/>
    <w:rsid w:val="06306593"/>
    <w:rsid w:val="06441FC7"/>
    <w:rsid w:val="06B24F6B"/>
    <w:rsid w:val="06BE5C87"/>
    <w:rsid w:val="06CC7A48"/>
    <w:rsid w:val="06D43180"/>
    <w:rsid w:val="06D63FDA"/>
    <w:rsid w:val="07407C10"/>
    <w:rsid w:val="07826256"/>
    <w:rsid w:val="07FB0093"/>
    <w:rsid w:val="083906E4"/>
    <w:rsid w:val="08392F3E"/>
    <w:rsid w:val="083C63EB"/>
    <w:rsid w:val="08612441"/>
    <w:rsid w:val="08664EA3"/>
    <w:rsid w:val="0874698D"/>
    <w:rsid w:val="08B374B6"/>
    <w:rsid w:val="091837BC"/>
    <w:rsid w:val="092014DD"/>
    <w:rsid w:val="0921663A"/>
    <w:rsid w:val="09760172"/>
    <w:rsid w:val="09814CCE"/>
    <w:rsid w:val="09896468"/>
    <w:rsid w:val="099C6D52"/>
    <w:rsid w:val="09A93058"/>
    <w:rsid w:val="09B30921"/>
    <w:rsid w:val="09B54AE3"/>
    <w:rsid w:val="09CA7A0E"/>
    <w:rsid w:val="09D700F7"/>
    <w:rsid w:val="09DD4D2C"/>
    <w:rsid w:val="0A2031F5"/>
    <w:rsid w:val="0A475BB3"/>
    <w:rsid w:val="0A4870E3"/>
    <w:rsid w:val="0A517C19"/>
    <w:rsid w:val="0A5F1225"/>
    <w:rsid w:val="0A8B540F"/>
    <w:rsid w:val="0A9326D6"/>
    <w:rsid w:val="0A9775D2"/>
    <w:rsid w:val="0B027749"/>
    <w:rsid w:val="0B333AD1"/>
    <w:rsid w:val="0B87365B"/>
    <w:rsid w:val="0BB164DE"/>
    <w:rsid w:val="0BE60A9C"/>
    <w:rsid w:val="0BEF7252"/>
    <w:rsid w:val="0C02529C"/>
    <w:rsid w:val="0C086D11"/>
    <w:rsid w:val="0C1110C3"/>
    <w:rsid w:val="0C185990"/>
    <w:rsid w:val="0C5057D3"/>
    <w:rsid w:val="0C7D0A7D"/>
    <w:rsid w:val="0C812CF8"/>
    <w:rsid w:val="0CD56B4F"/>
    <w:rsid w:val="0D4D3F54"/>
    <w:rsid w:val="0D9755F8"/>
    <w:rsid w:val="0DBD6E05"/>
    <w:rsid w:val="0DDA1988"/>
    <w:rsid w:val="0DE52C62"/>
    <w:rsid w:val="0DF778E9"/>
    <w:rsid w:val="0DF91E0E"/>
    <w:rsid w:val="0E63740D"/>
    <w:rsid w:val="0E9F3FFA"/>
    <w:rsid w:val="0EB27237"/>
    <w:rsid w:val="0EE04D7C"/>
    <w:rsid w:val="0EEC5EBD"/>
    <w:rsid w:val="0F2C5B12"/>
    <w:rsid w:val="0F763CFC"/>
    <w:rsid w:val="0F9E0C47"/>
    <w:rsid w:val="0FF25C3A"/>
    <w:rsid w:val="102B1773"/>
    <w:rsid w:val="106C490A"/>
    <w:rsid w:val="107D325D"/>
    <w:rsid w:val="108D3999"/>
    <w:rsid w:val="109707D1"/>
    <w:rsid w:val="10A27663"/>
    <w:rsid w:val="10A278A6"/>
    <w:rsid w:val="10AD2C42"/>
    <w:rsid w:val="10BF01A4"/>
    <w:rsid w:val="10F24455"/>
    <w:rsid w:val="11186A50"/>
    <w:rsid w:val="11870A96"/>
    <w:rsid w:val="11874286"/>
    <w:rsid w:val="1200794F"/>
    <w:rsid w:val="12126FA9"/>
    <w:rsid w:val="12BF0B17"/>
    <w:rsid w:val="12D946F8"/>
    <w:rsid w:val="12E017EF"/>
    <w:rsid w:val="12FB2185"/>
    <w:rsid w:val="130B68AB"/>
    <w:rsid w:val="133B19B9"/>
    <w:rsid w:val="13515880"/>
    <w:rsid w:val="13612E45"/>
    <w:rsid w:val="13A22B12"/>
    <w:rsid w:val="14187FF1"/>
    <w:rsid w:val="1447160A"/>
    <w:rsid w:val="148505ED"/>
    <w:rsid w:val="14C81E24"/>
    <w:rsid w:val="1535537A"/>
    <w:rsid w:val="154D2A40"/>
    <w:rsid w:val="155249DC"/>
    <w:rsid w:val="1586474C"/>
    <w:rsid w:val="15895BC0"/>
    <w:rsid w:val="158B7CF9"/>
    <w:rsid w:val="15932ADB"/>
    <w:rsid w:val="15B14C95"/>
    <w:rsid w:val="15B75C8F"/>
    <w:rsid w:val="15D942BC"/>
    <w:rsid w:val="160A4C42"/>
    <w:rsid w:val="16534644"/>
    <w:rsid w:val="16D50798"/>
    <w:rsid w:val="16F6579E"/>
    <w:rsid w:val="179661CA"/>
    <w:rsid w:val="17A76437"/>
    <w:rsid w:val="18020434"/>
    <w:rsid w:val="183C74C7"/>
    <w:rsid w:val="185E299E"/>
    <w:rsid w:val="18F90F15"/>
    <w:rsid w:val="190F7D13"/>
    <w:rsid w:val="19105452"/>
    <w:rsid w:val="1911403D"/>
    <w:rsid w:val="19452F26"/>
    <w:rsid w:val="19D47052"/>
    <w:rsid w:val="19E3473B"/>
    <w:rsid w:val="1A507EC6"/>
    <w:rsid w:val="1A692747"/>
    <w:rsid w:val="1ABF1CD6"/>
    <w:rsid w:val="1AD03F59"/>
    <w:rsid w:val="1ADB2A9A"/>
    <w:rsid w:val="1B2808DC"/>
    <w:rsid w:val="1B2F7392"/>
    <w:rsid w:val="1B3E70B3"/>
    <w:rsid w:val="1B4B17D0"/>
    <w:rsid w:val="1B5730D1"/>
    <w:rsid w:val="1BF139FB"/>
    <w:rsid w:val="1C545869"/>
    <w:rsid w:val="1C955AAD"/>
    <w:rsid w:val="1CDB6B83"/>
    <w:rsid w:val="1CED04EA"/>
    <w:rsid w:val="1CF10D56"/>
    <w:rsid w:val="1D043DCD"/>
    <w:rsid w:val="1E1A73A3"/>
    <w:rsid w:val="1EAF3EBC"/>
    <w:rsid w:val="1EC27FFB"/>
    <w:rsid w:val="1EC758D2"/>
    <w:rsid w:val="1EEA12FF"/>
    <w:rsid w:val="1F0B3750"/>
    <w:rsid w:val="1F186958"/>
    <w:rsid w:val="1F2342E2"/>
    <w:rsid w:val="1F2A63D6"/>
    <w:rsid w:val="1FAC728C"/>
    <w:rsid w:val="1FC17316"/>
    <w:rsid w:val="20273223"/>
    <w:rsid w:val="202C3B95"/>
    <w:rsid w:val="20DB5E81"/>
    <w:rsid w:val="20F10AEA"/>
    <w:rsid w:val="213E0143"/>
    <w:rsid w:val="21451D93"/>
    <w:rsid w:val="219A789F"/>
    <w:rsid w:val="22160D89"/>
    <w:rsid w:val="223A21BF"/>
    <w:rsid w:val="224C2E4F"/>
    <w:rsid w:val="224C2E50"/>
    <w:rsid w:val="22591E2E"/>
    <w:rsid w:val="226240D6"/>
    <w:rsid w:val="22BE25AF"/>
    <w:rsid w:val="22C87003"/>
    <w:rsid w:val="22F5565A"/>
    <w:rsid w:val="23195674"/>
    <w:rsid w:val="232A196E"/>
    <w:rsid w:val="232C0B8F"/>
    <w:rsid w:val="23671171"/>
    <w:rsid w:val="236E4DAF"/>
    <w:rsid w:val="23883D63"/>
    <w:rsid w:val="244804EB"/>
    <w:rsid w:val="2455311A"/>
    <w:rsid w:val="247756FC"/>
    <w:rsid w:val="2499146E"/>
    <w:rsid w:val="24FD3608"/>
    <w:rsid w:val="251E7C23"/>
    <w:rsid w:val="252305A1"/>
    <w:rsid w:val="2530147C"/>
    <w:rsid w:val="255A78DB"/>
    <w:rsid w:val="25752DB0"/>
    <w:rsid w:val="25862913"/>
    <w:rsid w:val="25C008C4"/>
    <w:rsid w:val="25E847EB"/>
    <w:rsid w:val="25FC5958"/>
    <w:rsid w:val="261B4C23"/>
    <w:rsid w:val="2679637D"/>
    <w:rsid w:val="26D62895"/>
    <w:rsid w:val="26F82B0F"/>
    <w:rsid w:val="27026732"/>
    <w:rsid w:val="27097985"/>
    <w:rsid w:val="27226191"/>
    <w:rsid w:val="27251CE3"/>
    <w:rsid w:val="2750588B"/>
    <w:rsid w:val="27856069"/>
    <w:rsid w:val="279E366E"/>
    <w:rsid w:val="27A6150F"/>
    <w:rsid w:val="27CD5D45"/>
    <w:rsid w:val="27E46719"/>
    <w:rsid w:val="27F76530"/>
    <w:rsid w:val="28317347"/>
    <w:rsid w:val="28493558"/>
    <w:rsid w:val="2856119C"/>
    <w:rsid w:val="28847D7E"/>
    <w:rsid w:val="28BC2F38"/>
    <w:rsid w:val="28BC6713"/>
    <w:rsid w:val="290825CB"/>
    <w:rsid w:val="29115F75"/>
    <w:rsid w:val="291E5139"/>
    <w:rsid w:val="292A7786"/>
    <w:rsid w:val="293E378A"/>
    <w:rsid w:val="29562DDA"/>
    <w:rsid w:val="29664B00"/>
    <w:rsid w:val="29725E7D"/>
    <w:rsid w:val="2979449D"/>
    <w:rsid w:val="297F7E2F"/>
    <w:rsid w:val="29AB6575"/>
    <w:rsid w:val="29B24F17"/>
    <w:rsid w:val="29CD5A7A"/>
    <w:rsid w:val="29E85035"/>
    <w:rsid w:val="2A342AA0"/>
    <w:rsid w:val="2A651744"/>
    <w:rsid w:val="2A734BE3"/>
    <w:rsid w:val="2B46704F"/>
    <w:rsid w:val="2B823CDA"/>
    <w:rsid w:val="2B8A54C2"/>
    <w:rsid w:val="2BAC4753"/>
    <w:rsid w:val="2BD365C1"/>
    <w:rsid w:val="2BE57EEF"/>
    <w:rsid w:val="2BE754F6"/>
    <w:rsid w:val="2C047EA4"/>
    <w:rsid w:val="2C2230A1"/>
    <w:rsid w:val="2C2965E5"/>
    <w:rsid w:val="2C6C67F6"/>
    <w:rsid w:val="2C9564CE"/>
    <w:rsid w:val="2C9A6332"/>
    <w:rsid w:val="2CB26941"/>
    <w:rsid w:val="2CE800A6"/>
    <w:rsid w:val="2CE850D0"/>
    <w:rsid w:val="2CEE67E5"/>
    <w:rsid w:val="2D631A10"/>
    <w:rsid w:val="2D987799"/>
    <w:rsid w:val="2D9A6256"/>
    <w:rsid w:val="2DA26587"/>
    <w:rsid w:val="2DA72326"/>
    <w:rsid w:val="2DDC5B33"/>
    <w:rsid w:val="2E023DA4"/>
    <w:rsid w:val="2E7D3F3E"/>
    <w:rsid w:val="2E92575D"/>
    <w:rsid w:val="2EF05453"/>
    <w:rsid w:val="2F362FEA"/>
    <w:rsid w:val="2F73773E"/>
    <w:rsid w:val="2FCF1EF3"/>
    <w:rsid w:val="30017825"/>
    <w:rsid w:val="30090570"/>
    <w:rsid w:val="30140464"/>
    <w:rsid w:val="301F6739"/>
    <w:rsid w:val="302A23AE"/>
    <w:rsid w:val="309537C1"/>
    <w:rsid w:val="30B874AF"/>
    <w:rsid w:val="31C66232"/>
    <w:rsid w:val="320507CF"/>
    <w:rsid w:val="320C06AF"/>
    <w:rsid w:val="320D55D9"/>
    <w:rsid w:val="320F75A3"/>
    <w:rsid w:val="32137499"/>
    <w:rsid w:val="32502792"/>
    <w:rsid w:val="325B6344"/>
    <w:rsid w:val="325E24F5"/>
    <w:rsid w:val="326B0D45"/>
    <w:rsid w:val="328F4FD5"/>
    <w:rsid w:val="32AE7CFB"/>
    <w:rsid w:val="32C13938"/>
    <w:rsid w:val="32FD258E"/>
    <w:rsid w:val="33AC2595"/>
    <w:rsid w:val="33D02339"/>
    <w:rsid w:val="33E07F36"/>
    <w:rsid w:val="33FE2D5F"/>
    <w:rsid w:val="34320CBB"/>
    <w:rsid w:val="34515A1F"/>
    <w:rsid w:val="34A75871"/>
    <w:rsid w:val="351860B1"/>
    <w:rsid w:val="35447564"/>
    <w:rsid w:val="35591561"/>
    <w:rsid w:val="35647C06"/>
    <w:rsid w:val="35665A64"/>
    <w:rsid w:val="35A307CF"/>
    <w:rsid w:val="35E52012"/>
    <w:rsid w:val="35E623C9"/>
    <w:rsid w:val="35E84393"/>
    <w:rsid w:val="36435A6D"/>
    <w:rsid w:val="36492752"/>
    <w:rsid w:val="364B79D5"/>
    <w:rsid w:val="36884386"/>
    <w:rsid w:val="368F66A8"/>
    <w:rsid w:val="36B44275"/>
    <w:rsid w:val="36F40B16"/>
    <w:rsid w:val="37213676"/>
    <w:rsid w:val="37236DE0"/>
    <w:rsid w:val="372F0325"/>
    <w:rsid w:val="375E2A38"/>
    <w:rsid w:val="37970B47"/>
    <w:rsid w:val="37C56385"/>
    <w:rsid w:val="37E13E60"/>
    <w:rsid w:val="37E33064"/>
    <w:rsid w:val="37F012DD"/>
    <w:rsid w:val="38275905"/>
    <w:rsid w:val="38DE55D9"/>
    <w:rsid w:val="38F44DFD"/>
    <w:rsid w:val="390F2B9F"/>
    <w:rsid w:val="391B2008"/>
    <w:rsid w:val="39365146"/>
    <w:rsid w:val="394538AA"/>
    <w:rsid w:val="39CD6A2F"/>
    <w:rsid w:val="3A437DEA"/>
    <w:rsid w:val="3A800B90"/>
    <w:rsid w:val="3AA91F1E"/>
    <w:rsid w:val="3ADC113A"/>
    <w:rsid w:val="3AEC7674"/>
    <w:rsid w:val="3B4071E9"/>
    <w:rsid w:val="3B4E0577"/>
    <w:rsid w:val="3B58175D"/>
    <w:rsid w:val="3B6064A9"/>
    <w:rsid w:val="3B691605"/>
    <w:rsid w:val="3B691AD2"/>
    <w:rsid w:val="3B846989"/>
    <w:rsid w:val="3B9923D1"/>
    <w:rsid w:val="3BAE5737"/>
    <w:rsid w:val="3BB56AC5"/>
    <w:rsid w:val="3BC317B6"/>
    <w:rsid w:val="3C2854E9"/>
    <w:rsid w:val="3C2F1BB1"/>
    <w:rsid w:val="3C8C4521"/>
    <w:rsid w:val="3CA00DC2"/>
    <w:rsid w:val="3CAA2415"/>
    <w:rsid w:val="3CB20F9F"/>
    <w:rsid w:val="3CD522D1"/>
    <w:rsid w:val="3CF15936"/>
    <w:rsid w:val="3D0B2D9F"/>
    <w:rsid w:val="3D1F1B3A"/>
    <w:rsid w:val="3D595B76"/>
    <w:rsid w:val="3D597924"/>
    <w:rsid w:val="3DB440F0"/>
    <w:rsid w:val="3DE513DC"/>
    <w:rsid w:val="3DF20B0A"/>
    <w:rsid w:val="3DFB7A96"/>
    <w:rsid w:val="3E050238"/>
    <w:rsid w:val="3E545118"/>
    <w:rsid w:val="3EA50899"/>
    <w:rsid w:val="3ECB4852"/>
    <w:rsid w:val="3EF50D98"/>
    <w:rsid w:val="3EFB53E8"/>
    <w:rsid w:val="3F5465F5"/>
    <w:rsid w:val="3F64792D"/>
    <w:rsid w:val="3FB13CAF"/>
    <w:rsid w:val="3FC226FF"/>
    <w:rsid w:val="3FDC06EE"/>
    <w:rsid w:val="403D7F49"/>
    <w:rsid w:val="404B033D"/>
    <w:rsid w:val="40534E66"/>
    <w:rsid w:val="408B342F"/>
    <w:rsid w:val="40F260C6"/>
    <w:rsid w:val="41097A04"/>
    <w:rsid w:val="41181748"/>
    <w:rsid w:val="411B3CF9"/>
    <w:rsid w:val="41231198"/>
    <w:rsid w:val="4128270E"/>
    <w:rsid w:val="4142309A"/>
    <w:rsid w:val="4194450E"/>
    <w:rsid w:val="41B57CEE"/>
    <w:rsid w:val="41CB05A1"/>
    <w:rsid w:val="41DE3B58"/>
    <w:rsid w:val="4204496B"/>
    <w:rsid w:val="421E6C87"/>
    <w:rsid w:val="42454F63"/>
    <w:rsid w:val="42526BD8"/>
    <w:rsid w:val="42560574"/>
    <w:rsid w:val="42B4278E"/>
    <w:rsid w:val="42B86D73"/>
    <w:rsid w:val="435F1F43"/>
    <w:rsid w:val="436F671D"/>
    <w:rsid w:val="438F417C"/>
    <w:rsid w:val="43C258B2"/>
    <w:rsid w:val="43D023F5"/>
    <w:rsid w:val="441C54C5"/>
    <w:rsid w:val="442E1B0B"/>
    <w:rsid w:val="443F1ACD"/>
    <w:rsid w:val="444940B8"/>
    <w:rsid w:val="44544826"/>
    <w:rsid w:val="446570BC"/>
    <w:rsid w:val="44A65B45"/>
    <w:rsid w:val="44CC6C2E"/>
    <w:rsid w:val="44D4283C"/>
    <w:rsid w:val="44F574A9"/>
    <w:rsid w:val="45046BCE"/>
    <w:rsid w:val="45224F2A"/>
    <w:rsid w:val="458F221E"/>
    <w:rsid w:val="45997CA6"/>
    <w:rsid w:val="45EB1E9E"/>
    <w:rsid w:val="461C3A20"/>
    <w:rsid w:val="46215F7A"/>
    <w:rsid w:val="46241658"/>
    <w:rsid w:val="463D4662"/>
    <w:rsid w:val="464120C1"/>
    <w:rsid w:val="46670527"/>
    <w:rsid w:val="466D1D74"/>
    <w:rsid w:val="46B874E2"/>
    <w:rsid w:val="46D53D45"/>
    <w:rsid w:val="46E61DF5"/>
    <w:rsid w:val="46EA13C7"/>
    <w:rsid w:val="471D6E98"/>
    <w:rsid w:val="47225FD2"/>
    <w:rsid w:val="473B1B25"/>
    <w:rsid w:val="473D3E13"/>
    <w:rsid w:val="475278BE"/>
    <w:rsid w:val="47531219"/>
    <w:rsid w:val="47B06CE1"/>
    <w:rsid w:val="4802249F"/>
    <w:rsid w:val="48975774"/>
    <w:rsid w:val="489F7B06"/>
    <w:rsid w:val="48AC14C2"/>
    <w:rsid w:val="48D04F3E"/>
    <w:rsid w:val="48D44F98"/>
    <w:rsid w:val="49095D97"/>
    <w:rsid w:val="494C5C4C"/>
    <w:rsid w:val="494E4BED"/>
    <w:rsid w:val="49725101"/>
    <w:rsid w:val="497C435F"/>
    <w:rsid w:val="49831FB1"/>
    <w:rsid w:val="49A72094"/>
    <w:rsid w:val="49A85EBB"/>
    <w:rsid w:val="49AD702E"/>
    <w:rsid w:val="4A18025E"/>
    <w:rsid w:val="4A4356B2"/>
    <w:rsid w:val="4A67407B"/>
    <w:rsid w:val="4A772217"/>
    <w:rsid w:val="4A8461DD"/>
    <w:rsid w:val="4AC26B09"/>
    <w:rsid w:val="4ADB406F"/>
    <w:rsid w:val="4B2477C4"/>
    <w:rsid w:val="4B5D6832"/>
    <w:rsid w:val="4B6F0727"/>
    <w:rsid w:val="4B7F2BC0"/>
    <w:rsid w:val="4B8B751B"/>
    <w:rsid w:val="4BAA7BE0"/>
    <w:rsid w:val="4BD73618"/>
    <w:rsid w:val="4BF648D7"/>
    <w:rsid w:val="4BF80995"/>
    <w:rsid w:val="4BFC06F5"/>
    <w:rsid w:val="4C135C1A"/>
    <w:rsid w:val="4C3752D5"/>
    <w:rsid w:val="4C59524B"/>
    <w:rsid w:val="4C7E73A7"/>
    <w:rsid w:val="4C9F44A6"/>
    <w:rsid w:val="4CDD3498"/>
    <w:rsid w:val="4CFD6C6B"/>
    <w:rsid w:val="4D9C4A59"/>
    <w:rsid w:val="4DD23507"/>
    <w:rsid w:val="4DD52D06"/>
    <w:rsid w:val="4DDF1D82"/>
    <w:rsid w:val="4DE525CC"/>
    <w:rsid w:val="4DE90A36"/>
    <w:rsid w:val="4DEA18F7"/>
    <w:rsid w:val="4E322F89"/>
    <w:rsid w:val="4E8106DF"/>
    <w:rsid w:val="4E820176"/>
    <w:rsid w:val="4EE12D4D"/>
    <w:rsid w:val="4EFA2C5F"/>
    <w:rsid w:val="4F1C3919"/>
    <w:rsid w:val="4F5E6D52"/>
    <w:rsid w:val="4F655C1B"/>
    <w:rsid w:val="4F7A735E"/>
    <w:rsid w:val="4FE728BD"/>
    <w:rsid w:val="4FE97FC6"/>
    <w:rsid w:val="4FF736D0"/>
    <w:rsid w:val="50063DD3"/>
    <w:rsid w:val="50086337"/>
    <w:rsid w:val="5043249A"/>
    <w:rsid w:val="50546455"/>
    <w:rsid w:val="506E38B0"/>
    <w:rsid w:val="506F3074"/>
    <w:rsid w:val="50911525"/>
    <w:rsid w:val="50AD08C5"/>
    <w:rsid w:val="50F265BC"/>
    <w:rsid w:val="50F83E2B"/>
    <w:rsid w:val="51537988"/>
    <w:rsid w:val="51A11F53"/>
    <w:rsid w:val="51A27694"/>
    <w:rsid w:val="51E67039"/>
    <w:rsid w:val="51FA302C"/>
    <w:rsid w:val="521E3238"/>
    <w:rsid w:val="528306E7"/>
    <w:rsid w:val="529910E8"/>
    <w:rsid w:val="52AE3829"/>
    <w:rsid w:val="52C57A50"/>
    <w:rsid w:val="52FC6D0F"/>
    <w:rsid w:val="53426A39"/>
    <w:rsid w:val="537624C4"/>
    <w:rsid w:val="53C46482"/>
    <w:rsid w:val="53D6364C"/>
    <w:rsid w:val="53F56C2A"/>
    <w:rsid w:val="541157D5"/>
    <w:rsid w:val="544D5403"/>
    <w:rsid w:val="54613EDC"/>
    <w:rsid w:val="54716DD2"/>
    <w:rsid w:val="54733A6B"/>
    <w:rsid w:val="547D2605"/>
    <w:rsid w:val="54A51975"/>
    <w:rsid w:val="54AA764A"/>
    <w:rsid w:val="54AD6A7C"/>
    <w:rsid w:val="55355708"/>
    <w:rsid w:val="554B5645"/>
    <w:rsid w:val="555B0286"/>
    <w:rsid w:val="55677F4E"/>
    <w:rsid w:val="558B28BD"/>
    <w:rsid w:val="55AE4E88"/>
    <w:rsid w:val="55E30278"/>
    <w:rsid w:val="55E4174F"/>
    <w:rsid w:val="55FA4E16"/>
    <w:rsid w:val="55FD0E96"/>
    <w:rsid w:val="55FD3682"/>
    <w:rsid w:val="560E5C89"/>
    <w:rsid w:val="56755377"/>
    <w:rsid w:val="56A3678B"/>
    <w:rsid w:val="56CA7FDA"/>
    <w:rsid w:val="56DB6DD8"/>
    <w:rsid w:val="56E82267"/>
    <w:rsid w:val="56ED1532"/>
    <w:rsid w:val="574B0E6D"/>
    <w:rsid w:val="576240A4"/>
    <w:rsid w:val="578A6471"/>
    <w:rsid w:val="578E5989"/>
    <w:rsid w:val="57B83FE2"/>
    <w:rsid w:val="57C241B7"/>
    <w:rsid w:val="58324BBC"/>
    <w:rsid w:val="583B5C6B"/>
    <w:rsid w:val="584E65AD"/>
    <w:rsid w:val="586F5D06"/>
    <w:rsid w:val="58871E88"/>
    <w:rsid w:val="589B40AC"/>
    <w:rsid w:val="58B71C77"/>
    <w:rsid w:val="58C42F46"/>
    <w:rsid w:val="58E87C56"/>
    <w:rsid w:val="59505000"/>
    <w:rsid w:val="59596182"/>
    <w:rsid w:val="595970FB"/>
    <w:rsid w:val="5965576B"/>
    <w:rsid w:val="596D67DA"/>
    <w:rsid w:val="5972640D"/>
    <w:rsid w:val="59937236"/>
    <w:rsid w:val="59CD7927"/>
    <w:rsid w:val="59DB4D4D"/>
    <w:rsid w:val="59DD44F1"/>
    <w:rsid w:val="5AC4067B"/>
    <w:rsid w:val="5AD10A70"/>
    <w:rsid w:val="5AE95109"/>
    <w:rsid w:val="5B082D2A"/>
    <w:rsid w:val="5B294982"/>
    <w:rsid w:val="5B46326B"/>
    <w:rsid w:val="5B485F78"/>
    <w:rsid w:val="5BD2320B"/>
    <w:rsid w:val="5C26335D"/>
    <w:rsid w:val="5C7F0CFE"/>
    <w:rsid w:val="5CE12C2D"/>
    <w:rsid w:val="5D347D3A"/>
    <w:rsid w:val="5D502944"/>
    <w:rsid w:val="5D515DD0"/>
    <w:rsid w:val="5D59604B"/>
    <w:rsid w:val="5D600561"/>
    <w:rsid w:val="5D723FA5"/>
    <w:rsid w:val="5DF61620"/>
    <w:rsid w:val="5E234EF0"/>
    <w:rsid w:val="5E324023"/>
    <w:rsid w:val="5E667B4E"/>
    <w:rsid w:val="5E86057E"/>
    <w:rsid w:val="5E8C1305"/>
    <w:rsid w:val="5ECE5BEC"/>
    <w:rsid w:val="5EDA299D"/>
    <w:rsid w:val="5F182C00"/>
    <w:rsid w:val="5F281C57"/>
    <w:rsid w:val="5F366101"/>
    <w:rsid w:val="5F5C2677"/>
    <w:rsid w:val="5F6441DB"/>
    <w:rsid w:val="5F7E1EC5"/>
    <w:rsid w:val="5FDD1092"/>
    <w:rsid w:val="60395AF1"/>
    <w:rsid w:val="608C5016"/>
    <w:rsid w:val="60C53820"/>
    <w:rsid w:val="61034060"/>
    <w:rsid w:val="610619ED"/>
    <w:rsid w:val="610B0DB2"/>
    <w:rsid w:val="610F40E3"/>
    <w:rsid w:val="612956DC"/>
    <w:rsid w:val="616B5959"/>
    <w:rsid w:val="61C44774"/>
    <w:rsid w:val="61E62441"/>
    <w:rsid w:val="62685D90"/>
    <w:rsid w:val="62AE3F5C"/>
    <w:rsid w:val="62B31FC9"/>
    <w:rsid w:val="62B340C9"/>
    <w:rsid w:val="62F25A67"/>
    <w:rsid w:val="63173B3E"/>
    <w:rsid w:val="63870B52"/>
    <w:rsid w:val="63C444A7"/>
    <w:rsid w:val="63CC0472"/>
    <w:rsid w:val="63D433EF"/>
    <w:rsid w:val="643D3054"/>
    <w:rsid w:val="64526A21"/>
    <w:rsid w:val="6460116A"/>
    <w:rsid w:val="64877639"/>
    <w:rsid w:val="649811DC"/>
    <w:rsid w:val="64CD6707"/>
    <w:rsid w:val="64F53EBE"/>
    <w:rsid w:val="650A5824"/>
    <w:rsid w:val="6574089B"/>
    <w:rsid w:val="65805F3F"/>
    <w:rsid w:val="6598790F"/>
    <w:rsid w:val="65BF03BD"/>
    <w:rsid w:val="65C50CB1"/>
    <w:rsid w:val="663750C4"/>
    <w:rsid w:val="66552ACF"/>
    <w:rsid w:val="66783CFA"/>
    <w:rsid w:val="66B9305E"/>
    <w:rsid w:val="67185FD7"/>
    <w:rsid w:val="672330FE"/>
    <w:rsid w:val="6727446C"/>
    <w:rsid w:val="67894CCB"/>
    <w:rsid w:val="6792716B"/>
    <w:rsid w:val="67AD7B3B"/>
    <w:rsid w:val="67B41D4F"/>
    <w:rsid w:val="68156944"/>
    <w:rsid w:val="6816772B"/>
    <w:rsid w:val="68213A12"/>
    <w:rsid w:val="68E755FA"/>
    <w:rsid w:val="690600B1"/>
    <w:rsid w:val="69081C06"/>
    <w:rsid w:val="69133911"/>
    <w:rsid w:val="69602A7C"/>
    <w:rsid w:val="696657A2"/>
    <w:rsid w:val="6A1B3A24"/>
    <w:rsid w:val="6A221668"/>
    <w:rsid w:val="6A4C14CC"/>
    <w:rsid w:val="6A672459"/>
    <w:rsid w:val="6A795BED"/>
    <w:rsid w:val="6A942176"/>
    <w:rsid w:val="6ACB15B2"/>
    <w:rsid w:val="6B2821C1"/>
    <w:rsid w:val="6B2B6FA4"/>
    <w:rsid w:val="6B3D1106"/>
    <w:rsid w:val="6B4F3CF2"/>
    <w:rsid w:val="6B540226"/>
    <w:rsid w:val="6BDB4DEC"/>
    <w:rsid w:val="6C0B2E9E"/>
    <w:rsid w:val="6C235955"/>
    <w:rsid w:val="6C511F53"/>
    <w:rsid w:val="6D083B3F"/>
    <w:rsid w:val="6D355B56"/>
    <w:rsid w:val="6D4451DE"/>
    <w:rsid w:val="6D455643"/>
    <w:rsid w:val="6D8D0B56"/>
    <w:rsid w:val="6D96501B"/>
    <w:rsid w:val="6DC672E4"/>
    <w:rsid w:val="6DD678BF"/>
    <w:rsid w:val="6DFD1A82"/>
    <w:rsid w:val="6E370C2B"/>
    <w:rsid w:val="6E483EDD"/>
    <w:rsid w:val="6E5378F4"/>
    <w:rsid w:val="6E6263D9"/>
    <w:rsid w:val="6E805E51"/>
    <w:rsid w:val="6E8C6500"/>
    <w:rsid w:val="6EB70ADA"/>
    <w:rsid w:val="6EDB6E88"/>
    <w:rsid w:val="6F0E3000"/>
    <w:rsid w:val="6F180072"/>
    <w:rsid w:val="6F1F1918"/>
    <w:rsid w:val="6F8D537F"/>
    <w:rsid w:val="6F8E72C9"/>
    <w:rsid w:val="6FAE090D"/>
    <w:rsid w:val="6FC05792"/>
    <w:rsid w:val="6FC94426"/>
    <w:rsid w:val="70146207"/>
    <w:rsid w:val="702C2AAD"/>
    <w:rsid w:val="7051505A"/>
    <w:rsid w:val="70675E0C"/>
    <w:rsid w:val="708F7DE6"/>
    <w:rsid w:val="709C081C"/>
    <w:rsid w:val="70B84386"/>
    <w:rsid w:val="70D70700"/>
    <w:rsid w:val="70E92F39"/>
    <w:rsid w:val="70F022D5"/>
    <w:rsid w:val="70F43938"/>
    <w:rsid w:val="716513B4"/>
    <w:rsid w:val="71E45391"/>
    <w:rsid w:val="72BD3ED6"/>
    <w:rsid w:val="730218E9"/>
    <w:rsid w:val="73467A28"/>
    <w:rsid w:val="73845205"/>
    <w:rsid w:val="739D0A02"/>
    <w:rsid w:val="73A86934"/>
    <w:rsid w:val="73F04B04"/>
    <w:rsid w:val="73F919C8"/>
    <w:rsid w:val="741D1EBC"/>
    <w:rsid w:val="74477EFB"/>
    <w:rsid w:val="744D42D6"/>
    <w:rsid w:val="746A04E0"/>
    <w:rsid w:val="74736F42"/>
    <w:rsid w:val="748E78D8"/>
    <w:rsid w:val="74CC0B1A"/>
    <w:rsid w:val="7563128F"/>
    <w:rsid w:val="75750A98"/>
    <w:rsid w:val="75A1348E"/>
    <w:rsid w:val="75D414FC"/>
    <w:rsid w:val="75F606EF"/>
    <w:rsid w:val="762229CE"/>
    <w:rsid w:val="762C0FE2"/>
    <w:rsid w:val="767D7BCA"/>
    <w:rsid w:val="76884E7E"/>
    <w:rsid w:val="76A046E3"/>
    <w:rsid w:val="76BA5D67"/>
    <w:rsid w:val="770D7A18"/>
    <w:rsid w:val="77333076"/>
    <w:rsid w:val="7762504C"/>
    <w:rsid w:val="777B3E7E"/>
    <w:rsid w:val="77B12470"/>
    <w:rsid w:val="77D5431D"/>
    <w:rsid w:val="77EB6DF0"/>
    <w:rsid w:val="78417AC8"/>
    <w:rsid w:val="784B3BBC"/>
    <w:rsid w:val="78762B5D"/>
    <w:rsid w:val="78BD5317"/>
    <w:rsid w:val="78C50791"/>
    <w:rsid w:val="78DA66B6"/>
    <w:rsid w:val="79150D00"/>
    <w:rsid w:val="795603D7"/>
    <w:rsid w:val="796846FB"/>
    <w:rsid w:val="797C66F5"/>
    <w:rsid w:val="7A15284A"/>
    <w:rsid w:val="7A85352B"/>
    <w:rsid w:val="7AB31217"/>
    <w:rsid w:val="7ACD6C80"/>
    <w:rsid w:val="7BA607B1"/>
    <w:rsid w:val="7C9B298A"/>
    <w:rsid w:val="7CC5475F"/>
    <w:rsid w:val="7CDC3F05"/>
    <w:rsid w:val="7CED44C7"/>
    <w:rsid w:val="7CF46E5D"/>
    <w:rsid w:val="7CFE20C5"/>
    <w:rsid w:val="7D1110A6"/>
    <w:rsid w:val="7D1C7005"/>
    <w:rsid w:val="7D1D472F"/>
    <w:rsid w:val="7D513B99"/>
    <w:rsid w:val="7E0D1E7B"/>
    <w:rsid w:val="7E21074A"/>
    <w:rsid w:val="7E210E80"/>
    <w:rsid w:val="7E42197B"/>
    <w:rsid w:val="7E591214"/>
    <w:rsid w:val="7E6B5C4F"/>
    <w:rsid w:val="7EAA72DF"/>
    <w:rsid w:val="7EDE5358"/>
    <w:rsid w:val="7F817C78"/>
    <w:rsid w:val="7FE47540"/>
    <w:rsid w:val="7FF55D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40" w:lineRule="exact"/>
      <w:ind w:firstLine="200" w:firstLineChars="200"/>
      <w:jc w:val="both"/>
    </w:pPr>
    <w:rPr>
      <w:rFonts w:ascii="Times New Roman" w:hAnsi="Times New Roman" w:eastAsia="仿宋" w:cs="Times New Roman"/>
      <w:kern w:val="2"/>
      <w:sz w:val="30"/>
      <w:lang w:val="en-US" w:eastAsia="zh-CN" w:bidi="ar-SA"/>
    </w:rPr>
  </w:style>
  <w:style w:type="paragraph" w:styleId="2">
    <w:name w:val="heading 1"/>
    <w:basedOn w:val="1"/>
    <w:next w:val="1"/>
    <w:link w:val="16"/>
    <w:qFormat/>
    <w:uiPriority w:val="9"/>
    <w:pPr>
      <w:keepNext/>
      <w:keepLines/>
      <w:numPr>
        <w:ilvl w:val="0"/>
        <w:numId w:val="1"/>
      </w:numPr>
      <w:spacing w:beforeLines="100" w:afterLines="100" w:line="540" w:lineRule="atLeast"/>
      <w:ind w:firstLine="0" w:firstLineChars="0"/>
      <w:jc w:val="center"/>
      <w:outlineLvl w:val="0"/>
    </w:pPr>
    <w:rPr>
      <w:rFonts w:eastAsia="黑体"/>
      <w:b/>
      <w:bCs/>
      <w:kern w:val="44"/>
      <w:szCs w:val="44"/>
    </w:rPr>
  </w:style>
  <w:style w:type="paragraph" w:styleId="3">
    <w:name w:val="heading 2"/>
    <w:basedOn w:val="1"/>
    <w:next w:val="1"/>
    <w:link w:val="17"/>
    <w:semiHidden/>
    <w:unhideWhenUsed/>
    <w:qFormat/>
    <w:uiPriority w:val="9"/>
    <w:pPr>
      <w:keepNext/>
      <w:keepLines/>
      <w:spacing w:before="260" w:after="260" w:line="416" w:lineRule="atLeast"/>
      <w:outlineLvl w:val="1"/>
    </w:pPr>
    <w:rPr>
      <w:rFonts w:asciiTheme="majorHAnsi" w:hAnsiTheme="majorHAnsi" w:eastAsiaTheme="majorEastAsia" w:cstheme="majorBidi"/>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3"/>
    <w:semiHidden/>
    <w:unhideWhenUsed/>
    <w:qFormat/>
    <w:uiPriority w:val="99"/>
    <w:pPr>
      <w:jc w:val="left"/>
    </w:pPr>
  </w:style>
  <w:style w:type="paragraph" w:styleId="5">
    <w:name w:val="Date"/>
    <w:basedOn w:val="1"/>
    <w:next w:val="1"/>
    <w:link w:val="18"/>
    <w:semiHidden/>
    <w:unhideWhenUsed/>
    <w:qFormat/>
    <w:uiPriority w:val="99"/>
    <w:pPr>
      <w:ind w:left="100" w:leftChars="2500"/>
    </w:pPr>
  </w:style>
  <w:style w:type="paragraph" w:styleId="6">
    <w:name w:val="Balloon Text"/>
    <w:basedOn w:val="1"/>
    <w:link w:val="19"/>
    <w:semiHidden/>
    <w:unhideWhenUsed/>
    <w:qFormat/>
    <w:uiPriority w:val="99"/>
    <w:pPr>
      <w:spacing w:line="240" w:lineRule="auto"/>
    </w:pPr>
    <w:rPr>
      <w:sz w:val="18"/>
      <w:szCs w:val="18"/>
    </w:r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pPr>
      <w:tabs>
        <w:tab w:val="left" w:pos="1050"/>
        <w:tab w:val="right" w:leader="dot" w:pos="8296"/>
      </w:tabs>
      <w:ind w:firstLine="600"/>
    </w:pPr>
  </w:style>
  <w:style w:type="paragraph" w:styleId="10">
    <w:name w:val="Normal (Web)"/>
    <w:basedOn w:val="1"/>
    <w:semiHidden/>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paragraph" w:styleId="11">
    <w:name w:val="annotation subject"/>
    <w:basedOn w:val="4"/>
    <w:next w:val="4"/>
    <w:link w:val="24"/>
    <w:semiHidden/>
    <w:unhideWhenUsed/>
    <w:qFormat/>
    <w:uiPriority w:val="99"/>
    <w:rPr>
      <w:b/>
      <w:bCs/>
    </w:rPr>
  </w:style>
  <w:style w:type="character" w:styleId="14">
    <w:name w:val="Hyperlink"/>
    <w:basedOn w:val="13"/>
    <w:unhideWhenUsed/>
    <w:qFormat/>
    <w:uiPriority w:val="99"/>
    <w:rPr>
      <w:color w:val="0563C1" w:themeColor="hyperlink"/>
      <w:u w:val="single"/>
      <w14:textFill>
        <w14:solidFill>
          <w14:schemeClr w14:val="hlink"/>
        </w14:solidFill>
      </w14:textFill>
    </w:rPr>
  </w:style>
  <w:style w:type="character" w:styleId="15">
    <w:name w:val="annotation reference"/>
    <w:basedOn w:val="13"/>
    <w:semiHidden/>
    <w:unhideWhenUsed/>
    <w:qFormat/>
    <w:uiPriority w:val="99"/>
    <w:rPr>
      <w:sz w:val="21"/>
      <w:szCs w:val="21"/>
    </w:rPr>
  </w:style>
  <w:style w:type="character" w:customStyle="1" w:styleId="16">
    <w:name w:val="标题 1 字符"/>
    <w:basedOn w:val="13"/>
    <w:link w:val="2"/>
    <w:qFormat/>
    <w:uiPriority w:val="9"/>
    <w:rPr>
      <w:rFonts w:ascii="Times New Roman" w:hAnsi="Times New Roman" w:eastAsia="黑体" w:cs="Times New Roman"/>
      <w:b/>
      <w:bCs/>
      <w:kern w:val="44"/>
      <w:sz w:val="30"/>
      <w:szCs w:val="44"/>
    </w:rPr>
  </w:style>
  <w:style w:type="character" w:customStyle="1" w:styleId="17">
    <w:name w:val="标题 2 字符"/>
    <w:basedOn w:val="13"/>
    <w:link w:val="3"/>
    <w:semiHidden/>
    <w:qFormat/>
    <w:uiPriority w:val="9"/>
    <w:rPr>
      <w:rFonts w:asciiTheme="majorHAnsi" w:hAnsiTheme="majorHAnsi" w:eastAsiaTheme="majorEastAsia" w:cstheme="majorBidi"/>
      <w:b/>
      <w:bCs/>
      <w:sz w:val="32"/>
      <w:szCs w:val="32"/>
    </w:rPr>
  </w:style>
  <w:style w:type="character" w:customStyle="1" w:styleId="18">
    <w:name w:val="日期 字符"/>
    <w:basedOn w:val="13"/>
    <w:link w:val="5"/>
    <w:semiHidden/>
    <w:qFormat/>
    <w:uiPriority w:val="99"/>
    <w:rPr>
      <w:rFonts w:ascii="Times New Roman" w:hAnsi="Times New Roman" w:eastAsia="仿宋" w:cs="Times New Roman"/>
      <w:sz w:val="30"/>
      <w:szCs w:val="20"/>
    </w:rPr>
  </w:style>
  <w:style w:type="character" w:customStyle="1" w:styleId="19">
    <w:name w:val="批注框文本 字符"/>
    <w:basedOn w:val="13"/>
    <w:link w:val="6"/>
    <w:semiHidden/>
    <w:qFormat/>
    <w:uiPriority w:val="99"/>
    <w:rPr>
      <w:rFonts w:ascii="Times New Roman" w:hAnsi="Times New Roman" w:eastAsia="仿宋" w:cs="Times New Roman"/>
      <w:sz w:val="18"/>
      <w:szCs w:val="18"/>
    </w:rPr>
  </w:style>
  <w:style w:type="character" w:customStyle="1" w:styleId="20">
    <w:name w:val="页脚 字符"/>
    <w:basedOn w:val="13"/>
    <w:link w:val="7"/>
    <w:qFormat/>
    <w:uiPriority w:val="99"/>
    <w:rPr>
      <w:sz w:val="18"/>
      <w:szCs w:val="18"/>
    </w:rPr>
  </w:style>
  <w:style w:type="character" w:customStyle="1" w:styleId="21">
    <w:name w:val="页眉 字符"/>
    <w:basedOn w:val="13"/>
    <w:link w:val="8"/>
    <w:qFormat/>
    <w:uiPriority w:val="99"/>
    <w:rPr>
      <w:sz w:val="18"/>
      <w:szCs w:val="18"/>
    </w:rPr>
  </w:style>
  <w:style w:type="paragraph" w:styleId="22">
    <w:name w:val="List Paragraph"/>
    <w:basedOn w:val="1"/>
    <w:link w:val="25"/>
    <w:qFormat/>
    <w:uiPriority w:val="34"/>
    <w:pPr>
      <w:ind w:firstLine="420"/>
    </w:pPr>
  </w:style>
  <w:style w:type="character" w:customStyle="1" w:styleId="23">
    <w:name w:val="批注文字 字符"/>
    <w:basedOn w:val="13"/>
    <w:link w:val="4"/>
    <w:semiHidden/>
    <w:qFormat/>
    <w:uiPriority w:val="99"/>
    <w:rPr>
      <w:rFonts w:eastAsia="仿宋"/>
      <w:kern w:val="2"/>
      <w:sz w:val="30"/>
    </w:rPr>
  </w:style>
  <w:style w:type="character" w:customStyle="1" w:styleId="24">
    <w:name w:val="批注主题 字符"/>
    <w:basedOn w:val="23"/>
    <w:link w:val="11"/>
    <w:semiHidden/>
    <w:qFormat/>
    <w:uiPriority w:val="99"/>
    <w:rPr>
      <w:rFonts w:eastAsia="仿宋"/>
      <w:b/>
      <w:bCs/>
      <w:kern w:val="2"/>
      <w:sz w:val="30"/>
    </w:rPr>
  </w:style>
  <w:style w:type="character" w:customStyle="1" w:styleId="25">
    <w:name w:val="List Paragraph Char"/>
    <w:link w:val="22"/>
    <w:qFormat/>
    <w:uiPriority w:val="34"/>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FF580B-D180-4B16-89A0-D4300B674F4A}">
  <ds:schemaRefs/>
</ds:datastoreItem>
</file>

<file path=docProps/app.xml><?xml version="1.0" encoding="utf-8"?>
<Properties xmlns="http://schemas.openxmlformats.org/officeDocument/2006/extended-properties" xmlns:vt="http://schemas.openxmlformats.org/officeDocument/2006/docPropsVTypes">
  <Template>Normal</Template>
  <Pages>55</Pages>
  <Words>27273</Words>
  <Characters>31384</Characters>
  <Lines>243</Lines>
  <Paragraphs>68</Paragraphs>
  <TotalTime>1</TotalTime>
  <ScaleCrop>false</ScaleCrop>
  <LinksUpToDate>false</LinksUpToDate>
  <CharactersWithSpaces>31811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2021-01-19T02:14:00Z</dcterms:created>
  <dc:creator>Administrator</dc:creator>
  <cp:lastModifiedBy>庞门左道</cp:lastModifiedBy>
  <cp:lastPrinted>2023-11-13T06:41:00Z</cp:lastPrinted>
  <dcterms:modified xsi:type="dcterms:W3CDTF">2023-12-04T08:39:22Z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42CC19C8FBBE48478DE6690CF6F56E7D_13</vt:lpwstr>
  </property>
</Properties>
</file>