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0" w:firstLineChars="0"/>
        <w:jc w:val="left"/>
        <w:outlineLvl w:val="0"/>
        <w:rPr>
          <w:rFonts w:hint="eastAsia" w:ascii="黑体" w:hAnsi="黑体" w:eastAsia="黑体" w:cs="黑体"/>
          <w:color w:val="000000" w:themeColor="text1"/>
          <w:szCs w:val="32"/>
          <w:lang w:val="en-US" w:eastAsia="zh-CN"/>
          <w14:textFill>
            <w14:solidFill>
              <w14:schemeClr w14:val="tx1"/>
            </w14:solidFill>
          </w14:textFill>
        </w:rPr>
      </w:pPr>
      <w:bookmarkStart w:id="0" w:name="_Toc25003"/>
      <w:bookmarkStart w:id="1" w:name="_Toc29311"/>
      <w:bookmarkStart w:id="2" w:name="_Toc22967"/>
      <w:bookmarkStart w:id="3" w:name="_Toc55679174"/>
      <w:bookmarkStart w:id="4" w:name="_Toc61533938"/>
      <w:bookmarkStart w:id="5" w:name="_Toc55679173"/>
      <w:bookmarkStart w:id="6" w:name="_Toc10832_WPSOffice_Level1"/>
      <w:bookmarkStart w:id="48" w:name="_GoBack"/>
      <w:bookmarkEnd w:id="48"/>
      <w:r>
        <w:rPr>
          <w:rFonts w:hint="eastAsia" w:ascii="黑体" w:hAnsi="黑体" w:eastAsia="黑体" w:cs="黑体"/>
          <w:color w:val="000000" w:themeColor="text1"/>
          <w:szCs w:val="32"/>
          <w14:textFill>
            <w14:solidFill>
              <w14:schemeClr w14:val="tx1"/>
            </w14:solidFill>
          </w14:textFill>
        </w:rPr>
        <w:t>附件</w:t>
      </w:r>
      <w:bookmarkEnd w:id="0"/>
      <w:bookmarkEnd w:id="1"/>
      <w:bookmarkEnd w:id="2"/>
      <w:r>
        <w:rPr>
          <w:rFonts w:hint="eastAsia" w:ascii="黑体" w:hAnsi="黑体" w:eastAsia="黑体" w:cs="黑体"/>
          <w:color w:val="000000" w:themeColor="text1"/>
          <w:szCs w:val="32"/>
          <w:lang w:val="en-US" w:eastAsia="zh-CN"/>
          <w14:textFill>
            <w14:solidFill>
              <w14:schemeClr w14:val="tx1"/>
            </w14:solidFill>
          </w14:textFill>
        </w:rPr>
        <w:t>2</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bookmarkStart w:id="7" w:name="_Toc30708"/>
      <w:bookmarkStart w:id="8" w:name="_Toc19329"/>
      <w:bookmarkStart w:id="9" w:name="_Toc411"/>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兰州新区绿色企业评价方法</w:t>
      </w:r>
      <w:bookmarkEnd w:id="3"/>
      <w:bookmarkEnd w:id="4"/>
      <w:bookmarkEnd w:id="7"/>
      <w:bookmarkEnd w:id="8"/>
      <w:bookmarkEnd w:id="9"/>
    </w:p>
    <w:p>
      <w:pPr>
        <w:pStyle w:val="3"/>
        <w:numPr>
          <w:ilvl w:val="0"/>
          <w:numId w:val="0"/>
        </w:numPr>
        <w:spacing w:line="560" w:lineRule="exact"/>
        <w:ind w:firstLine="640" w:firstLineChars="200"/>
        <w:rPr>
          <w:rFonts w:ascii="Times New Roman" w:hAnsi="Times New Roman" w:eastAsia="黑体" w:cs="Times New Roman"/>
          <w:color w:val="000000" w:themeColor="text1"/>
          <w14:textFill>
            <w14:solidFill>
              <w14:schemeClr w14:val="tx1"/>
            </w14:solidFill>
          </w14:textFill>
        </w:rPr>
      </w:pPr>
      <w:r>
        <w:rPr>
          <w:rFonts w:hint="eastAsia" w:ascii="Times New Roman" w:hAnsi="Times New Roman" w:eastAsia="黑体" w:cs="Times New Roman"/>
          <w:color w:val="000000" w:themeColor="text1"/>
          <w:lang w:val="en-US" w:eastAsia="zh-CN"/>
          <w14:textFill>
            <w14:solidFill>
              <w14:schemeClr w14:val="tx1"/>
            </w14:solidFill>
          </w14:textFill>
        </w:rPr>
        <w:t>一、</w:t>
      </w:r>
      <w:r>
        <w:rPr>
          <w:rFonts w:ascii="Times New Roman" w:hAnsi="Times New Roman" w:eastAsia="黑体" w:cs="Times New Roman"/>
          <w:color w:val="000000" w:themeColor="text1"/>
          <w14:textFill>
            <w14:solidFill>
              <w14:schemeClr w14:val="tx1"/>
            </w14:solidFill>
          </w14:textFill>
        </w:rPr>
        <w:t>方法说明</w:t>
      </w:r>
    </w:p>
    <w:p>
      <w:pPr>
        <w:spacing w:line="560" w:lineRule="exact"/>
        <w:ind w:firstLine="640"/>
        <w:jc w:val="left"/>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本方法规定兰州新区绿色企业的评价原则、评价程序、评价内容、评价方法、评价报告等内容。</w:t>
      </w:r>
    </w:p>
    <w:p>
      <w:pPr>
        <w:spacing w:line="560" w:lineRule="exact"/>
        <w:ind w:firstLine="640"/>
        <w:jc w:val="left"/>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本方法适用于兰州新区绿色企业的第三方评价工作，也适用于兰州新区绿色企业自评及相关监管部门的认定评估工作。</w:t>
      </w:r>
    </w:p>
    <w:p>
      <w:pPr>
        <w:pStyle w:val="3"/>
        <w:numPr>
          <w:ilvl w:val="0"/>
          <w:numId w:val="0"/>
        </w:numPr>
        <w:spacing w:line="560" w:lineRule="exact"/>
        <w:ind w:firstLine="640" w:firstLineChars="200"/>
        <w:rPr>
          <w:rFonts w:ascii="Times New Roman" w:hAnsi="Times New Roman" w:eastAsia="黑体" w:cs="Times New Roman"/>
          <w:color w:val="000000" w:themeColor="text1"/>
          <w14:textFill>
            <w14:solidFill>
              <w14:schemeClr w14:val="tx1"/>
            </w14:solidFill>
          </w14:textFill>
        </w:rPr>
      </w:pPr>
      <w:r>
        <w:rPr>
          <w:rFonts w:hint="eastAsia" w:ascii="Times New Roman" w:hAnsi="Times New Roman" w:eastAsia="黑体" w:cs="Times New Roman"/>
          <w:color w:val="000000" w:themeColor="text1"/>
          <w:lang w:val="en-US" w:eastAsia="zh-CN"/>
          <w14:textFill>
            <w14:solidFill>
              <w14:schemeClr w14:val="tx1"/>
            </w14:solidFill>
          </w14:textFill>
        </w:rPr>
        <w:t>二、</w:t>
      </w:r>
      <w:r>
        <w:rPr>
          <w:rFonts w:ascii="Times New Roman" w:hAnsi="Times New Roman" w:eastAsia="黑体" w:cs="Times New Roman"/>
          <w:color w:val="000000" w:themeColor="text1"/>
          <w14:textFill>
            <w14:solidFill>
              <w14:schemeClr w14:val="tx1"/>
            </w14:solidFill>
          </w14:textFill>
        </w:rPr>
        <w:t>基本原则</w:t>
      </w:r>
    </w:p>
    <w:p>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hint="eastAsia" w:ascii="Times New Roman" w:hAnsi="Times New Roman" w:eastAsia="楷体" w:cs="Times New Roman"/>
          <w:color w:val="000000" w:themeColor="text1"/>
          <w:spacing w:val="-4"/>
          <w:szCs w:val="32"/>
          <w:lang w:val="en-US" w:eastAsia="zh-CN"/>
          <w14:textFill>
            <w14:solidFill>
              <w14:schemeClr w14:val="tx1"/>
            </w14:solidFill>
          </w14:textFill>
        </w:rPr>
        <w:t>一</w:t>
      </w: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ascii="Times New Roman" w:hAnsi="Times New Roman" w:eastAsia="楷体" w:cs="Times New Roman"/>
          <w:color w:val="000000" w:themeColor="text1"/>
          <w:spacing w:val="-4"/>
          <w:szCs w:val="32"/>
          <w14:textFill>
            <w14:solidFill>
              <w14:schemeClr w14:val="tx1"/>
            </w14:solidFill>
          </w14:textFill>
        </w:rPr>
        <w:t>绿色效益优先原则</w:t>
      </w:r>
    </w:p>
    <w:p>
      <w:pPr>
        <w:spacing w:line="560" w:lineRule="exact"/>
        <w:ind w:firstLine="624"/>
        <w:rPr>
          <w:rFonts w:ascii="Times New Roman" w:hAnsi="Times New Roman" w:eastAsia="仿宋" w:cs="Times New Roman"/>
          <w:color w:val="000000" w:themeColor="text1"/>
          <w:spacing w:val="-4"/>
          <w:szCs w:val="32"/>
          <w14:textFill>
            <w14:solidFill>
              <w14:schemeClr w14:val="tx1"/>
            </w14:solidFill>
          </w14:textFill>
        </w:rPr>
      </w:pPr>
      <w:r>
        <w:rPr>
          <w:rFonts w:ascii="Times New Roman" w:hAnsi="Times New Roman" w:eastAsia="仿宋" w:cs="Times New Roman"/>
          <w:color w:val="000000" w:themeColor="text1"/>
          <w:spacing w:val="-4"/>
          <w:szCs w:val="32"/>
          <w14:textFill>
            <w14:solidFill>
              <w14:schemeClr w14:val="tx1"/>
            </w14:solidFill>
          </w14:textFill>
        </w:rPr>
        <w:t>建立以企业绿色效益显著性为核心的评价指标体系，对企业绿色发展水平作出客观评价，激励企业创新发展，引导企业提质增效。</w:t>
      </w:r>
    </w:p>
    <w:p>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hint="eastAsia" w:ascii="Times New Roman" w:hAnsi="Times New Roman" w:eastAsia="楷体" w:cs="Times New Roman"/>
          <w:color w:val="000000" w:themeColor="text1"/>
          <w:spacing w:val="-4"/>
          <w:szCs w:val="32"/>
          <w:lang w:val="en-US" w:eastAsia="zh-CN"/>
          <w14:textFill>
            <w14:solidFill>
              <w14:schemeClr w14:val="tx1"/>
            </w14:solidFill>
          </w14:textFill>
        </w:rPr>
        <w:t>二</w:t>
      </w: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ascii="Times New Roman" w:hAnsi="Times New Roman" w:eastAsia="楷体" w:cs="Times New Roman"/>
          <w:color w:val="000000" w:themeColor="text1"/>
          <w:spacing w:val="-4"/>
          <w:szCs w:val="32"/>
          <w14:textFill>
            <w14:solidFill>
              <w14:schemeClr w14:val="tx1"/>
            </w14:solidFill>
          </w14:textFill>
        </w:rPr>
        <w:t>科学性原则</w:t>
      </w:r>
    </w:p>
    <w:p>
      <w:pPr>
        <w:spacing w:line="560" w:lineRule="exact"/>
        <w:ind w:firstLine="624"/>
        <w:rPr>
          <w:rFonts w:ascii="Times New Roman" w:hAnsi="Times New Roman" w:eastAsia="仿宋" w:cs="Times New Roman"/>
          <w:color w:val="000000" w:themeColor="text1"/>
          <w:spacing w:val="-4"/>
          <w:szCs w:val="32"/>
          <w14:textFill>
            <w14:solidFill>
              <w14:schemeClr w14:val="tx1"/>
            </w14:solidFill>
          </w14:textFill>
        </w:rPr>
      </w:pPr>
      <w:r>
        <w:rPr>
          <w:rFonts w:ascii="Times New Roman" w:hAnsi="Times New Roman" w:eastAsia="仿宋" w:cs="Times New Roman"/>
          <w:color w:val="000000" w:themeColor="text1"/>
          <w:spacing w:val="-4"/>
          <w:szCs w:val="32"/>
          <w14:textFill>
            <w14:solidFill>
              <w14:schemeClr w14:val="tx1"/>
            </w14:solidFill>
          </w14:textFill>
        </w:rPr>
        <w:t>注重指标体系构建的科学性，充分考虑兰州新区企业的现实情况，构建科学合理的评价指标体系。</w:t>
      </w:r>
    </w:p>
    <w:p>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hint="eastAsia" w:ascii="Times New Roman" w:hAnsi="Times New Roman" w:eastAsia="楷体" w:cs="Times New Roman"/>
          <w:color w:val="000000" w:themeColor="text1"/>
          <w:spacing w:val="-4"/>
          <w:szCs w:val="32"/>
          <w:lang w:val="en-US" w:eastAsia="zh-CN"/>
          <w14:textFill>
            <w14:solidFill>
              <w14:schemeClr w14:val="tx1"/>
            </w14:solidFill>
          </w14:textFill>
        </w:rPr>
        <w:t>三</w:t>
      </w: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ascii="Times New Roman" w:hAnsi="Times New Roman" w:eastAsia="楷体" w:cs="Times New Roman"/>
          <w:color w:val="000000" w:themeColor="text1"/>
          <w:spacing w:val="-4"/>
          <w:szCs w:val="32"/>
          <w14:textFill>
            <w14:solidFill>
              <w14:schemeClr w14:val="tx1"/>
            </w14:solidFill>
          </w14:textFill>
        </w:rPr>
        <w:t>客观公正原则</w:t>
      </w:r>
    </w:p>
    <w:p>
      <w:pPr>
        <w:spacing w:line="560" w:lineRule="exact"/>
        <w:ind w:firstLine="624"/>
        <w:rPr>
          <w:rFonts w:ascii="Times New Roman" w:hAnsi="Times New Roman" w:eastAsia="仿宋" w:cs="Times New Roman"/>
          <w:color w:val="000000" w:themeColor="text1"/>
          <w:spacing w:val="-4"/>
          <w:szCs w:val="32"/>
          <w14:textFill>
            <w14:solidFill>
              <w14:schemeClr w14:val="tx1"/>
            </w14:solidFill>
          </w14:textFill>
        </w:rPr>
      </w:pPr>
      <w:r>
        <w:rPr>
          <w:rFonts w:ascii="Times New Roman" w:hAnsi="Times New Roman" w:eastAsia="仿宋" w:cs="Times New Roman"/>
          <w:color w:val="000000" w:themeColor="text1"/>
          <w:spacing w:val="-4"/>
          <w:szCs w:val="32"/>
          <w14:textFill>
            <w14:solidFill>
              <w14:schemeClr w14:val="tx1"/>
            </w14:solidFill>
          </w14:textFill>
        </w:rPr>
        <w:t>企业评价数据来源真实可靠，评价办法科学合理，评价流程规范，公正公平。</w:t>
      </w:r>
    </w:p>
    <w:p>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hint="eastAsia" w:ascii="Times New Roman" w:hAnsi="Times New Roman" w:eastAsia="楷体" w:cs="Times New Roman"/>
          <w:color w:val="000000" w:themeColor="text1"/>
          <w:spacing w:val="-4"/>
          <w:szCs w:val="32"/>
          <w:lang w:val="en-US" w:eastAsia="zh-CN"/>
          <w14:textFill>
            <w14:solidFill>
              <w14:schemeClr w14:val="tx1"/>
            </w14:solidFill>
          </w14:textFill>
        </w:rPr>
        <w:t>四</w:t>
      </w: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ascii="Times New Roman" w:hAnsi="Times New Roman" w:eastAsia="楷体" w:cs="Times New Roman"/>
          <w:color w:val="000000" w:themeColor="text1"/>
          <w:spacing w:val="-4"/>
          <w:szCs w:val="32"/>
          <w14:textFill>
            <w14:solidFill>
              <w14:schemeClr w14:val="tx1"/>
            </w14:solidFill>
          </w14:textFill>
        </w:rPr>
        <w:t>正向引导原则</w:t>
      </w:r>
    </w:p>
    <w:p>
      <w:pPr>
        <w:spacing w:line="560" w:lineRule="exact"/>
        <w:ind w:firstLine="624"/>
        <w:rPr>
          <w:rFonts w:ascii="Times New Roman" w:hAnsi="Times New Roman" w:eastAsia="仿宋" w:cs="Times New Roman"/>
          <w:color w:val="000000" w:themeColor="text1"/>
          <w:spacing w:val="-4"/>
          <w:szCs w:val="32"/>
          <w14:textFill>
            <w14:solidFill>
              <w14:schemeClr w14:val="tx1"/>
            </w14:solidFill>
          </w14:textFill>
        </w:rPr>
      </w:pPr>
      <w:r>
        <w:rPr>
          <w:rFonts w:ascii="Times New Roman" w:hAnsi="Times New Roman" w:eastAsia="仿宋" w:cs="Times New Roman"/>
          <w:color w:val="000000" w:themeColor="text1"/>
          <w:spacing w:val="-4"/>
          <w:szCs w:val="32"/>
          <w14:textFill>
            <w14:solidFill>
              <w14:schemeClr w14:val="tx1"/>
            </w14:solidFill>
          </w14:textFill>
        </w:rPr>
        <w:t>绿色企业评价坚持正向引导为主，促进资源要素向绿色化水平较高的企业集聚，倒逼落后和严重过剩产能退出、低效企业转型。</w:t>
      </w:r>
    </w:p>
    <w:p>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hint="eastAsia" w:ascii="Times New Roman" w:hAnsi="Times New Roman" w:eastAsia="楷体" w:cs="Times New Roman"/>
          <w:color w:val="000000" w:themeColor="text1"/>
          <w:spacing w:val="-4"/>
          <w:szCs w:val="32"/>
          <w:lang w:val="en-US" w:eastAsia="zh-CN"/>
          <w14:textFill>
            <w14:solidFill>
              <w14:schemeClr w14:val="tx1"/>
            </w14:solidFill>
          </w14:textFill>
        </w:rPr>
        <w:t>五</w:t>
      </w: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ascii="Times New Roman" w:hAnsi="Times New Roman" w:eastAsia="楷体" w:cs="Times New Roman"/>
          <w:color w:val="000000" w:themeColor="text1"/>
          <w:spacing w:val="-4"/>
          <w:szCs w:val="32"/>
          <w14:textFill>
            <w14:solidFill>
              <w14:schemeClr w14:val="tx1"/>
            </w14:solidFill>
          </w14:textFill>
        </w:rPr>
        <w:t>智能高效原则</w:t>
      </w:r>
    </w:p>
    <w:p>
      <w:pPr>
        <w:spacing w:line="560" w:lineRule="exact"/>
        <w:ind w:firstLine="640"/>
        <w:rPr>
          <w:rFonts w:ascii="Times New Roman" w:hAnsi="Times New Roman" w:eastAsia="仿宋" w:cs="Times New Roman"/>
          <w:color w:val="000000" w:themeColor="text1"/>
          <w:spacing w:val="-4"/>
          <w:szCs w:val="32"/>
          <w14:textFill>
            <w14:solidFill>
              <w14:schemeClr w14:val="tx1"/>
            </w14:solidFill>
          </w14:textFill>
        </w:rPr>
      </w:pPr>
      <w:r>
        <w:rPr>
          <w:rFonts w:ascii="Times New Roman" w:hAnsi="Times New Roman" w:eastAsia="仿宋" w:cs="Times New Roman"/>
          <w:szCs w:val="32"/>
        </w:rPr>
        <w:t>充分利用兰州新区现有绿色金融综合服务平台，融入智能化手段，进一步帮助金融机构提升绿色金融开展效率和质量，缓解“融资难”、破解“融资贵”、化解“融资慢”等问题。</w:t>
      </w:r>
    </w:p>
    <w:p>
      <w:pPr>
        <w:pStyle w:val="3"/>
        <w:numPr>
          <w:ilvl w:val="0"/>
          <w:numId w:val="0"/>
        </w:numPr>
        <w:spacing w:line="560" w:lineRule="exact"/>
        <w:ind w:firstLine="640" w:firstLineChars="200"/>
        <w:rPr>
          <w:rFonts w:ascii="Times New Roman" w:hAnsi="Times New Roman" w:eastAsia="黑体" w:cs="Times New Roman"/>
          <w:color w:val="000000" w:themeColor="text1"/>
          <w14:textFill>
            <w14:solidFill>
              <w14:schemeClr w14:val="tx1"/>
            </w14:solidFill>
          </w14:textFill>
        </w:rPr>
      </w:pPr>
      <w:r>
        <w:rPr>
          <w:rFonts w:hint="eastAsia" w:ascii="Times New Roman" w:hAnsi="Times New Roman" w:eastAsia="黑体" w:cs="Times New Roman"/>
          <w:color w:val="000000" w:themeColor="text1"/>
          <w:lang w:val="en-US" w:eastAsia="zh-CN"/>
          <w14:textFill>
            <w14:solidFill>
              <w14:schemeClr w14:val="tx1"/>
            </w14:solidFill>
          </w14:textFill>
        </w:rPr>
        <w:t>三、</w:t>
      </w:r>
      <w:r>
        <w:rPr>
          <w:rFonts w:ascii="Times New Roman" w:hAnsi="Times New Roman" w:eastAsia="黑体" w:cs="Times New Roman"/>
          <w:color w:val="000000" w:themeColor="text1"/>
          <w14:textFill>
            <w14:solidFill>
              <w14:schemeClr w14:val="tx1"/>
            </w14:solidFill>
          </w14:textFill>
        </w:rPr>
        <w:t>评价程序</w:t>
      </w:r>
    </w:p>
    <w:p>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绿色企业的评价包括资料审核、</w:t>
      </w:r>
      <w:r>
        <w:rPr>
          <w:rFonts w:hint="eastAsia" w:ascii="Times New Roman" w:hAnsi="Times New Roman" w:eastAsia="仿宋" w:cs="Times New Roman"/>
          <w:color w:val="000000" w:themeColor="text1"/>
          <w:szCs w:val="32"/>
          <w14:textFill>
            <w14:solidFill>
              <w14:schemeClr w14:val="tx1"/>
            </w14:solidFill>
          </w14:textFill>
        </w:rPr>
        <w:t>绿色属性评价、企业类型判断、</w:t>
      </w:r>
      <w:r>
        <w:rPr>
          <w:rFonts w:ascii="Times New Roman" w:hAnsi="Times New Roman" w:eastAsia="仿宋" w:cs="Times New Roman"/>
          <w:color w:val="000000" w:themeColor="text1"/>
          <w:szCs w:val="32"/>
          <w14:textFill>
            <w14:solidFill>
              <w14:schemeClr w14:val="tx1"/>
            </w14:solidFill>
          </w14:textFill>
        </w:rPr>
        <w:t>企业表现与绿色等级评价</w:t>
      </w:r>
      <w:r>
        <w:rPr>
          <w:rFonts w:hint="eastAsia" w:ascii="Times New Roman" w:hAnsi="Times New Roman" w:eastAsia="仿宋" w:cs="Times New Roman"/>
          <w:color w:val="000000" w:themeColor="text1"/>
          <w:szCs w:val="32"/>
          <w14:textFill>
            <w14:solidFill>
              <w14:schemeClr w14:val="tx1"/>
            </w14:solidFill>
          </w14:textFill>
        </w:rPr>
        <w:t>、</w:t>
      </w:r>
      <w:r>
        <w:rPr>
          <w:rFonts w:ascii="Times New Roman" w:hAnsi="Times New Roman" w:eastAsia="仿宋" w:cs="Times New Roman"/>
          <w:color w:val="000000" w:themeColor="text1"/>
          <w:szCs w:val="32"/>
          <w14:textFill>
            <w14:solidFill>
              <w14:schemeClr w14:val="tx1"/>
            </w14:solidFill>
          </w14:textFill>
        </w:rPr>
        <w:t>评价结果</w:t>
      </w:r>
      <w:r>
        <w:rPr>
          <w:rFonts w:hint="eastAsia" w:ascii="Times New Roman" w:hAnsi="Times New Roman" w:eastAsia="仿宋" w:cs="Times New Roman"/>
          <w:color w:val="000000" w:themeColor="text1"/>
          <w:szCs w:val="32"/>
          <w14:textFill>
            <w14:solidFill>
              <w14:schemeClr w14:val="tx1"/>
            </w14:solidFill>
          </w14:textFill>
        </w:rPr>
        <w:t>五</w:t>
      </w:r>
      <w:r>
        <w:rPr>
          <w:rFonts w:ascii="Times New Roman" w:hAnsi="Times New Roman" w:eastAsia="仿宋" w:cs="Times New Roman"/>
          <w:color w:val="000000" w:themeColor="text1"/>
          <w:szCs w:val="32"/>
          <w14:textFill>
            <w14:solidFill>
              <w14:schemeClr w14:val="tx1"/>
            </w14:solidFill>
          </w14:textFill>
        </w:rPr>
        <w:t>个部分。第三方评价机构通过“绿金通”平台获取企业申报资料，并对其进行审核，如有需要可进行现场审核。</w:t>
      </w:r>
    </w:p>
    <w:p>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评价机构可根据评价申报企业的实际情况，对评价程序及工作内容进行适当的调整。</w:t>
      </w:r>
    </w:p>
    <w:p>
      <w:pPr>
        <w:ind w:firstLine="0" w:firstLineChars="0"/>
        <w:jc w:val="center"/>
        <w:rPr>
          <w:rFonts w:ascii="Times New Roman" w:hAnsi="Times New Roman" w:eastAsia="黑体" w:cs="Times New Roman"/>
          <w:color w:val="000000" w:themeColor="text1"/>
          <w:sz w:val="30"/>
          <w:szCs w:val="30"/>
          <w14:textFill>
            <w14:solidFill>
              <w14:schemeClr w14:val="tx1"/>
            </w14:solidFill>
          </w14:textFill>
        </w:rPr>
      </w:pPr>
      <w:r>
        <w:rPr>
          <w:rFonts w:ascii="Times New Roman" w:hAnsi="Times New Roman" w:eastAsia="黑体" w:cs="Times New Roman"/>
          <w:color w:val="000000" w:themeColor="text1"/>
          <w:sz w:val="30"/>
          <w:szCs w:val="30"/>
          <w14:textFill>
            <w14:solidFill>
              <w14:schemeClr w14:val="tx1"/>
            </w14:solidFill>
          </w14:textFill>
        </w:rPr>
        <w:t xml:space="preserve"> 绿色企业评价流程图</w:t>
      </w:r>
    </w:p>
    <w:p>
      <w:pPr>
        <w:ind w:firstLine="0" w:firstLineChars="0"/>
        <w:rPr>
          <w:rFonts w:ascii="Times New Roman" w:hAnsi="Times New Roman" w:eastAsia="仿宋_GB2312" w:cs="Times New Roman"/>
          <w:color w:val="000000" w:themeColor="text1"/>
          <w:szCs w:val="32"/>
          <w14:textFill>
            <w14:solidFill>
              <w14:schemeClr w14:val="tx1"/>
            </w14:solidFill>
          </w14:textFill>
        </w:rPr>
      </w:pPr>
      <w:r>
        <w:rPr>
          <w:rFonts w:ascii="Times New Roman" w:hAnsi="Times New Roman" w:cs="Times New Roman"/>
        </w:rPr>
        <w:drawing>
          <wp:inline distT="0" distB="0" distL="114300" distR="114300">
            <wp:extent cx="5738495" cy="3305810"/>
            <wp:effectExtent l="0" t="0" r="1905" b="88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2"/>
                    <a:stretch>
                      <a:fillRect/>
                    </a:stretch>
                  </pic:blipFill>
                  <pic:spPr>
                    <a:xfrm>
                      <a:off x="0" y="0"/>
                      <a:ext cx="5738495" cy="3305810"/>
                    </a:xfrm>
                    <a:prstGeom prst="rect">
                      <a:avLst/>
                    </a:prstGeom>
                    <a:noFill/>
                    <a:ln>
                      <a:noFill/>
                    </a:ln>
                  </pic:spPr>
                </pic:pic>
              </a:graphicData>
            </a:graphic>
          </wp:inline>
        </w:drawing>
      </w:r>
    </w:p>
    <w:p>
      <w:pPr>
        <w:pStyle w:val="3"/>
        <w:numPr>
          <w:ilvl w:val="0"/>
          <w:numId w:val="0"/>
        </w:numPr>
        <w:spacing w:line="560" w:lineRule="exact"/>
        <w:ind w:firstLine="640" w:firstLineChars="200"/>
        <w:rPr>
          <w:rFonts w:ascii="Times New Roman" w:hAnsi="Times New Roman" w:eastAsia="黑体" w:cs="Times New Roman"/>
          <w:color w:val="000000" w:themeColor="text1"/>
          <w14:textFill>
            <w14:solidFill>
              <w14:schemeClr w14:val="tx1"/>
            </w14:solidFill>
          </w14:textFill>
        </w:rPr>
      </w:pPr>
      <w:r>
        <w:rPr>
          <w:rFonts w:hint="eastAsia" w:ascii="Times New Roman" w:hAnsi="Times New Roman" w:eastAsia="黑体" w:cs="Times New Roman"/>
          <w:color w:val="000000" w:themeColor="text1"/>
          <w:lang w:val="en-US" w:eastAsia="zh-CN"/>
          <w14:textFill>
            <w14:solidFill>
              <w14:schemeClr w14:val="tx1"/>
            </w14:solidFill>
          </w14:textFill>
        </w:rPr>
        <w:t>四、</w:t>
      </w:r>
      <w:r>
        <w:rPr>
          <w:rFonts w:ascii="Times New Roman" w:hAnsi="Times New Roman" w:eastAsia="黑体" w:cs="Times New Roman"/>
          <w:color w:val="000000" w:themeColor="text1"/>
          <w14:textFill>
            <w14:solidFill>
              <w14:schemeClr w14:val="tx1"/>
            </w14:solidFill>
          </w14:textFill>
        </w:rPr>
        <w:t>评价方法</w:t>
      </w:r>
    </w:p>
    <w:p>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兰州新区绿色企业评价主要依据上述评价流程和内容，</w:t>
      </w:r>
      <w:r>
        <w:rPr>
          <w:rFonts w:hint="eastAsia" w:ascii="Times New Roman" w:hAnsi="Times New Roman" w:eastAsia="仿宋" w:cs="Times New Roman"/>
          <w:color w:val="000000" w:themeColor="text1"/>
          <w:szCs w:val="32"/>
          <w14:textFill>
            <w14:solidFill>
              <w14:schemeClr w14:val="tx1"/>
            </w14:solidFill>
          </w14:textFill>
        </w:rPr>
        <w:t>在</w:t>
      </w:r>
      <w:r>
        <w:rPr>
          <w:rFonts w:hint="eastAsia" w:ascii="Times New Roman" w:hAnsi="Times New Roman" w:eastAsia="仿宋" w:cs="Times New Roman"/>
          <w:color w:val="000000" w:themeColor="text1"/>
          <w:kern w:val="0"/>
          <w:szCs w:val="32"/>
          <w:shd w:val="clear" w:color="auto" w:fill="FFFFFF"/>
          <w14:textFill>
            <w14:solidFill>
              <w14:schemeClr w14:val="tx1"/>
            </w14:solidFill>
          </w14:textFill>
        </w:rPr>
        <w:t>完成基础</w:t>
      </w:r>
      <w:r>
        <w:rPr>
          <w:rFonts w:ascii="Times New Roman" w:hAnsi="Times New Roman" w:eastAsia="仿宋" w:cs="Times New Roman"/>
          <w:color w:val="000000" w:themeColor="text1"/>
          <w:szCs w:val="32"/>
          <w14:textFill>
            <w14:solidFill>
              <w14:schemeClr w14:val="tx1"/>
            </w14:solidFill>
          </w14:textFill>
        </w:rPr>
        <w:t>资料收集</w:t>
      </w:r>
      <w:r>
        <w:rPr>
          <w:rFonts w:hint="eastAsia" w:ascii="Times New Roman" w:hAnsi="Times New Roman" w:eastAsia="仿宋" w:cs="Times New Roman"/>
          <w:color w:val="000000" w:themeColor="text1"/>
          <w:szCs w:val="32"/>
          <w14:textFill>
            <w14:solidFill>
              <w14:schemeClr w14:val="tx1"/>
            </w14:solidFill>
          </w14:textFill>
        </w:rPr>
        <w:t>后</w:t>
      </w:r>
      <w:r>
        <w:rPr>
          <w:rFonts w:ascii="Times New Roman" w:hAnsi="Times New Roman" w:eastAsia="仿宋" w:cs="Times New Roman"/>
          <w:color w:val="000000" w:themeColor="text1"/>
          <w:szCs w:val="32"/>
          <w14:textFill>
            <w14:solidFill>
              <w14:schemeClr w14:val="tx1"/>
            </w14:solidFill>
          </w14:textFill>
        </w:rPr>
        <w:t>，进行企业绿色属性</w:t>
      </w:r>
      <w:r>
        <w:rPr>
          <w:rFonts w:hint="eastAsia" w:ascii="Times New Roman" w:hAnsi="Times New Roman" w:eastAsia="仿宋" w:cs="Times New Roman"/>
          <w:color w:val="000000" w:themeColor="text1"/>
          <w:szCs w:val="32"/>
          <w:lang w:eastAsia="zh-CN"/>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企业类型判断</w:t>
      </w:r>
      <w:r>
        <w:rPr>
          <w:rFonts w:ascii="Times New Roman" w:hAnsi="Times New Roman" w:eastAsia="仿宋" w:cs="Times New Roman"/>
          <w:color w:val="000000" w:themeColor="text1"/>
          <w:szCs w:val="32"/>
          <w14:textFill>
            <w14:solidFill>
              <w14:schemeClr w14:val="tx1"/>
            </w14:solidFill>
          </w14:textFill>
        </w:rPr>
        <w:t>、企业表现及绿色等级评价。</w:t>
      </w:r>
    </w:p>
    <w:p>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hint="eastAsia" w:ascii="Times New Roman" w:hAnsi="Times New Roman" w:eastAsia="楷体" w:cs="Times New Roman"/>
          <w:color w:val="000000" w:themeColor="text1"/>
          <w:spacing w:val="-4"/>
          <w:szCs w:val="32"/>
          <w:lang w:val="en-US" w:eastAsia="zh-CN"/>
          <w14:textFill>
            <w14:solidFill>
              <w14:schemeClr w14:val="tx1"/>
            </w14:solidFill>
          </w14:textFill>
        </w:rPr>
        <w:t>一</w:t>
      </w: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ascii="Times New Roman" w:hAnsi="Times New Roman" w:eastAsia="楷体" w:cs="Times New Roman"/>
          <w:color w:val="000000" w:themeColor="text1"/>
          <w:spacing w:val="-4"/>
          <w:szCs w:val="32"/>
          <w14:textFill>
            <w14:solidFill>
              <w14:schemeClr w14:val="tx1"/>
            </w14:solidFill>
          </w14:textFill>
        </w:rPr>
        <w:t>企业绿色属性评价</w:t>
      </w:r>
    </w:p>
    <w:p>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hint="eastAsia" w:ascii="Times New Roman" w:hAnsi="Times New Roman" w:eastAsia="仿宋" w:cs="Times New Roman"/>
          <w:color w:val="000000" w:themeColor="text1"/>
          <w:szCs w:val="32"/>
          <w14:textFill>
            <w14:solidFill>
              <w14:schemeClr w14:val="tx1"/>
            </w14:solidFill>
          </w14:textFill>
        </w:rPr>
        <w:t>基于企业提供的基础资料，主要结合企业主营业务范围与最近一年的营业收入占比，</w:t>
      </w:r>
      <w:r>
        <w:rPr>
          <w:rFonts w:ascii="Times New Roman" w:hAnsi="Times New Roman" w:eastAsia="仿宋" w:cs="Times New Roman"/>
          <w:color w:val="000000" w:themeColor="text1"/>
          <w:kern w:val="0"/>
          <w:szCs w:val="32"/>
          <w:shd w:val="clear" w:color="auto" w:fill="FFFFFF"/>
          <w14:textFill>
            <w14:solidFill>
              <w14:schemeClr w14:val="tx1"/>
            </w14:solidFill>
          </w14:textFill>
        </w:rPr>
        <w:t>根据《兰州新区绿色企业认证及评级办法》附件</w:t>
      </w:r>
      <w:r>
        <w:rPr>
          <w:rFonts w:hint="eastAsia" w:ascii="Times New Roman" w:hAnsi="Times New Roman" w:eastAsia="仿宋" w:cs="Times New Roman"/>
          <w:color w:val="000000" w:themeColor="text1"/>
          <w:kern w:val="0"/>
          <w:szCs w:val="32"/>
          <w:shd w:val="clear" w:color="auto" w:fill="FFFFFF"/>
          <w:lang w:val="en-US" w:eastAsia="zh-CN"/>
          <w14:textFill>
            <w14:solidFill>
              <w14:schemeClr w14:val="tx1"/>
            </w14:solidFill>
          </w14:textFill>
        </w:rPr>
        <w:t>1</w:t>
      </w:r>
      <w:r>
        <w:rPr>
          <w:rFonts w:ascii="Times New Roman" w:hAnsi="Times New Roman" w:eastAsia="仿宋" w:cs="Times New Roman"/>
          <w:color w:val="000000" w:themeColor="text1"/>
          <w:kern w:val="0"/>
          <w:szCs w:val="32"/>
          <w:shd w:val="clear" w:color="auto" w:fill="FFFFFF"/>
          <w14:textFill>
            <w14:solidFill>
              <w14:schemeClr w14:val="tx1"/>
            </w14:solidFill>
          </w14:textFill>
        </w:rPr>
        <w:t>《兰州新区绿色产业领域界定范畴》，</w:t>
      </w:r>
      <w:r>
        <w:rPr>
          <w:rFonts w:ascii="Times New Roman" w:hAnsi="Times New Roman" w:eastAsia="仿宋" w:cs="Times New Roman"/>
          <w:color w:val="000000" w:themeColor="text1"/>
          <w:szCs w:val="32"/>
          <w14:textFill>
            <w14:solidFill>
              <w14:schemeClr w14:val="tx1"/>
            </w14:solidFill>
          </w14:textFill>
        </w:rPr>
        <w:t>对申报企业的绿色属性进行评价。</w:t>
      </w:r>
      <w:r>
        <w:rPr>
          <w:rFonts w:hint="eastAsia" w:ascii="Times New Roman" w:hAnsi="Times New Roman" w:eastAsia="仿宋" w:cs="Times New Roman"/>
          <w:color w:val="000000" w:themeColor="text1"/>
          <w:szCs w:val="32"/>
          <w14:textFill>
            <w14:solidFill>
              <w14:schemeClr w14:val="tx1"/>
            </w14:solidFill>
          </w14:textFill>
        </w:rPr>
        <w:t>若</w:t>
      </w:r>
      <w:r>
        <w:rPr>
          <w:rFonts w:ascii="Times New Roman" w:hAnsi="Times New Roman" w:eastAsia="仿宋" w:cs="Times New Roman"/>
          <w:color w:val="000000" w:themeColor="text1"/>
          <w:szCs w:val="32"/>
          <w14:textFill>
            <w14:solidFill>
              <w14:schemeClr w14:val="tx1"/>
            </w14:solidFill>
          </w14:textFill>
        </w:rPr>
        <w:t>企业经营业务范围未被列入</w:t>
      </w:r>
      <w:r>
        <w:rPr>
          <w:rFonts w:ascii="Times New Roman" w:hAnsi="Times New Roman" w:eastAsia="仿宋" w:cs="Times New Roman"/>
          <w:color w:val="000000" w:themeColor="text1"/>
          <w:kern w:val="0"/>
          <w:szCs w:val="32"/>
          <w:shd w:val="clear" w:color="auto" w:fill="FFFFFF"/>
          <w14:textFill>
            <w14:solidFill>
              <w14:schemeClr w14:val="tx1"/>
            </w14:solidFill>
          </w14:textFill>
        </w:rPr>
        <w:t>附件</w:t>
      </w:r>
      <w:r>
        <w:rPr>
          <w:rFonts w:hint="eastAsia" w:ascii="Times New Roman" w:hAnsi="Times New Roman" w:eastAsia="仿宋" w:cs="Times New Roman"/>
          <w:color w:val="000000" w:themeColor="text1"/>
          <w:kern w:val="0"/>
          <w:szCs w:val="32"/>
          <w:shd w:val="clear" w:color="auto" w:fill="FFFFFF"/>
          <w:lang w:val="en-US" w:eastAsia="zh-CN"/>
          <w14:textFill>
            <w14:solidFill>
              <w14:schemeClr w14:val="tx1"/>
            </w14:solidFill>
          </w14:textFill>
        </w:rPr>
        <w:t>1</w:t>
      </w:r>
      <w:r>
        <w:rPr>
          <w:rFonts w:ascii="Times New Roman" w:hAnsi="Times New Roman" w:eastAsia="仿宋" w:cs="Times New Roman"/>
          <w:color w:val="000000" w:themeColor="text1"/>
          <w:szCs w:val="32"/>
          <w14:textFill>
            <w14:solidFill>
              <w14:schemeClr w14:val="tx1"/>
            </w14:solidFill>
          </w14:textFill>
        </w:rPr>
        <w:t>《兰州新区绿色产业领域界定范畴》，</w:t>
      </w:r>
      <w:r>
        <w:rPr>
          <w:rFonts w:hint="eastAsia" w:ascii="Times New Roman" w:hAnsi="Times New Roman" w:eastAsia="仿宋" w:cs="Times New Roman"/>
          <w:color w:val="000000" w:themeColor="text1"/>
          <w:szCs w:val="32"/>
          <w14:textFill>
            <w14:solidFill>
              <w14:schemeClr w14:val="tx1"/>
            </w14:solidFill>
          </w14:textFill>
        </w:rPr>
        <w:t>或者不满足“最近一年合并财务报表中绿色产业领域营业收入或营业成本占比大于50％（含）”、“绿色产业领域营业收入或营业成本比重虽小于50%，但绿色产业领域业务收入和利润均在所有业务中最高，且均占到企业总收入和总利润的30%以上”的绿色企业基础认证要求，</w:t>
      </w:r>
      <w:r>
        <w:rPr>
          <w:rFonts w:ascii="Times New Roman" w:hAnsi="Times New Roman" w:eastAsia="仿宋" w:cs="Times New Roman"/>
          <w:color w:val="000000" w:themeColor="text1"/>
          <w:szCs w:val="32"/>
          <w14:textFill>
            <w14:solidFill>
              <w14:schemeClr w14:val="tx1"/>
            </w14:solidFill>
          </w14:textFill>
        </w:rPr>
        <w:t>则终止评价；否则，继续评价。</w:t>
      </w:r>
      <w:r>
        <w:rPr>
          <w:rFonts w:hint="eastAsia" w:ascii="Times New Roman" w:hAnsi="Times New Roman" w:eastAsia="仿宋" w:cs="Times New Roman"/>
          <w:color w:val="000000" w:themeColor="text1"/>
          <w:szCs w:val="32"/>
          <w14:textFill>
            <w14:solidFill>
              <w14:schemeClr w14:val="tx1"/>
            </w14:solidFill>
          </w14:textFill>
        </w:rPr>
        <w:t>第三方评价机构将对不符合绿色企业评价标准的企业书面反馈审核意见。</w:t>
      </w:r>
    </w:p>
    <w:p>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hint="eastAsia" w:ascii="Times New Roman" w:hAnsi="Times New Roman" w:eastAsia="楷体" w:cs="Times New Roman"/>
          <w:color w:val="000000" w:themeColor="text1"/>
          <w:spacing w:val="-4"/>
          <w:szCs w:val="32"/>
          <w:lang w:val="en-US" w:eastAsia="zh-CN"/>
          <w14:textFill>
            <w14:solidFill>
              <w14:schemeClr w14:val="tx1"/>
            </w14:solidFill>
          </w14:textFill>
        </w:rPr>
        <w:t>二</w:t>
      </w: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ascii="Times New Roman" w:hAnsi="Times New Roman" w:eastAsia="楷体" w:cs="Times New Roman"/>
          <w:color w:val="000000" w:themeColor="text1"/>
          <w:spacing w:val="-4"/>
          <w:szCs w:val="32"/>
          <w14:textFill>
            <w14:solidFill>
              <w14:schemeClr w14:val="tx1"/>
            </w14:solidFill>
          </w14:textFill>
        </w:rPr>
        <w:t>企业类型判断</w:t>
      </w:r>
    </w:p>
    <w:p>
      <w:pPr>
        <w:spacing w:line="560" w:lineRule="exact"/>
        <w:ind w:firstLine="640"/>
        <w:rPr>
          <w:rFonts w:ascii="Times New Roman" w:hAnsi="Times New Roman" w:eastAsia="楷体" w:cs="Times New Roman"/>
          <w:color w:val="000000" w:themeColor="text1"/>
          <w:spacing w:val="-4"/>
          <w:szCs w:val="32"/>
          <w14:textFill>
            <w14:solidFill>
              <w14:schemeClr w14:val="tx1"/>
            </w14:solidFill>
          </w14:textFill>
        </w:rPr>
      </w:pPr>
      <w:r>
        <w:rPr>
          <w:rFonts w:hint="eastAsia" w:ascii="Times New Roman" w:hAnsi="Times New Roman" w:eastAsia="仿宋" w:cs="Times New Roman"/>
          <w:color w:val="000000" w:themeColor="text1"/>
          <w:szCs w:val="32"/>
          <w14:textFill>
            <w14:solidFill>
              <w14:schemeClr w14:val="tx1"/>
            </w14:solidFill>
          </w14:textFill>
        </w:rPr>
        <w:t>对于通过绿色属性评价的企业，根据企业基础资料综合判断企业属于</w:t>
      </w:r>
      <w:r>
        <w:rPr>
          <w:rFonts w:hint="eastAsia" w:ascii="Times New Roman" w:hAnsi="Times New Roman" w:eastAsia="仿宋" w:cs="Times New Roman"/>
          <w:color w:val="000000" w:themeColor="text1"/>
          <w:kern w:val="0"/>
          <w:szCs w:val="32"/>
          <w:shd w:val="clear" w:color="auto" w:fill="FFFFFF"/>
          <w14:textFill>
            <w14:solidFill>
              <w14:schemeClr w14:val="tx1"/>
            </w14:solidFill>
          </w14:textFill>
        </w:rPr>
        <w:t>A类或B类企业。其中A类企业指符合《国民经济行业分类》（GB/T 4754-2017）（2019年修改版）中第一产业、第二产业的企业；B类企业指符合以上分类中第三产业的企业。完成企业类型判定后告知申报企业按照附件</w:t>
      </w:r>
      <w:r>
        <w:rPr>
          <w:rFonts w:hint="eastAsia" w:ascii="Times New Roman" w:hAnsi="Times New Roman" w:eastAsia="仿宋" w:cs="Times New Roman"/>
          <w:color w:val="000000" w:themeColor="text1"/>
          <w:kern w:val="0"/>
          <w:szCs w:val="32"/>
          <w:shd w:val="clear" w:color="auto" w:fill="FFFFFF"/>
          <w:lang w:val="en-US" w:eastAsia="zh-CN"/>
          <w14:textFill>
            <w14:solidFill>
              <w14:schemeClr w14:val="tx1"/>
            </w14:solidFill>
          </w14:textFill>
        </w:rPr>
        <w:t>5</w:t>
      </w:r>
      <w:r>
        <w:rPr>
          <w:rFonts w:hint="eastAsia" w:ascii="Times New Roman" w:hAnsi="Times New Roman" w:eastAsia="仿宋" w:cs="Times New Roman"/>
          <w:color w:val="000000" w:themeColor="text1"/>
          <w:kern w:val="0"/>
          <w:szCs w:val="32"/>
          <w:shd w:val="clear" w:color="auto" w:fill="FFFFFF"/>
          <w14:textFill>
            <w14:solidFill>
              <w14:schemeClr w14:val="tx1"/>
            </w14:solidFill>
          </w14:textFill>
        </w:rPr>
        <w:t>《兰州新区绿色企业申报材料（A/B类企业）》提交完整的申报资料。</w:t>
      </w:r>
    </w:p>
    <w:p>
      <w:pPr>
        <w:spacing w:line="560" w:lineRule="exact"/>
        <w:ind w:firstLine="624"/>
        <w:rPr>
          <w:rFonts w:ascii="Times New Roman" w:hAnsi="Times New Roman" w:eastAsia="楷体" w:cs="Times New Roman"/>
          <w:color w:val="000000" w:themeColor="text1"/>
          <w:spacing w:val="-4"/>
          <w:szCs w:val="32"/>
          <w14:textFill>
            <w14:solidFill>
              <w14:schemeClr w14:val="tx1"/>
            </w14:solidFill>
          </w14:textFill>
        </w:rPr>
      </w:pP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hint="eastAsia" w:ascii="Times New Roman" w:hAnsi="Times New Roman" w:eastAsia="楷体" w:cs="Times New Roman"/>
          <w:color w:val="000000" w:themeColor="text1"/>
          <w:spacing w:val="-4"/>
          <w:szCs w:val="32"/>
          <w:lang w:val="en-US" w:eastAsia="zh-CN"/>
          <w14:textFill>
            <w14:solidFill>
              <w14:schemeClr w14:val="tx1"/>
            </w14:solidFill>
          </w14:textFill>
        </w:rPr>
        <w:t>三</w:t>
      </w:r>
      <w:r>
        <w:rPr>
          <w:rFonts w:hint="eastAsia" w:ascii="Times New Roman" w:hAnsi="Times New Roman" w:eastAsia="楷体" w:cs="Times New Roman"/>
          <w:color w:val="000000" w:themeColor="text1"/>
          <w:spacing w:val="-4"/>
          <w:szCs w:val="32"/>
          <w:lang w:eastAsia="zh-CN"/>
          <w14:textFill>
            <w14:solidFill>
              <w14:schemeClr w14:val="tx1"/>
            </w14:solidFill>
          </w14:textFill>
        </w:rPr>
        <w:t>）</w:t>
      </w:r>
      <w:r>
        <w:rPr>
          <w:rFonts w:ascii="Times New Roman" w:hAnsi="Times New Roman" w:eastAsia="楷体" w:cs="Times New Roman"/>
          <w:color w:val="000000" w:themeColor="text1"/>
          <w:spacing w:val="-4"/>
          <w:szCs w:val="32"/>
          <w14:textFill>
            <w14:solidFill>
              <w14:schemeClr w14:val="tx1"/>
            </w14:solidFill>
          </w14:textFill>
        </w:rPr>
        <w:t>企业表现与绿色等级评价</w:t>
      </w:r>
    </w:p>
    <w:p>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hint="eastAsia" w:ascii="Times New Roman" w:hAnsi="Times New Roman" w:eastAsia="仿宋" w:cs="Times New Roman"/>
          <w:color w:val="000000" w:themeColor="text1"/>
          <w:kern w:val="0"/>
          <w:szCs w:val="32"/>
          <w:shd w:val="clear" w:color="auto" w:fill="FFFFFF"/>
          <w14:textFill>
            <w14:solidFill>
              <w14:schemeClr w14:val="tx1"/>
            </w14:solidFill>
          </w14:textFill>
        </w:rPr>
        <w:t>基于申报材料，根据</w:t>
      </w:r>
      <w:r>
        <w:rPr>
          <w:rFonts w:ascii="Times New Roman" w:hAnsi="Times New Roman" w:eastAsia="仿宋" w:cs="Times New Roman"/>
          <w:color w:val="000000" w:themeColor="text1"/>
          <w:kern w:val="0"/>
          <w:szCs w:val="32"/>
          <w:shd w:val="clear" w:color="auto" w:fill="FFFFFF"/>
          <w14:textFill>
            <w14:solidFill>
              <w14:schemeClr w14:val="tx1"/>
            </w14:solidFill>
          </w14:textFill>
        </w:rPr>
        <w:t>《兰州新区绿色企业认证及评级办法》附件</w:t>
      </w:r>
      <w:r>
        <w:rPr>
          <w:rFonts w:hint="eastAsia" w:ascii="Times New Roman" w:hAnsi="Times New Roman" w:eastAsia="仿宋" w:cs="Times New Roman"/>
          <w:color w:val="000000" w:themeColor="text1"/>
          <w:kern w:val="0"/>
          <w:szCs w:val="32"/>
          <w:shd w:val="clear" w:color="auto" w:fill="FFFFFF"/>
          <w:lang w:val="en-US" w:eastAsia="zh-CN"/>
          <w14:textFill>
            <w14:solidFill>
              <w14:schemeClr w14:val="tx1"/>
            </w14:solidFill>
          </w14:textFill>
        </w:rPr>
        <w:t>3</w:t>
      </w:r>
      <w:r>
        <w:rPr>
          <w:rFonts w:ascii="Times New Roman" w:hAnsi="Times New Roman" w:eastAsia="仿宋" w:cs="Times New Roman"/>
          <w:color w:val="000000" w:themeColor="text1"/>
          <w:kern w:val="0"/>
          <w:szCs w:val="32"/>
          <w:shd w:val="clear" w:color="auto" w:fill="FFFFFF"/>
          <w14:textFill>
            <w14:solidFill>
              <w14:schemeClr w14:val="tx1"/>
            </w14:solidFill>
          </w14:textFill>
        </w:rPr>
        <w:t>《兰州新区绿色企业评价指标体系》所列评价标准、指标要求，从</w:t>
      </w:r>
      <w:r>
        <w:rPr>
          <w:rFonts w:ascii="Times New Roman" w:hAnsi="Times New Roman" w:eastAsia="仿宋" w:cs="Times New Roman"/>
          <w:color w:val="000000" w:themeColor="text1"/>
          <w:szCs w:val="32"/>
          <w:shd w:val="clear" w:color="auto" w:fill="FFFFFF"/>
          <w14:textFill>
            <w14:solidFill>
              <w14:schemeClr w14:val="tx1"/>
            </w14:solidFill>
          </w14:textFill>
        </w:rPr>
        <w:t>企业绿色经营、环境污染防治、节能低碳、生产与管理以及社会责任</w:t>
      </w:r>
      <w:r>
        <w:rPr>
          <w:rFonts w:hint="eastAsia" w:ascii="Times New Roman" w:hAnsi="Times New Roman" w:eastAsia="仿宋" w:cs="Times New Roman"/>
          <w:color w:val="000000" w:themeColor="text1"/>
          <w:kern w:val="0"/>
          <w:szCs w:val="32"/>
          <w:shd w:val="clear" w:color="auto" w:fill="FFFFFF"/>
          <w14:textFill>
            <w14:solidFill>
              <w14:schemeClr w14:val="tx1"/>
            </w14:solidFill>
          </w14:textFill>
        </w:rPr>
        <w:t>五</w:t>
      </w:r>
      <w:r>
        <w:rPr>
          <w:rFonts w:ascii="Times New Roman" w:hAnsi="Times New Roman" w:eastAsia="仿宋" w:cs="Times New Roman"/>
          <w:color w:val="000000" w:themeColor="text1"/>
          <w:kern w:val="0"/>
          <w:szCs w:val="32"/>
          <w:shd w:val="clear" w:color="auto" w:fill="FFFFFF"/>
          <w14:textFill>
            <w14:solidFill>
              <w14:schemeClr w14:val="tx1"/>
            </w14:solidFill>
          </w14:textFill>
        </w:rPr>
        <w:t>个方面，</w:t>
      </w:r>
      <w:r>
        <w:rPr>
          <w:rFonts w:ascii="Times New Roman" w:hAnsi="Times New Roman" w:eastAsia="仿宋" w:cs="Times New Roman"/>
          <w:color w:val="000000" w:themeColor="text1"/>
          <w:szCs w:val="32"/>
          <w14:textFill>
            <w14:solidFill>
              <w14:schemeClr w14:val="tx1"/>
            </w14:solidFill>
          </w14:textFill>
        </w:rPr>
        <w:t>对企业具体表现及绿色等级进行判断和论证。根据企业综合得分情况（满分为100分），将绿色企业分为三类：深绿类企业（G1）、中绿类企业（G2）、浅绿类企业（G3）。</w:t>
      </w:r>
    </w:p>
    <w:p>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深绿类企业（G1）：综合得分在80分及以上的企业。</w:t>
      </w:r>
    </w:p>
    <w:p>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中绿类企业（G2）：综合得分在60-79分之间的企业。</w:t>
      </w:r>
    </w:p>
    <w:p>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浅绿类企业（G3）：综合得分</w:t>
      </w:r>
      <w:r>
        <w:rPr>
          <w:rFonts w:hint="eastAsia" w:ascii="Times New Roman" w:hAnsi="Times New Roman" w:eastAsia="仿宋" w:cs="Times New Roman"/>
          <w:color w:val="000000" w:themeColor="text1"/>
          <w:szCs w:val="32"/>
          <w14:textFill>
            <w14:solidFill>
              <w14:schemeClr w14:val="tx1"/>
            </w14:solidFill>
          </w14:textFill>
        </w:rPr>
        <w:t>不满</w:t>
      </w:r>
      <w:r>
        <w:rPr>
          <w:rFonts w:ascii="Times New Roman" w:hAnsi="Times New Roman" w:eastAsia="仿宋" w:cs="Times New Roman"/>
          <w:color w:val="000000" w:themeColor="text1"/>
          <w:szCs w:val="32"/>
          <w14:textFill>
            <w14:solidFill>
              <w14:schemeClr w14:val="tx1"/>
            </w14:solidFill>
          </w14:textFill>
        </w:rPr>
        <w:t>60</w:t>
      </w:r>
      <w:r>
        <w:rPr>
          <w:rFonts w:hint="eastAsia" w:ascii="Times New Roman" w:hAnsi="Times New Roman" w:eastAsia="仿宋" w:cs="Times New Roman"/>
          <w:color w:val="000000" w:themeColor="text1"/>
          <w:szCs w:val="32"/>
          <w14:textFill>
            <w14:solidFill>
              <w14:schemeClr w14:val="tx1"/>
            </w14:solidFill>
          </w14:textFill>
        </w:rPr>
        <w:t>分</w:t>
      </w:r>
      <w:r>
        <w:rPr>
          <w:rFonts w:ascii="Times New Roman" w:hAnsi="Times New Roman" w:eastAsia="仿宋" w:cs="Times New Roman"/>
          <w:color w:val="000000" w:themeColor="text1"/>
          <w:szCs w:val="32"/>
          <w14:textFill>
            <w14:solidFill>
              <w14:schemeClr w14:val="tx1"/>
            </w14:solidFill>
          </w14:textFill>
        </w:rPr>
        <w:t>的企业。</w:t>
      </w:r>
    </w:p>
    <w:p>
      <w:pPr>
        <w:pStyle w:val="3"/>
        <w:numPr>
          <w:ilvl w:val="0"/>
          <w:numId w:val="0"/>
        </w:numPr>
        <w:spacing w:line="560" w:lineRule="exact"/>
        <w:ind w:firstLine="640" w:firstLineChars="200"/>
        <w:rPr>
          <w:rFonts w:ascii="Times New Roman" w:hAnsi="Times New Roman" w:eastAsia="黑体" w:cs="Times New Roman"/>
          <w:color w:val="000000" w:themeColor="text1"/>
          <w14:textFill>
            <w14:solidFill>
              <w14:schemeClr w14:val="tx1"/>
            </w14:solidFill>
          </w14:textFill>
        </w:rPr>
      </w:pPr>
      <w:r>
        <w:rPr>
          <w:rFonts w:hint="eastAsia" w:ascii="Times New Roman" w:hAnsi="Times New Roman" w:eastAsia="黑体" w:cs="Times New Roman"/>
          <w:color w:val="000000" w:themeColor="text1"/>
          <w:lang w:val="en-US" w:eastAsia="zh-CN"/>
          <w14:textFill>
            <w14:solidFill>
              <w14:schemeClr w14:val="tx1"/>
            </w14:solidFill>
          </w14:textFill>
        </w:rPr>
        <w:t>五、</w:t>
      </w:r>
      <w:r>
        <w:rPr>
          <w:rFonts w:ascii="Times New Roman" w:hAnsi="Times New Roman" w:eastAsia="黑体" w:cs="Times New Roman"/>
          <w:color w:val="000000" w:themeColor="text1"/>
          <w14:textFill>
            <w14:solidFill>
              <w14:schemeClr w14:val="tx1"/>
            </w14:solidFill>
          </w14:textFill>
        </w:rPr>
        <w:t>评价报告</w:t>
      </w:r>
    </w:p>
    <w:p>
      <w:pPr>
        <w:spacing w:line="560" w:lineRule="exact"/>
        <w:ind w:firstLine="624"/>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pacing w:val="-4"/>
          <w:szCs w:val="32"/>
          <w14:textFill>
            <w14:solidFill>
              <w14:schemeClr w14:val="tx1"/>
            </w14:solidFill>
          </w14:textFill>
        </w:rPr>
        <w:t>根据企业绿色属性及等级评价，提出评价结果，形成评价报告。</w:t>
      </w:r>
      <w:r>
        <w:rPr>
          <w:rFonts w:ascii="Times New Roman" w:hAnsi="Times New Roman" w:eastAsia="仿宋" w:cs="Times New Roman"/>
          <w:color w:val="000000" w:themeColor="text1"/>
          <w:szCs w:val="32"/>
          <w14:textFill>
            <w14:solidFill>
              <w14:schemeClr w14:val="tx1"/>
            </w14:solidFill>
          </w14:textFill>
        </w:rPr>
        <w:t xml:space="preserve">评价报告应包括以下部分： </w:t>
      </w:r>
    </w:p>
    <w:p>
      <w:pPr>
        <w:numPr>
          <w:ilvl w:val="0"/>
          <w:numId w:val="0"/>
        </w:numPr>
        <w:spacing w:line="56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hint="eastAsia" w:ascii="Times New Roman" w:hAnsi="Times New Roman" w:eastAsia="仿宋" w:cs="Times New Roman"/>
          <w:color w:val="000000" w:themeColor="text1"/>
          <w:szCs w:val="32"/>
          <w:lang w:eastAsia="zh-CN"/>
          <w14:textFill>
            <w14:solidFill>
              <w14:schemeClr w14:val="tx1"/>
            </w14:solidFill>
          </w14:textFill>
        </w:rPr>
        <w:t>（</w:t>
      </w:r>
      <w:r>
        <w:rPr>
          <w:rFonts w:hint="eastAsia" w:ascii="Times New Roman" w:hAnsi="Times New Roman" w:eastAsia="仿宋" w:cs="Times New Roman"/>
          <w:color w:val="000000" w:themeColor="text1"/>
          <w:szCs w:val="32"/>
          <w:lang w:val="en-US" w:eastAsia="zh-CN"/>
          <w14:textFill>
            <w14:solidFill>
              <w14:schemeClr w14:val="tx1"/>
            </w14:solidFill>
          </w14:textFill>
        </w:rPr>
        <w:t>一</w:t>
      </w:r>
      <w:r>
        <w:rPr>
          <w:rFonts w:hint="eastAsia" w:ascii="Times New Roman" w:hAnsi="Times New Roman" w:eastAsia="仿宋" w:cs="Times New Roman"/>
          <w:color w:val="000000" w:themeColor="text1"/>
          <w:szCs w:val="32"/>
          <w:lang w:eastAsia="zh-CN"/>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说明，包括认证范围、认证目的、认证内容、认证依据、认证方法等；</w:t>
      </w:r>
    </w:p>
    <w:p>
      <w:pPr>
        <w:numPr>
          <w:ilvl w:val="0"/>
          <w:numId w:val="0"/>
        </w:numPr>
        <w:spacing w:line="56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kern w:val="2"/>
          <w:sz w:val="32"/>
          <w:szCs w:val="32"/>
          <w:lang w:val="en-US" w:eastAsia="zh-CN" w:bidi="ar-SA"/>
          <w14:textFill>
            <w14:solidFill>
              <w14:schemeClr w14:val="tx1"/>
            </w14:solidFill>
          </w14:textFill>
        </w:rPr>
        <w:t>（</w:t>
      </w:r>
      <w:r>
        <w:rPr>
          <w:rFonts w:hint="eastAsia" w:ascii="Times New Roman" w:hAnsi="Times New Roman" w:eastAsia="仿宋" w:cs="Times New Roman"/>
          <w:color w:val="000000" w:themeColor="text1"/>
          <w:kern w:val="2"/>
          <w:sz w:val="32"/>
          <w:szCs w:val="32"/>
          <w:lang w:val="en-US" w:eastAsia="zh-CN" w:bidi="ar-SA"/>
          <w14:textFill>
            <w14:solidFill>
              <w14:schemeClr w14:val="tx1"/>
            </w14:solidFill>
          </w14:textFill>
        </w:rPr>
        <w:t>二</w:t>
      </w:r>
      <w:r>
        <w:rPr>
          <w:rFonts w:ascii="Times New Roman" w:hAnsi="Times New Roman" w:eastAsia="仿宋" w:cs="Times New Roman"/>
          <w:color w:val="000000" w:themeColor="text1"/>
          <w:kern w:val="2"/>
          <w:sz w:val="32"/>
          <w:szCs w:val="32"/>
          <w:lang w:val="en-US" w:eastAsia="zh-CN" w:bidi="ar-SA"/>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企业基本条件，包含</w:t>
      </w:r>
      <w:r>
        <w:rPr>
          <w:rFonts w:ascii="Times New Roman" w:hAnsi="Times New Roman" w:eastAsia="仿宋" w:cs="Times New Roman"/>
          <w:color w:val="000000" w:themeColor="text1"/>
          <w:szCs w:val="32"/>
          <w14:textFill>
            <w14:solidFill>
              <w14:schemeClr w14:val="tx1"/>
            </w14:solidFill>
          </w14:textFill>
        </w:rPr>
        <w:t>企业基本情况、经营范围等</w:t>
      </w:r>
      <w:r>
        <w:rPr>
          <w:rFonts w:hint="eastAsia" w:ascii="Times New Roman" w:hAnsi="Times New Roman" w:eastAsia="仿宋" w:cs="Times New Roman"/>
          <w:color w:val="000000" w:themeColor="text1"/>
          <w:szCs w:val="32"/>
          <w14:textFill>
            <w14:solidFill>
              <w14:schemeClr w14:val="tx1"/>
            </w14:solidFill>
          </w14:textFill>
        </w:rPr>
        <w:t>，对基本条件进行评价</w:t>
      </w:r>
      <w:r>
        <w:rPr>
          <w:rFonts w:ascii="Times New Roman" w:hAnsi="Times New Roman" w:eastAsia="仿宋" w:cs="Times New Roman"/>
          <w:color w:val="000000" w:themeColor="text1"/>
          <w:szCs w:val="32"/>
          <w14:textFill>
            <w14:solidFill>
              <w14:schemeClr w14:val="tx1"/>
            </w14:solidFill>
          </w14:textFill>
        </w:rPr>
        <w:t>；</w:t>
      </w:r>
    </w:p>
    <w:p>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w:t>
      </w:r>
      <w:r>
        <w:rPr>
          <w:rFonts w:hint="eastAsia" w:ascii="Times New Roman" w:hAnsi="Times New Roman" w:eastAsia="仿宋" w:cs="Times New Roman"/>
          <w:color w:val="000000" w:themeColor="text1"/>
          <w:szCs w:val="32"/>
          <w:lang w:val="en-US" w:eastAsia="zh-CN"/>
          <w14:textFill>
            <w14:solidFill>
              <w14:schemeClr w14:val="tx1"/>
            </w14:solidFill>
          </w14:textFill>
        </w:rPr>
        <w:t>三</w:t>
      </w:r>
      <w:r>
        <w:rPr>
          <w:rFonts w:ascii="Times New Roman" w:hAnsi="Times New Roman" w:eastAsia="仿宋" w:cs="Times New Roman"/>
          <w:color w:val="000000" w:themeColor="text1"/>
          <w:szCs w:val="32"/>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企业绿色经营情况评价，包含评价内容、评价明细等；</w:t>
      </w:r>
    </w:p>
    <w:p>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w:t>
      </w:r>
      <w:r>
        <w:rPr>
          <w:rFonts w:hint="eastAsia" w:ascii="Times New Roman" w:hAnsi="Times New Roman" w:eastAsia="仿宋" w:cs="Times New Roman"/>
          <w:color w:val="000000" w:themeColor="text1"/>
          <w:szCs w:val="32"/>
          <w:lang w:val="en-US" w:eastAsia="zh-CN"/>
          <w14:textFill>
            <w14:solidFill>
              <w14:schemeClr w14:val="tx1"/>
            </w14:solidFill>
          </w14:textFill>
        </w:rPr>
        <w:t>四</w:t>
      </w:r>
      <w:r>
        <w:rPr>
          <w:rFonts w:ascii="Times New Roman" w:hAnsi="Times New Roman" w:eastAsia="仿宋" w:cs="Times New Roman"/>
          <w:color w:val="000000" w:themeColor="text1"/>
          <w:szCs w:val="32"/>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企业环境社会治理评价，包括评价内容、评价细节及得分情况等；</w:t>
      </w:r>
    </w:p>
    <w:p>
      <w:pPr>
        <w:spacing w:line="560" w:lineRule="exact"/>
        <w:ind w:firstLine="640"/>
        <w:rPr>
          <w:rFonts w:hint="eastAsia" w:ascii="Times New Roman" w:hAnsi="Times New Roman" w:eastAsia="仿宋"/>
          <w:color w:val="000000" w:themeColor="text1"/>
          <w:lang w:eastAsia="zh-CN"/>
          <w14:textFill>
            <w14:solidFill>
              <w14:schemeClr w14:val="tx1"/>
            </w14:solidFill>
          </w14:textFill>
        </w:rPr>
        <w:sectPr>
          <w:headerReference r:id="rId5" w:type="default"/>
          <w:footerReference r:id="rId6" w:type="default"/>
          <w:pgSz w:w="11906" w:h="16838"/>
          <w:pgMar w:top="1440" w:right="1065" w:bottom="1440" w:left="1800" w:header="851" w:footer="992" w:gutter="0"/>
          <w:pgNumType w:fmt="numberInDash"/>
          <w:cols w:space="425" w:num="1"/>
          <w:docGrid w:type="lines" w:linePitch="435" w:charSpace="0"/>
        </w:sectPr>
      </w:pPr>
      <w:r>
        <w:rPr>
          <w:rFonts w:ascii="Times New Roman" w:hAnsi="Times New Roman" w:eastAsia="仿宋" w:cs="Times New Roman"/>
          <w:color w:val="000000" w:themeColor="text1"/>
          <w:szCs w:val="32"/>
          <w14:textFill>
            <w14:solidFill>
              <w14:schemeClr w14:val="tx1"/>
            </w14:solidFill>
          </w14:textFill>
        </w:rPr>
        <w:t>（</w:t>
      </w:r>
      <w:r>
        <w:rPr>
          <w:rFonts w:hint="eastAsia" w:ascii="Times New Roman" w:hAnsi="Times New Roman" w:eastAsia="仿宋" w:cs="Times New Roman"/>
          <w:color w:val="000000" w:themeColor="text1"/>
          <w:szCs w:val="32"/>
          <w:lang w:val="en-US" w:eastAsia="zh-CN"/>
          <w14:textFill>
            <w14:solidFill>
              <w14:schemeClr w14:val="tx1"/>
            </w14:solidFill>
          </w14:textFill>
        </w:rPr>
        <w:t>五</w:t>
      </w:r>
      <w:r>
        <w:rPr>
          <w:rFonts w:ascii="Times New Roman" w:hAnsi="Times New Roman" w:eastAsia="仿宋" w:cs="Times New Roman"/>
          <w:color w:val="000000" w:themeColor="text1"/>
          <w:szCs w:val="32"/>
          <w14:textFill>
            <w14:solidFill>
              <w14:schemeClr w14:val="tx1"/>
            </w14:solidFill>
          </w14:textFill>
        </w:rPr>
        <w:t>）</w:t>
      </w:r>
      <w:r>
        <w:rPr>
          <w:rFonts w:hint="eastAsia" w:ascii="Times New Roman" w:hAnsi="Times New Roman" w:eastAsia="仿宋" w:cs="Times New Roman"/>
          <w:color w:val="000000" w:themeColor="text1"/>
          <w:szCs w:val="32"/>
          <w14:textFill>
            <w14:solidFill>
              <w14:schemeClr w14:val="tx1"/>
            </w14:solidFill>
          </w14:textFill>
        </w:rPr>
        <w:t>绿色企业等级评价，得出绿色企业最终等级及得分结果</w:t>
      </w:r>
      <w:r>
        <w:rPr>
          <w:rFonts w:hint="eastAsia" w:ascii="Times New Roman" w:hAnsi="Times New Roman" w:eastAsia="仿宋" w:cs="Times New Roman"/>
          <w:color w:val="000000" w:themeColor="text1"/>
          <w:szCs w:val="32"/>
          <w:lang w:eastAsia="zh-CN"/>
          <w14:textFill>
            <w14:solidFill>
              <w14:schemeClr w14:val="tx1"/>
            </w14:solidFill>
          </w14:textFill>
        </w:rPr>
        <w:t>。</w:t>
      </w:r>
    </w:p>
    <w:p>
      <w:pPr>
        <w:spacing w:before="217" w:beforeLines="50" w:after="217" w:afterLines="50"/>
        <w:ind w:firstLine="640" w:firstLineChars="200"/>
        <w:jc w:val="left"/>
        <w:outlineLvl w:val="0"/>
        <w:rPr>
          <w:rFonts w:hint="eastAsia" w:ascii="黑体" w:hAnsi="黑体" w:eastAsia="黑体" w:cs="黑体"/>
          <w:color w:val="000000" w:themeColor="text1"/>
          <w:sz w:val="44"/>
          <w:szCs w:val="44"/>
          <w:lang w:val="en-US" w:eastAsia="zh-CN"/>
          <w14:textFill>
            <w14:solidFill>
              <w14:schemeClr w14:val="tx1"/>
            </w14:solidFill>
          </w14:textFill>
        </w:rPr>
      </w:pPr>
      <w:bookmarkStart w:id="10" w:name="_Toc8303"/>
      <w:bookmarkStart w:id="11" w:name="_Toc10965"/>
      <w:bookmarkStart w:id="12" w:name="_Toc12204"/>
      <w:bookmarkStart w:id="13" w:name="_Toc55679175"/>
      <w:bookmarkStart w:id="14" w:name="_Toc61533939"/>
      <w:r>
        <w:rPr>
          <w:rFonts w:hint="eastAsia" w:ascii="黑体" w:hAnsi="黑体" w:eastAsia="黑体" w:cs="黑体"/>
          <w:color w:val="000000" w:themeColor="text1"/>
          <w:szCs w:val="32"/>
          <w14:textFill>
            <w14:solidFill>
              <w14:schemeClr w14:val="tx1"/>
            </w14:solidFill>
          </w14:textFill>
        </w:rPr>
        <w:t>附件</w:t>
      </w:r>
      <w:bookmarkEnd w:id="10"/>
      <w:bookmarkEnd w:id="11"/>
      <w:bookmarkEnd w:id="12"/>
      <w:r>
        <w:rPr>
          <w:rFonts w:hint="eastAsia" w:ascii="黑体" w:hAnsi="黑体" w:eastAsia="黑体" w:cs="黑体"/>
          <w:color w:val="000000" w:themeColor="text1"/>
          <w:szCs w:val="32"/>
          <w:lang w:val="en-US" w:eastAsia="zh-CN"/>
          <w14:textFill>
            <w14:solidFill>
              <w14:schemeClr w14:val="tx1"/>
            </w14:solidFill>
          </w14:textFill>
        </w:rPr>
        <w:t>3</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bookmarkStart w:id="15" w:name="_Toc21872"/>
      <w:bookmarkStart w:id="16" w:name="_Toc11383"/>
      <w:bookmarkStart w:id="17" w:name="_Toc16173"/>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兰州新区绿色企业评价指标体系</w:t>
      </w:r>
      <w:bookmarkEnd w:id="13"/>
      <w:bookmarkEnd w:id="14"/>
      <w:bookmarkEnd w:id="15"/>
      <w:bookmarkEnd w:id="16"/>
      <w:bookmarkEnd w:id="17"/>
    </w:p>
    <w:tbl>
      <w:tblPr>
        <w:tblStyle w:val="11"/>
        <w:tblW w:w="4774" w:type="pct"/>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143"/>
        <w:gridCol w:w="1252"/>
        <w:gridCol w:w="2389"/>
        <w:gridCol w:w="972"/>
        <w:gridCol w:w="4166"/>
        <w:gridCol w:w="652"/>
        <w:gridCol w:w="706"/>
        <w:gridCol w:w="2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52" w:type="pct"/>
            <w:vMerge w:val="restar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bookmarkStart w:id="18" w:name="OLE_LINK1"/>
            <w:r>
              <w:rPr>
                <w:rFonts w:ascii="Times New Roman" w:hAnsi="Times New Roman" w:eastAsia="仿宋" w:cs="Times New Roman"/>
                <w:b/>
                <w:bCs/>
                <w:color w:val="000000"/>
                <w:kern w:val="0"/>
                <w:sz w:val="21"/>
                <w:szCs w:val="21"/>
              </w:rPr>
              <w:t>一级指标（A/B，分值）</w:t>
            </w:r>
          </w:p>
        </w:tc>
        <w:tc>
          <w:tcPr>
            <w:tcW w:w="383" w:type="pct"/>
            <w:vMerge w:val="restar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二级指标（A/B，分值）</w:t>
            </w:r>
          </w:p>
        </w:tc>
        <w:tc>
          <w:tcPr>
            <w:tcW w:w="419" w:type="pct"/>
            <w:vMerge w:val="restart"/>
            <w:shd w:val="clear" w:color="auto" w:fill="auto"/>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三级指标</w:t>
            </w:r>
          </w:p>
        </w:tc>
        <w:tc>
          <w:tcPr>
            <w:tcW w:w="801" w:type="pct"/>
            <w:vMerge w:val="restar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评价标准</w:t>
            </w:r>
          </w:p>
        </w:tc>
        <w:tc>
          <w:tcPr>
            <w:tcW w:w="325" w:type="pct"/>
            <w:vMerge w:val="restar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分值</w:t>
            </w:r>
          </w:p>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（A /B）</w:t>
            </w:r>
          </w:p>
        </w:tc>
        <w:tc>
          <w:tcPr>
            <w:tcW w:w="1397" w:type="pct"/>
            <w:vMerge w:val="restar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指标要求</w:t>
            </w:r>
          </w:p>
        </w:tc>
        <w:tc>
          <w:tcPr>
            <w:tcW w:w="455" w:type="pct"/>
            <w:gridSpan w:val="2"/>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指标得分*</w:t>
            </w:r>
          </w:p>
        </w:tc>
        <w:tc>
          <w:tcPr>
            <w:tcW w:w="864" w:type="pct"/>
            <w:vMerge w:val="restar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2"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383"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419"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801"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325"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1397"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c>
          <w:tcPr>
            <w:tcW w:w="218" w:type="pc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A类企业</w:t>
            </w:r>
          </w:p>
        </w:tc>
        <w:tc>
          <w:tcPr>
            <w:tcW w:w="236" w:type="pct"/>
            <w:shd w:val="clear" w:color="auto" w:fill="auto"/>
            <w:vAlign w:val="center"/>
          </w:tcPr>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B类</w:t>
            </w:r>
          </w:p>
          <w:p>
            <w:pPr>
              <w:widowControl/>
              <w:spacing w:line="240" w:lineRule="auto"/>
              <w:ind w:firstLine="0" w:firstLineChars="0"/>
              <w:jc w:val="center"/>
              <w:rPr>
                <w:rFonts w:ascii="Times New Roman" w:hAnsi="Times New Roman" w:eastAsia="仿宋" w:cs="Times New Roman"/>
                <w:b/>
                <w:bCs/>
                <w:color w:val="000000"/>
                <w:kern w:val="0"/>
                <w:sz w:val="21"/>
                <w:szCs w:val="21"/>
              </w:rPr>
            </w:pPr>
            <w:r>
              <w:rPr>
                <w:rFonts w:ascii="Times New Roman" w:hAnsi="Times New Roman" w:eastAsia="仿宋" w:cs="Times New Roman"/>
                <w:b/>
                <w:bCs/>
                <w:color w:val="000000"/>
                <w:kern w:val="0"/>
                <w:sz w:val="21"/>
                <w:szCs w:val="21"/>
              </w:rPr>
              <w:t>企业</w:t>
            </w:r>
          </w:p>
        </w:tc>
        <w:tc>
          <w:tcPr>
            <w:tcW w:w="864" w:type="pct"/>
            <w:vMerge w:val="continue"/>
            <w:vAlign w:val="center"/>
          </w:tcPr>
          <w:p>
            <w:pPr>
              <w:widowControl/>
              <w:spacing w:line="240" w:lineRule="auto"/>
              <w:ind w:firstLine="0" w:firstLineChars="0"/>
              <w:jc w:val="left"/>
              <w:rPr>
                <w:rFonts w:ascii="Times New Roman" w:hAnsi="Times New Roman" w:eastAsia="仿宋" w:cs="Times New Roman"/>
                <w:b/>
                <w:bCs/>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352"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企业绿色经营（48/70）</w:t>
            </w:r>
          </w:p>
        </w:tc>
        <w:tc>
          <w:tcPr>
            <w:tcW w:w="383"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产业政策导向（3/10）</w:t>
            </w:r>
          </w:p>
        </w:tc>
        <w:tc>
          <w:tcPr>
            <w:tcW w:w="419"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业务类型</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业务类型属于国家产业政策中的鼓励类。</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3/10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属于《产业结构调整指导目录（2019年本）》（中华人民共和国国家发展和改革委员会令第29号）中鼓励类。</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10</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主营业务说明。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绿色业务占比（45/60）</w:t>
            </w:r>
          </w:p>
        </w:tc>
        <w:tc>
          <w:tcPr>
            <w:tcW w:w="419"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绿色业务收入或成本占比</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最近一年合并财务报表中绿色产业领域营业收入或营业成本占比。</w:t>
            </w:r>
          </w:p>
        </w:tc>
        <w:tc>
          <w:tcPr>
            <w:tcW w:w="325"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45/60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最近一年合并财务报表中绿色产业领域营业收入或营业成本占比大于95％（含）（兰州新区绿色产业领域界定范畴详见附件</w:t>
            </w:r>
            <w:r>
              <w:rPr>
                <w:rFonts w:hint="eastAsia" w:ascii="Times New Roman" w:hAnsi="Times New Roman" w:eastAsia="仿宋" w:cs="Times New Roman"/>
                <w:color w:val="000000"/>
                <w:kern w:val="0"/>
                <w:sz w:val="21"/>
                <w:szCs w:val="21"/>
                <w:lang w:val="en-US" w:eastAsia="zh-CN"/>
              </w:rPr>
              <w:t>1</w:t>
            </w:r>
            <w:r>
              <w:rPr>
                <w:rFonts w:ascii="Times New Roman" w:hAnsi="Times New Roman" w:eastAsia="仿宋" w:cs="Times New Roman"/>
                <w:color w:val="000000"/>
                <w:kern w:val="0"/>
                <w:sz w:val="21"/>
                <w:szCs w:val="21"/>
              </w:rPr>
              <w:t>）。</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45</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60</w:t>
            </w:r>
          </w:p>
        </w:tc>
        <w:tc>
          <w:tcPr>
            <w:tcW w:w="86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企业各业务板块介绍、收入占比、最近一年合并财务报表。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最近一年合并财务报表中绿色产业领域营业收入或营业成本占比大于70％（含）但小于95％。</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35</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50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最近一年合并财务报表中绿色产业领域营业收入或营业成本占比大于50％（含）但小于70％；或绿色产业领域营业收入或营业成本比重虽小于50%，但绿色产业领域业务收入和利润均在所有业务中最高，且均占到企业总收入和总利润的30%以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352"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环境污染防治（17/2）</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环境污染防治（17/2）</w:t>
            </w:r>
          </w:p>
        </w:tc>
        <w:tc>
          <w:tcPr>
            <w:tcW w:w="383"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环境管理（11/2）</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环境管理（11/2）</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环境管理制度</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建立并实施环境管理的相应制度。</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建立制度，并通过环境管理体系（ISO14001）第三方认证。</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企业编制的环境管理制度，或第三方出具的环境管理体系认证证书。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26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仅制定有关制度。</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8"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外部评价</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为省级以上绿色工厂、或绿色供应链管理示范企业；或甘肃省企业环境信用和标准化建设企业名单中环境信用为“A级”和“良好”及以上的企业；或是根据《兰州新区诚信建设“红黑榜”发布制度（试行）》发布的红榜企业。</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每满足其中一项得1分，满足任意两项得2分，三项均满足可得三分。</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1.工信部网站公布绿色工厂名单；</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2.工信部网站公布绿色供应链管理示范企业名单；</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3.甘肃政务服务网公示的企业环境信用和环境保护标准化建设评价企业名单；</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4.兰州新区诚信建设“红榜”企业名单。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环境风险管理制度</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建立并实施环境风险管理的相应制度。</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建立环境风险识别制度，建立环境风险和环境事故应对机制和方案，并策划演练。</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企业编制的环境风险管理制度。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hint="default" w:ascii="Times New Roman" w:hAnsi="Times New Roman" w:eastAsia="仿宋" w:cs="Times New Roman"/>
                <w:color w:val="000000"/>
                <w:kern w:val="0"/>
                <w:sz w:val="21"/>
                <w:szCs w:val="21"/>
              </w:rPr>
              <w:t>建立了环境风险管理制度但不够健全</w:t>
            </w:r>
            <w:r>
              <w:rPr>
                <w:rFonts w:ascii="Times New Roman" w:hAnsi="Times New Roman" w:eastAsia="仿宋" w:cs="Times New Roman"/>
                <w:color w:val="000000"/>
                <w:kern w:val="0"/>
                <w:sz w:val="21"/>
                <w:szCs w:val="21"/>
              </w:rPr>
              <w:t>。</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环境信息公开</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主动通过媒体、官方网站和监管网站等公开渠道披露环境信息或环境报告。</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3/2</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非强制性（即重点排污单位以外）企业披露环境信息或报告。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兰州新区门户网站发布的重点排污单位名录，披露环境信息的企业需提供披露渠道说明。企业《环境信息披露报告》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强制性（即重点排污单位）企业披露环境信息或报告。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污染防治（6/0）</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水、气排污标准执行</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主要污染物排放检测指标满足国家标准及地方标准。</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排放浓度低于排放标准10%（含）以上。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近一年内有资质单位出具的企业主要污染物排放检测报告。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排放浓度达到国家或地方标准。</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废弃物处置</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一般固体废弃物、有害废弃物及危险废弃物规范处置。</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一般固体废弃物利用处置率达90%及以上；对危险废物实行严格规范化管理，利用处置率达100%。</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一般固体废弃物、有害废弃物及危险废弃物规范处置证明材料。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352" w:type="pct"/>
            <w:vMerge w:val="restar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节能低碳（10/8）</w:t>
            </w:r>
          </w:p>
        </w:tc>
        <w:tc>
          <w:tcPr>
            <w:tcW w:w="383"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4"/>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4"/>
              </w:rPr>
            </w:pPr>
            <w:r>
              <w:rPr>
                <w:rFonts w:ascii="Times New Roman" w:hAnsi="Times New Roman" w:eastAsia="仿宋" w:cs="Times New Roman"/>
                <w:color w:val="000000"/>
                <w:kern w:val="0"/>
                <w:sz w:val="21"/>
                <w:szCs w:val="21"/>
              </w:rPr>
              <w:t>资源、能源消耗（6/2）</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产品单位综合能耗</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生产过程中的单位综合能耗达到国家或地方发布的能效标准。</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单位综合能耗达到国家、行业或地方发布的能效标准先进值，或达到同行先进水平。</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产品单位综合能耗说明材料或第三方机构出具的节能监测报告。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单位综合能耗满足国家、行业或地方发布的能效标准准入值，或达到同行平均水平。</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企业开展节能监测。</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资源循环利用</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通过中水回用、非常规资源利用、废弃物综合利用、余热余压利用等方式进行资源循环利用。</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任一项资源循环利用率达50%（含）以上。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企业开展中水回用、非常规资源利用、废弃物综合利用、余热余压利用等资源循环利用证明材料。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采用资源循环利用方式，但利用率低于50%。</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清洁能源利用</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优先使用清洁能源。</w:t>
            </w:r>
          </w:p>
        </w:tc>
        <w:tc>
          <w:tcPr>
            <w:tcW w:w="325"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1/2</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清洁能源利用率高于15%（含）。</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864"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企业提供相关证明材料或相关批复文件等。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restar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2"/>
              </w:rPr>
              <w:t>节能降碳措施</w:t>
            </w:r>
            <w:r>
              <w:rPr>
                <w:rFonts w:ascii="Times New Roman" w:hAnsi="Times New Roman" w:eastAsia="仿宋" w:cs="Times New Roman"/>
                <w:color w:val="000000"/>
                <w:kern w:val="0"/>
                <w:sz w:val="24"/>
              </w:rPr>
              <w:t>（</w:t>
            </w:r>
            <w:r>
              <w:rPr>
                <w:rFonts w:ascii="Times New Roman" w:hAnsi="Times New Roman" w:eastAsia="仿宋" w:cs="Times New Roman"/>
                <w:color w:val="000000"/>
                <w:kern w:val="0"/>
                <w:sz w:val="21"/>
                <w:szCs w:val="21"/>
              </w:rPr>
              <w:t>4/6</w:t>
            </w:r>
            <w:r>
              <w:rPr>
                <w:rFonts w:ascii="Times New Roman" w:hAnsi="Times New Roman" w:eastAsia="仿宋" w:cs="Times New Roman"/>
                <w:color w:val="000000"/>
                <w:kern w:val="0"/>
                <w:sz w:val="24"/>
              </w:rPr>
              <w:t>）</w:t>
            </w:r>
          </w:p>
        </w:tc>
        <w:tc>
          <w:tcPr>
            <w:tcW w:w="419" w:type="pct"/>
            <w:vMerge w:val="restar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节能减排</w:t>
            </w:r>
          </w:p>
        </w:tc>
        <w:tc>
          <w:tcPr>
            <w:tcW w:w="801" w:type="pct"/>
            <w:vMerge w:val="restar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企业采取节能技改、清洁能源替代等措施降低碳排放，测算碳减排量或节能量或碳排放量。</w:t>
            </w:r>
          </w:p>
        </w:tc>
        <w:tc>
          <w:tcPr>
            <w:tcW w:w="325" w:type="pct"/>
            <w:vMerge w:val="restar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4/6</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企业获得碳中和认证或落实具体降低碳排放措施，制订相应管理办法等内部制度，测算碳减排量或节能量或碳排放量，并有科学计算方法。</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6</w:t>
            </w:r>
          </w:p>
        </w:tc>
        <w:tc>
          <w:tcPr>
            <w:tcW w:w="864"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企业提供相关证明材料或相关批复文件等。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rPr>
            </w:pPr>
          </w:p>
        </w:tc>
        <w:tc>
          <w:tcPr>
            <w:tcW w:w="419"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企业仅制订相应管理办法等内部制度，未进行碳减排量或节能量或碳排放量等计算。</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864"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企业提供相关证明材料或相关批复文件等。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352"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生产与管理（17/0）</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生产与管理（17/0）</w:t>
            </w:r>
          </w:p>
        </w:tc>
        <w:tc>
          <w:tcPr>
            <w:tcW w:w="383"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原料和产品（6/0）</w:t>
            </w: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原料消耗</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未使用国家、行业明令禁止和淘汰的原材料、鼓励原料绿色供应。</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推进上游原料供应绿色化，如制定绿色供应链管理战略或制定绿色采购制度或采取绿色物流结构调整措施等。</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企业提供原材料品种介绍，原料中废弃物比例说明及产业链上游原料绿色供应制度文件。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352"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hint="eastAsia" w:ascii="Times New Roman" w:hAnsi="Times New Roman" w:eastAsia="仿宋" w:cs="Times New Roman"/>
                <w:color w:val="000000"/>
                <w:kern w:val="0"/>
                <w:sz w:val="21"/>
                <w:szCs w:val="21"/>
                <w:lang w:eastAsia="zh-CN"/>
              </w:rPr>
            </w:pPr>
            <w:r>
              <w:rPr>
                <w:rFonts w:ascii="Times New Roman" w:hAnsi="Times New Roman" w:eastAsia="仿宋" w:cs="Times New Roman"/>
                <w:color w:val="000000"/>
                <w:kern w:val="0"/>
                <w:sz w:val="21"/>
                <w:szCs w:val="21"/>
              </w:rPr>
              <w:t>参照《国家鼓励的有毒有害原料（产品）替代品目录》（工信部联节〔2016〕398号），实现原料（产品）替代或原料50%以上来自于废弃物</w:t>
            </w:r>
            <w:r>
              <w:rPr>
                <w:rFonts w:hint="eastAsia" w:ascii="Times New Roman" w:hAnsi="Times New Roman" w:eastAsia="仿宋" w:cs="Times New Roman"/>
                <w:color w:val="000000"/>
                <w:kern w:val="0"/>
                <w:sz w:val="21"/>
                <w:szCs w:val="21"/>
                <w:lang w:eastAsia="zh-CN"/>
              </w:rPr>
              <w:t>。</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未使用国家、行业明令禁止和淘汰的原材料。</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产品质量</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产品质量达到国家相关绿色标准；或获得国家的各类节能、优质产品、绿色、有机、生态产品称号，包括但不限于：节能产品认证、绿色产品认证、有机产品认证、优质产品认证、中国名牌产品标识等国家或行业组织颁发的认证标识。</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满足其中一项即可。</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企业提供产品相关认证标识证明。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能源管理及绿色投资（4/0）</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能源管理及绿色投资（4/0）</w:t>
            </w: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质量、能源管理</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建立并实施质量、能源管理的相应制度。</w:t>
            </w:r>
          </w:p>
        </w:tc>
        <w:tc>
          <w:tcPr>
            <w:tcW w:w="325"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2/0</w:t>
            </w: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通过质量（ISO9001）、能源（GB/T-23331、ISO 50001）管理体系第三方认证中至少一项。</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企业编制的质量、能源管理制度，或第三方出具的能源管理体系认证证书。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仅制定有关制度。</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购置绿色保险</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auto"/>
                <w:kern w:val="0"/>
                <w:sz w:val="21"/>
                <w:szCs w:val="21"/>
              </w:rPr>
            </w:pPr>
            <w:r>
              <w:rPr>
                <w:rFonts w:ascii="Times New Roman" w:hAnsi="Times New Roman" w:eastAsia="仿宋" w:cs="Times New Roman"/>
                <w:color w:val="auto"/>
                <w:kern w:val="0"/>
                <w:sz w:val="21"/>
                <w:szCs w:val="21"/>
              </w:rPr>
              <w:t>购置环境污染责任保险、安全生产责任保险、食品安全责任保险等传统绿色保险产品或绿色贷款保证保险、工程质量潜在缺陷保险、绿色农业保险、药品置换责任保险、碳排放配额质押贷款保证保险等创新型绿色保险产品。</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auto"/>
                <w:kern w:val="0"/>
                <w:sz w:val="21"/>
                <w:szCs w:val="21"/>
              </w:rPr>
            </w:pPr>
            <w:r>
              <w:rPr>
                <w:rFonts w:ascii="Times New Roman" w:hAnsi="Times New Roman" w:eastAsia="仿宋" w:cs="Times New Roman"/>
                <w:color w:val="auto"/>
                <w:kern w:val="0"/>
                <w:sz w:val="21"/>
                <w:szCs w:val="21"/>
              </w:rPr>
              <w:t>1/0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hint="eastAsia" w:ascii="Times New Roman" w:hAnsi="Times New Roman" w:eastAsia="仿宋" w:cs="Times New Roman"/>
                <w:color w:val="auto"/>
                <w:kern w:val="0"/>
                <w:sz w:val="21"/>
                <w:szCs w:val="21"/>
                <w:lang w:eastAsia="zh-CN"/>
              </w:rPr>
            </w:pPr>
            <w:r>
              <w:rPr>
                <w:rFonts w:hint="eastAsia" w:ascii="Times New Roman" w:hAnsi="Times New Roman" w:eastAsia="仿宋" w:cs="Times New Roman"/>
                <w:color w:val="auto"/>
                <w:kern w:val="0"/>
                <w:sz w:val="21"/>
                <w:szCs w:val="21"/>
                <w:lang w:eastAsia="zh-CN"/>
              </w:rPr>
              <w:t>企业购置与绿色主营业务相关绿色保险，其中</w:t>
            </w:r>
            <w:r>
              <w:rPr>
                <w:rFonts w:hint="eastAsia" w:ascii="Times New Roman" w:hAnsi="Times New Roman" w:eastAsia="仿宋" w:cs="Times New Roman"/>
                <w:color w:val="auto"/>
                <w:kern w:val="0"/>
                <w:sz w:val="21"/>
                <w:szCs w:val="21"/>
                <w:lang w:val="en-US" w:eastAsia="zh-CN"/>
              </w:rPr>
              <w:t>依据</w:t>
            </w:r>
            <w:r>
              <w:rPr>
                <w:rFonts w:hint="eastAsia" w:ascii="Times New Roman" w:hAnsi="Times New Roman" w:eastAsia="仿宋" w:cs="Times New Roman"/>
                <w:color w:val="auto"/>
                <w:kern w:val="0"/>
                <w:sz w:val="21"/>
                <w:szCs w:val="21"/>
                <w:lang w:eastAsia="zh-CN"/>
              </w:rPr>
              <w:t>《甘肃省环境污染强制责任保险试点工作实施方案》</w:t>
            </w:r>
            <w:r>
              <w:rPr>
                <w:rFonts w:hint="eastAsia" w:ascii="Times New Roman" w:hAnsi="Times New Roman" w:eastAsia="仿宋" w:cs="Times New Roman"/>
                <w:color w:val="auto"/>
                <w:kern w:val="0"/>
                <w:sz w:val="21"/>
                <w:szCs w:val="21"/>
                <w:lang w:val="en-US" w:eastAsia="zh-CN"/>
              </w:rPr>
              <w:t>等</w:t>
            </w:r>
            <w:r>
              <w:rPr>
                <w:rFonts w:hint="eastAsia" w:ascii="Times New Roman" w:hAnsi="Times New Roman" w:eastAsia="仿宋" w:cs="Times New Roman"/>
                <w:color w:val="auto"/>
                <w:kern w:val="0"/>
                <w:sz w:val="21"/>
                <w:szCs w:val="21"/>
                <w:lang w:eastAsia="zh-CN"/>
              </w:rPr>
              <w:t>规定应当纳入环境污染强制责任保险范围的企业，未购买环境责任保险的此项不得分。</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bookmarkStart w:id="19" w:name="OLE_LINK7"/>
            <w:r>
              <w:rPr>
                <w:rFonts w:ascii="Times New Roman" w:hAnsi="Times New Roman" w:eastAsia="仿宋" w:cs="Times New Roman"/>
                <w:color w:val="000000"/>
                <w:kern w:val="0"/>
                <w:sz w:val="21"/>
                <w:szCs w:val="21"/>
              </w:rPr>
              <w:t>企业提供绿色保险保单</w:t>
            </w:r>
            <w:bookmarkEnd w:id="19"/>
            <w:r>
              <w:rPr>
                <w:rFonts w:ascii="Times New Roman" w:hAnsi="Times New Roman" w:eastAsia="仿宋" w:cs="Times New Roman"/>
                <w:color w:val="000000"/>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highlight w:val="yellow"/>
              </w:rPr>
            </w:pP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highlight w:val="yellow"/>
              </w:rPr>
            </w:pPr>
            <w:r>
              <w:rPr>
                <w:rFonts w:ascii="Times New Roman" w:hAnsi="Times New Roman" w:eastAsia="仿宋" w:cs="Times New Roman"/>
                <w:color w:val="000000"/>
                <w:kern w:val="0"/>
                <w:sz w:val="21"/>
                <w:szCs w:val="21"/>
              </w:rPr>
              <w:t>绿色领域投资</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开展绿色、低碳产业或项目投资、绿色园区投资、绿色城市投资、绿色技术投资等绿色领域投资活动投资。</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hint="eastAsia" w:ascii="Times New Roman" w:hAnsi="Times New Roman" w:eastAsia="仿宋" w:cs="Times New Roman"/>
                <w:color w:val="000000" w:themeColor="text1"/>
                <w:kern w:val="0"/>
                <w:sz w:val="21"/>
                <w:szCs w:val="21"/>
                <w:lang w:eastAsia="zh-CN"/>
                <w14:textFill>
                  <w14:solidFill>
                    <w14:schemeClr w14:val="tx1"/>
                  </w14:solidFill>
                </w14:textFill>
              </w:rPr>
            </w:pPr>
            <w:r>
              <w:rPr>
                <w:rFonts w:ascii="Times New Roman" w:hAnsi="Times New Roman" w:eastAsia="仿宋" w:cs="Times New Roman"/>
                <w:color w:val="000000" w:themeColor="text1"/>
                <w:kern w:val="0"/>
                <w:sz w:val="21"/>
                <w:szCs w:val="21"/>
                <w14:textFill>
                  <w14:solidFill>
                    <w14:schemeClr w14:val="tx1"/>
                  </w14:solidFill>
                </w14:textFill>
              </w:rPr>
              <w:t>开展任一绿色低碳领域投资即可</w:t>
            </w:r>
            <w:r>
              <w:rPr>
                <w:rFonts w:hint="eastAsia" w:ascii="Times New Roman" w:hAnsi="Times New Roman" w:eastAsia="仿宋" w:cs="Times New Roman"/>
                <w:color w:val="000000" w:themeColor="text1"/>
                <w:kern w:val="0"/>
                <w:sz w:val="21"/>
                <w:szCs w:val="21"/>
                <w:lang w:eastAsia="zh-CN"/>
                <w14:textFill>
                  <w14:solidFill>
                    <w14:schemeClr w14:val="tx1"/>
                  </w14:solidFill>
                </w14:textFill>
              </w:rPr>
              <w:t>。</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企业提供绿色领域投资证明。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基础设施（7/0）</w:t>
            </w: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技术先进</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拥有绿色低碳相关发明专利、技术先进性资质。</w:t>
            </w:r>
          </w:p>
        </w:tc>
        <w:tc>
          <w:tcPr>
            <w:tcW w:w="325"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企业获绿色低碳产品发明专利且年检有效，或获得绿色低碳技术先进性证书。</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4</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w:t>
            </w:r>
            <w:bookmarkStart w:id="20" w:name="OLE_LINK12"/>
            <w:r>
              <w:rPr>
                <w:rFonts w:ascii="Times New Roman" w:hAnsi="Times New Roman" w:eastAsia="仿宋" w:cs="Times New Roman"/>
                <w:color w:val="000000"/>
                <w:kern w:val="0"/>
                <w:sz w:val="21"/>
                <w:szCs w:val="21"/>
              </w:rPr>
              <w:t>绿色低碳产品</w:t>
            </w:r>
            <w:bookmarkEnd w:id="20"/>
            <w:r>
              <w:rPr>
                <w:rFonts w:ascii="Times New Roman" w:hAnsi="Times New Roman" w:eastAsia="仿宋" w:cs="Times New Roman"/>
                <w:color w:val="000000"/>
                <w:kern w:val="0"/>
                <w:sz w:val="21"/>
                <w:szCs w:val="21"/>
              </w:rPr>
              <w:t>专利证书或技术先进性说明，或一般性产品、技术发明专利证书。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highlight w:val="yellow"/>
              </w:rPr>
            </w:pPr>
          </w:p>
        </w:tc>
        <w:tc>
          <w:tcPr>
            <w:tcW w:w="801"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企业获发明专利且年检有效，或获得技术先进性证书。</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绿色装备</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主要设备选用列入国家节能、环保相关装备推荐目录的装备/设备，或采用较高能效用能装备/设备。</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3/0</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使用《国家工业节能技术装备推荐目录（2019）》（中华人民共和国工业和信息化部公告 2019年第55号）所列技术或装备；或主要用能装备/设备能效达到2级（含）以上。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0</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企业提供使用节能、环保装备或采用较高能效装备/设备说明。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352"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社会责任（7/19）</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社会责任（7/19）</w:t>
            </w:r>
          </w:p>
        </w:tc>
        <w:tc>
          <w:tcPr>
            <w:tcW w:w="383"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hint="eastAsia" w:ascii="Times New Roman" w:hAnsi="Times New Roman" w:eastAsia="仿宋" w:cs="Times New Roman"/>
                <w:color w:val="000000"/>
                <w:kern w:val="0"/>
                <w:sz w:val="21"/>
                <w:szCs w:val="21"/>
                <w:lang w:val="en-US" w:eastAsia="zh-CN"/>
              </w:rPr>
              <w:t>员工管理</w:t>
            </w:r>
            <w:r>
              <w:rPr>
                <w:rFonts w:ascii="Times New Roman" w:hAnsi="Times New Roman" w:eastAsia="仿宋" w:cs="Times New Roman"/>
                <w:color w:val="000000"/>
                <w:kern w:val="0"/>
                <w:sz w:val="21"/>
                <w:szCs w:val="21"/>
              </w:rPr>
              <w:t>（</w:t>
            </w:r>
            <w:r>
              <w:rPr>
                <w:rFonts w:hint="default" w:ascii="Times New Roman" w:hAnsi="Times New Roman" w:eastAsia="仿宋" w:cs="Times New Roman"/>
                <w:color w:val="000000"/>
                <w:kern w:val="0"/>
                <w:sz w:val="21"/>
                <w:szCs w:val="21"/>
                <w:lang w:val="en-US"/>
              </w:rPr>
              <w:t>4</w:t>
            </w:r>
            <w:r>
              <w:rPr>
                <w:rFonts w:ascii="Times New Roman" w:hAnsi="Times New Roman" w:eastAsia="仿宋" w:cs="Times New Roman"/>
                <w:color w:val="000000"/>
                <w:kern w:val="0"/>
                <w:sz w:val="21"/>
                <w:szCs w:val="21"/>
              </w:rPr>
              <w:t>/</w:t>
            </w:r>
            <w:r>
              <w:rPr>
                <w:rFonts w:hint="default" w:ascii="Times New Roman" w:hAnsi="Times New Roman" w:eastAsia="仿宋" w:cs="Times New Roman"/>
                <w:color w:val="000000"/>
                <w:kern w:val="0"/>
                <w:sz w:val="21"/>
                <w:szCs w:val="21"/>
                <w:lang w:val="en-US"/>
              </w:rPr>
              <w:t>10</w:t>
            </w:r>
            <w:r>
              <w:rPr>
                <w:rFonts w:ascii="Times New Roman" w:hAnsi="Times New Roman" w:eastAsia="仿宋" w:cs="Times New Roman"/>
                <w:color w:val="000000"/>
                <w:kern w:val="0"/>
                <w:sz w:val="21"/>
                <w:szCs w:val="21"/>
              </w:rPr>
              <w:t>）</w:t>
            </w: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职业健康安全管理体系</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建立并实施职业健康安全管理制度，通过第三方认证。</w:t>
            </w:r>
          </w:p>
        </w:tc>
        <w:tc>
          <w:tcPr>
            <w:tcW w:w="325"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2/5</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通过职业健康安全管理体系（ISO45001、GB/T28001）第三方认证。</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5</w:t>
            </w:r>
          </w:p>
        </w:tc>
        <w:tc>
          <w:tcPr>
            <w:tcW w:w="86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企业编制的相关管理制度，及职业健康安全管理体系认证证书。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仅建立相关管理制度。</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restar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低碳办公</w:t>
            </w:r>
          </w:p>
        </w:tc>
        <w:tc>
          <w:tcPr>
            <w:tcW w:w="801"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采取低碳办公具体措施，包括但不限于采用无纸化办公、信息化办公系统，选用节水设施、节电设施等。</w:t>
            </w:r>
          </w:p>
        </w:tc>
        <w:tc>
          <w:tcPr>
            <w:tcW w:w="325"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2/5</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bookmarkStart w:id="21" w:name="OLE_LINK10"/>
            <w:r>
              <w:rPr>
                <w:rFonts w:ascii="Times New Roman" w:hAnsi="Times New Roman" w:eastAsia="仿宋" w:cs="Times New Roman"/>
                <w:color w:val="000000"/>
                <w:kern w:val="0"/>
                <w:sz w:val="21"/>
                <w:szCs w:val="21"/>
              </w:rPr>
              <w:t>采取绿色低碳办公措施</w:t>
            </w:r>
            <w:bookmarkEnd w:id="21"/>
            <w:r>
              <w:rPr>
                <w:rFonts w:ascii="Times New Roman" w:hAnsi="Times New Roman" w:eastAsia="仿宋" w:cs="Times New Roman"/>
                <w:color w:val="000000"/>
                <w:kern w:val="0"/>
                <w:sz w:val="21"/>
                <w:szCs w:val="21"/>
              </w:rPr>
              <w:t>。</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2</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5</w:t>
            </w:r>
          </w:p>
        </w:tc>
        <w:tc>
          <w:tcPr>
            <w:tcW w:w="864" w:type="pct"/>
            <w:vMerge w:val="restar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企业碳办公相关制度及措施证明材料。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801"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25"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仅建立绿色低碳办公相关制度，未开展低碳办公措施。</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864"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383"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419"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公众认可度</w:t>
            </w:r>
          </w:p>
        </w:tc>
        <w:tc>
          <w:tcPr>
            <w:tcW w:w="801"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监管、社区、民众对企业在生态环境保护、绿色低碳等方面工作的反映。</w:t>
            </w:r>
          </w:p>
        </w:tc>
        <w:tc>
          <w:tcPr>
            <w:tcW w:w="325"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1/3</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监管、社区、民众对企业在生态环境保护、绿色低碳等方面工作的反映良好。</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3</w:t>
            </w:r>
          </w:p>
        </w:tc>
        <w:tc>
          <w:tcPr>
            <w:tcW w:w="864"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lang w:val="en-US" w:eastAsia="zh-CN" w:bidi="ar-SA"/>
              </w:rPr>
            </w:pPr>
            <w:r>
              <w:rPr>
                <w:rFonts w:ascii="Times New Roman" w:hAnsi="Times New Roman" w:eastAsia="仿宋" w:cs="Times New Roman"/>
                <w:color w:val="000000"/>
                <w:kern w:val="0"/>
                <w:sz w:val="21"/>
                <w:szCs w:val="21"/>
              </w:rPr>
              <w:t>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83"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社会贡献（1/3）</w:t>
            </w: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绿色低碳活动</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积极开展或参加光盘行动、环境保护、低碳教育、植树、垃圾回收等绿色活动。</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1/3</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开展或参与绿色低碳相关活动。</w:t>
            </w:r>
          </w:p>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企业提供参与绿色低碳活动证明材料，包括图片、影音资料或接收单位出具的证明等。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83"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社会监督（</w:t>
            </w:r>
            <w:r>
              <w:rPr>
                <w:rFonts w:hint="eastAsia" w:ascii="Times New Roman" w:hAnsi="Times New Roman" w:eastAsia="仿宋" w:cs="Times New Roman"/>
                <w:color w:val="000000"/>
                <w:kern w:val="0"/>
                <w:sz w:val="21"/>
                <w:szCs w:val="21"/>
                <w:lang w:val="en-US" w:eastAsia="zh-CN"/>
              </w:rPr>
              <w:t>1</w:t>
            </w:r>
            <w:r>
              <w:rPr>
                <w:rFonts w:ascii="Times New Roman" w:hAnsi="Times New Roman" w:eastAsia="仿宋" w:cs="Times New Roman"/>
                <w:color w:val="000000"/>
                <w:kern w:val="0"/>
                <w:sz w:val="21"/>
                <w:szCs w:val="21"/>
              </w:rPr>
              <w:t>/</w:t>
            </w:r>
            <w:r>
              <w:rPr>
                <w:rFonts w:hint="eastAsia" w:ascii="Times New Roman" w:hAnsi="Times New Roman" w:eastAsia="仿宋" w:cs="Times New Roman"/>
                <w:color w:val="000000"/>
                <w:kern w:val="0"/>
                <w:sz w:val="21"/>
                <w:szCs w:val="21"/>
                <w:lang w:val="en-US" w:eastAsia="zh-CN"/>
              </w:rPr>
              <w:t>3</w:t>
            </w:r>
            <w:r>
              <w:rPr>
                <w:rFonts w:ascii="Times New Roman" w:hAnsi="Times New Roman" w:eastAsia="仿宋" w:cs="Times New Roman"/>
                <w:color w:val="000000"/>
                <w:kern w:val="0"/>
                <w:sz w:val="21"/>
                <w:szCs w:val="21"/>
              </w:rPr>
              <w:t>）</w:t>
            </w: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hint="eastAsia" w:ascii="Times New Roman" w:hAnsi="Times New Roman" w:eastAsia="仿宋" w:cs="Times New Roman"/>
                <w:color w:val="000000"/>
                <w:kern w:val="0"/>
                <w:sz w:val="21"/>
                <w:szCs w:val="21"/>
              </w:rPr>
              <w:t>社会责任</w:t>
            </w:r>
            <w:r>
              <w:rPr>
                <w:rFonts w:ascii="Times New Roman" w:hAnsi="Times New Roman" w:eastAsia="仿宋" w:cs="Times New Roman"/>
                <w:color w:val="000000"/>
                <w:kern w:val="0"/>
                <w:sz w:val="21"/>
                <w:szCs w:val="21"/>
              </w:rPr>
              <w:t>评价</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聘请社会公共机构定期评价社会责任履行情况，并根据评价结果改善管理措施，落实到生产经营管理的各个环节。</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1/3</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开展评价并落实到生产经营管理各环节，定期向社会发布《企业社会责任报告》。</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企业定期开展社会责任履行情况评价及根据评价结果改善管理说明，及《企业社会责任报告》，并说明公开查询渠道。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352" w:type="pct"/>
            <w:vMerge w:val="continue"/>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p>
        </w:tc>
        <w:tc>
          <w:tcPr>
            <w:tcW w:w="383" w:type="pct"/>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hint="default" w:ascii="Times New Roman" w:hAnsi="Times New Roman" w:eastAsia="仿宋" w:cs="Times New Roman"/>
                <w:color w:val="000000"/>
                <w:kern w:val="0"/>
                <w:sz w:val="21"/>
                <w:szCs w:val="21"/>
                <w:lang w:val="en-US" w:eastAsia="zh-CN"/>
              </w:rPr>
            </w:pPr>
            <w:r>
              <w:rPr>
                <w:rFonts w:hint="eastAsia" w:ascii="Times New Roman" w:hAnsi="Times New Roman" w:eastAsia="仿宋" w:cs="Times New Roman"/>
                <w:color w:val="000000"/>
                <w:kern w:val="0"/>
                <w:sz w:val="21"/>
                <w:szCs w:val="21"/>
                <w:lang w:val="en-US" w:eastAsia="zh-CN"/>
              </w:rPr>
              <w:t>利益相关方（1/3）</w:t>
            </w:r>
          </w:p>
        </w:tc>
        <w:tc>
          <w:tcPr>
            <w:tcW w:w="419" w:type="pct"/>
            <w:shd w:val="clear" w:color="000000" w:fill="FFFFFF"/>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公众认可度</w:t>
            </w:r>
          </w:p>
        </w:tc>
        <w:tc>
          <w:tcPr>
            <w:tcW w:w="801"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bookmarkStart w:id="22" w:name="OLE_LINK9"/>
            <w:r>
              <w:rPr>
                <w:rFonts w:ascii="Times New Roman" w:hAnsi="Times New Roman" w:eastAsia="仿宋" w:cs="Times New Roman"/>
                <w:color w:val="000000"/>
                <w:kern w:val="0"/>
                <w:sz w:val="21"/>
                <w:szCs w:val="21"/>
              </w:rPr>
              <w:t>监管、社区、民众对企业在生态环境保护、绿色低碳等方面工作的反映。</w:t>
            </w:r>
            <w:bookmarkEnd w:id="22"/>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1/3</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监管、社区、民众对企业在生态环境保护、绿色低碳等方面工作的反映良好。</w:t>
            </w: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3</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1956" w:type="pct"/>
            <w:gridSpan w:val="4"/>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除上述评价指标外，企业在绿色经营、环境污染防治、节能低碳、生产与管理以及社会责任等方面表现突出。</w:t>
            </w:r>
          </w:p>
        </w:tc>
        <w:tc>
          <w:tcPr>
            <w:tcW w:w="325"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1/1</w:t>
            </w:r>
          </w:p>
        </w:tc>
        <w:tc>
          <w:tcPr>
            <w:tcW w:w="1397"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left"/>
              <w:textAlignment w:val="auto"/>
              <w:rPr>
                <w:rFonts w:ascii="Times New Roman" w:hAnsi="Times New Roman" w:eastAsia="仿宋" w:cs="Times New Roman"/>
                <w:color w:val="000000"/>
                <w:kern w:val="0"/>
                <w:sz w:val="21"/>
                <w:szCs w:val="21"/>
              </w:rPr>
            </w:pPr>
          </w:p>
        </w:tc>
        <w:tc>
          <w:tcPr>
            <w:tcW w:w="218"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236"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jc w:val="center"/>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1</w:t>
            </w:r>
          </w:p>
        </w:tc>
        <w:tc>
          <w:tcPr>
            <w:tcW w:w="864" w:type="pct"/>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ind w:firstLine="0" w:firstLineChars="0"/>
              <w:textAlignment w:val="auto"/>
              <w:rPr>
                <w:rFonts w:ascii="Times New Roman" w:hAnsi="Times New Roman" w:eastAsia="仿宋" w:cs="Times New Roman"/>
                <w:color w:val="000000"/>
                <w:kern w:val="0"/>
                <w:sz w:val="21"/>
                <w:szCs w:val="21"/>
              </w:rPr>
            </w:pPr>
            <w:r>
              <w:rPr>
                <w:rFonts w:ascii="Times New Roman" w:hAnsi="Times New Roman" w:eastAsia="仿宋" w:cs="Times New Roman"/>
                <w:color w:val="000000"/>
                <w:kern w:val="0"/>
                <w:sz w:val="21"/>
                <w:szCs w:val="21"/>
              </w:rPr>
              <w:t>相关证明材料。</w:t>
            </w:r>
          </w:p>
        </w:tc>
      </w:tr>
      <w:bookmarkEnd w:id="18"/>
    </w:tbl>
    <w:p>
      <w:pPr>
        <w:pStyle w:val="18"/>
        <w:spacing w:line="560" w:lineRule="exact"/>
        <w:ind w:firstLine="480" w:firstLineChars="200"/>
        <w:rPr>
          <w:rFonts w:ascii="Times New Roman" w:hAnsi="Times New Roman" w:eastAsia="仿宋"/>
          <w:sz w:val="24"/>
          <w:szCs w:val="24"/>
        </w:rPr>
      </w:pPr>
      <w:r>
        <w:rPr>
          <w:rFonts w:ascii="Times New Roman" w:hAnsi="Times New Roman" w:eastAsia="仿宋"/>
          <w:sz w:val="24"/>
          <w:szCs w:val="24"/>
        </w:rPr>
        <w:t>说明：</w:t>
      </w:r>
    </w:p>
    <w:p>
      <w:pPr>
        <w:pStyle w:val="18"/>
        <w:keepNext w:val="0"/>
        <w:keepLines w:val="0"/>
        <w:pageBreakBefore w:val="0"/>
        <w:widowControl/>
        <w:kinsoku/>
        <w:wordWrap/>
        <w:overflowPunct/>
        <w:topLinePunct w:val="0"/>
        <w:autoSpaceDE/>
        <w:autoSpaceDN/>
        <w:bidi w:val="0"/>
        <w:adjustRightInd/>
        <w:snapToGrid/>
        <w:spacing w:line="420" w:lineRule="exact"/>
        <w:ind w:firstLine="480" w:firstLineChars="200"/>
        <w:textAlignment w:val="auto"/>
        <w:rPr>
          <w:rFonts w:ascii="Times New Roman" w:hAnsi="Times New Roman" w:eastAsia="仿宋"/>
          <w:sz w:val="24"/>
          <w:szCs w:val="24"/>
        </w:rPr>
      </w:pPr>
      <w:r>
        <w:rPr>
          <w:rFonts w:ascii="Times New Roman" w:hAnsi="Times New Roman" w:eastAsia="仿宋"/>
          <w:sz w:val="24"/>
          <w:szCs w:val="24"/>
        </w:rPr>
        <w:t>1. 绿色企业各级指标设置采用层次分析法，分值确定采用专家评分法。</w:t>
      </w:r>
    </w:p>
    <w:p>
      <w:pPr>
        <w:pStyle w:val="18"/>
        <w:keepNext w:val="0"/>
        <w:keepLines w:val="0"/>
        <w:pageBreakBefore w:val="0"/>
        <w:widowControl/>
        <w:kinsoku/>
        <w:wordWrap/>
        <w:overflowPunct/>
        <w:topLinePunct w:val="0"/>
        <w:autoSpaceDE/>
        <w:autoSpaceDN/>
        <w:bidi w:val="0"/>
        <w:adjustRightInd/>
        <w:snapToGrid/>
        <w:spacing w:line="420" w:lineRule="exact"/>
        <w:ind w:left="720" w:leftChars="150" w:hanging="240" w:hangingChars="100"/>
        <w:textAlignment w:val="auto"/>
        <w:rPr>
          <w:rFonts w:ascii="Times New Roman" w:hAnsi="Times New Roman" w:eastAsia="仿宋"/>
          <w:sz w:val="24"/>
          <w:szCs w:val="24"/>
        </w:rPr>
      </w:pPr>
      <w:r>
        <w:rPr>
          <w:rFonts w:ascii="Times New Roman" w:hAnsi="Times New Roman" w:eastAsia="仿宋"/>
          <w:sz w:val="24"/>
          <w:szCs w:val="24"/>
        </w:rPr>
        <w:t>2. A类企业指符合《国民经济行业分类》（GB/T 4754-2017）（2019年修改版）中第一产业、第二产业的企业；B类企业指符合以上分类中第三产业的企业。</w:t>
      </w:r>
    </w:p>
    <w:p>
      <w:pPr>
        <w:pStyle w:val="18"/>
        <w:keepNext w:val="0"/>
        <w:keepLines w:val="0"/>
        <w:pageBreakBefore w:val="0"/>
        <w:widowControl/>
        <w:kinsoku/>
        <w:wordWrap/>
        <w:overflowPunct/>
        <w:topLinePunct w:val="0"/>
        <w:autoSpaceDE/>
        <w:autoSpaceDN/>
        <w:bidi w:val="0"/>
        <w:adjustRightInd/>
        <w:snapToGrid/>
        <w:spacing w:line="420" w:lineRule="exact"/>
        <w:ind w:firstLine="480" w:firstLineChars="200"/>
        <w:textAlignment w:val="auto"/>
        <w:rPr>
          <w:rFonts w:ascii="Times New Roman" w:hAnsi="Times New Roman" w:eastAsia="仿宋"/>
          <w:sz w:val="24"/>
          <w:szCs w:val="24"/>
        </w:rPr>
      </w:pPr>
      <w:r>
        <w:rPr>
          <w:rFonts w:ascii="Times New Roman" w:hAnsi="Times New Roman" w:eastAsia="仿宋"/>
          <w:sz w:val="24"/>
          <w:szCs w:val="24"/>
        </w:rPr>
        <w:t>3. 指标得分指满足“指标要求”即得分，得分为A类企业/B类企业对应分值；不满足则得分计为0分。</w:t>
      </w:r>
    </w:p>
    <w:p>
      <w:pPr>
        <w:pStyle w:val="18"/>
        <w:keepNext w:val="0"/>
        <w:keepLines w:val="0"/>
        <w:pageBreakBefore w:val="0"/>
        <w:widowControl/>
        <w:kinsoku/>
        <w:wordWrap/>
        <w:overflowPunct/>
        <w:topLinePunct w:val="0"/>
        <w:autoSpaceDE/>
        <w:autoSpaceDN/>
        <w:bidi w:val="0"/>
        <w:adjustRightInd/>
        <w:snapToGrid/>
        <w:spacing w:line="420" w:lineRule="exact"/>
        <w:ind w:firstLine="480" w:firstLineChars="200"/>
        <w:textAlignment w:val="auto"/>
        <w:rPr>
          <w:rFonts w:ascii="Times New Roman" w:hAnsi="Times New Roman" w:eastAsia="仿宋"/>
          <w:sz w:val="24"/>
          <w:szCs w:val="24"/>
        </w:rPr>
      </w:pPr>
      <w:r>
        <w:rPr>
          <w:rFonts w:ascii="Times New Roman" w:hAnsi="Times New Roman" w:eastAsia="仿宋"/>
          <w:sz w:val="24"/>
          <w:szCs w:val="24"/>
        </w:rPr>
        <w:t>4. B类企业指标得分为0分项即为不考虑项，用于区分A类企业和B类企业。</w:t>
      </w:r>
    </w:p>
    <w:p>
      <w:pPr>
        <w:pStyle w:val="18"/>
        <w:spacing w:line="560" w:lineRule="exact"/>
        <w:ind w:firstLine="400" w:firstLineChars="200"/>
        <w:rPr>
          <w:rFonts w:ascii="Times New Roman" w:hAnsi="Times New Roman"/>
          <w:color w:val="000000" w:themeColor="text1"/>
          <w14:textFill>
            <w14:solidFill>
              <w14:schemeClr w14:val="tx1"/>
            </w14:solidFill>
          </w14:textFill>
        </w:rPr>
        <w:sectPr>
          <w:headerReference r:id="rId7" w:type="default"/>
          <w:footerReference r:id="rId8" w:type="default"/>
          <w:pgSz w:w="16838" w:h="11906" w:orient="landscape"/>
          <w:pgMar w:top="720" w:right="720" w:bottom="720" w:left="720" w:header="851" w:footer="992" w:gutter="0"/>
          <w:pgNumType w:fmt="numberInDash"/>
          <w:cols w:space="425" w:num="1"/>
          <w:docGrid w:type="lines" w:linePitch="435" w:charSpace="0"/>
        </w:sectPr>
      </w:pPr>
    </w:p>
    <w:p>
      <w:pPr>
        <w:spacing w:line="560" w:lineRule="exact"/>
        <w:ind w:firstLine="0" w:firstLineChars="0"/>
        <w:jc w:val="left"/>
        <w:outlineLvl w:val="0"/>
        <w:rPr>
          <w:rFonts w:hint="eastAsia" w:ascii="黑体" w:hAnsi="黑体" w:eastAsia="黑体" w:cs="黑体"/>
          <w:color w:val="000000" w:themeColor="text1"/>
          <w:szCs w:val="32"/>
          <w:lang w:val="en-US" w:eastAsia="zh-CN"/>
          <w14:textFill>
            <w14:solidFill>
              <w14:schemeClr w14:val="tx1"/>
            </w14:solidFill>
          </w14:textFill>
        </w:rPr>
      </w:pPr>
      <w:bookmarkStart w:id="23" w:name="_Toc9814"/>
      <w:bookmarkStart w:id="24" w:name="_Toc32729"/>
      <w:bookmarkStart w:id="25" w:name="_Toc17154"/>
      <w:bookmarkStart w:id="26" w:name="_Toc61533940"/>
      <w:r>
        <w:rPr>
          <w:rFonts w:hint="eastAsia" w:ascii="黑体" w:hAnsi="黑体" w:eastAsia="黑体" w:cs="黑体"/>
          <w:color w:val="000000" w:themeColor="text1"/>
          <w:szCs w:val="32"/>
          <w14:textFill>
            <w14:solidFill>
              <w14:schemeClr w14:val="tx1"/>
            </w14:solidFill>
          </w14:textFill>
        </w:rPr>
        <w:t>附件</w:t>
      </w:r>
      <w:bookmarkEnd w:id="23"/>
      <w:bookmarkEnd w:id="24"/>
      <w:bookmarkEnd w:id="25"/>
      <w:r>
        <w:rPr>
          <w:rFonts w:hint="eastAsia" w:ascii="黑体" w:hAnsi="黑体" w:eastAsia="黑体" w:cs="黑体"/>
          <w:color w:val="000000" w:themeColor="text1"/>
          <w:szCs w:val="32"/>
          <w:lang w:val="en-US" w:eastAsia="zh-CN"/>
          <w14:textFill>
            <w14:solidFill>
              <w14:schemeClr w14:val="tx1"/>
            </w14:solidFill>
          </w14:textFill>
        </w:rPr>
        <w:t>4-1</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bookmarkStart w:id="27" w:name="_Toc7358"/>
      <w:bookmarkStart w:id="28" w:name="_Toc6228"/>
      <w:bookmarkStart w:id="29" w:name="_Toc30392"/>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兰州新区绿色企业认证申请表</w:t>
      </w:r>
      <w:bookmarkEnd w:id="5"/>
      <w:bookmarkEnd w:id="6"/>
      <w:bookmarkEnd w:id="26"/>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 xml:space="preserve">  （A类企业）</w:t>
      </w:r>
      <w:bookmarkEnd w:id="27"/>
      <w:bookmarkEnd w:id="28"/>
      <w:bookmarkEnd w:id="29"/>
    </w:p>
    <w:p>
      <w:pPr>
        <w:keepNext w:val="0"/>
        <w:keepLines w:val="0"/>
        <w:pageBreakBefore w:val="0"/>
        <w:widowControl w:val="0"/>
        <w:kinsoku/>
        <w:wordWrap/>
        <w:overflowPunct/>
        <w:topLinePunct w:val="0"/>
        <w:autoSpaceDE/>
        <w:autoSpaceDN/>
        <w:bidi w:val="0"/>
        <w:adjustRightInd/>
        <w:snapToGrid/>
        <w:spacing w:line="560" w:lineRule="exact"/>
        <w:ind w:firstLine="11200" w:firstLineChars="4000"/>
        <w:textAlignment w:val="auto"/>
        <w:rPr>
          <w:rFonts w:ascii="Times New Roman" w:hAnsi="Times New Roman" w:eastAsia="方正小标宋简体" w:cs="Times New Roman"/>
          <w:bCs/>
          <w:color w:val="000000" w:themeColor="text1"/>
          <w:sz w:val="36"/>
          <w:szCs w:val="36"/>
          <w14:textFill>
            <w14:solidFill>
              <w14:schemeClr w14:val="tx1"/>
            </w14:solidFill>
          </w14:textFill>
        </w:rPr>
      </w:pPr>
      <w:r>
        <w:rPr>
          <w:rFonts w:ascii="Times New Roman" w:hAnsi="Times New Roman" w:cs="Times New Roman"/>
          <w:sz w:val="28"/>
          <w:szCs w:val="28"/>
        </w:rPr>
        <w:t>盖章：</w:t>
      </w:r>
    </w:p>
    <w:tbl>
      <w:tblPr>
        <w:tblStyle w:val="11"/>
        <w:tblpPr w:leftFromText="180" w:rightFromText="180" w:vertAnchor="text" w:horzAnchor="page" w:tblpX="1778" w:tblpY="513"/>
        <w:tblOverlap w:val="never"/>
        <w:tblW w:w="48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3"/>
        <w:gridCol w:w="5429"/>
        <w:gridCol w:w="6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Align w:val="center"/>
          </w:tcPr>
          <w:p>
            <w:pPr>
              <w:spacing w:line="240" w:lineRule="auto"/>
              <w:ind w:firstLine="0" w:firstLineChars="0"/>
              <w:jc w:val="center"/>
              <w:rPr>
                <w:rFonts w:ascii="Times New Roman" w:hAnsi="Times New Roman" w:eastAsia="仿宋" w:cs="Times New Roman"/>
                <w:b/>
                <w:color w:val="000000" w:themeColor="text1"/>
                <w:sz w:val="30"/>
                <w:szCs w:val="30"/>
                <w14:textFill>
                  <w14:solidFill>
                    <w14:schemeClr w14:val="tx1"/>
                  </w14:solidFill>
                </w14:textFill>
              </w:rPr>
            </w:pPr>
            <w:r>
              <w:rPr>
                <w:rFonts w:ascii="Times New Roman" w:hAnsi="Times New Roman" w:eastAsia="仿宋" w:cs="Times New Roman"/>
                <w:b/>
                <w:color w:val="000000" w:themeColor="text1"/>
                <w:sz w:val="30"/>
                <w:szCs w:val="30"/>
                <w14:textFill>
                  <w14:solidFill>
                    <w14:schemeClr w14:val="tx1"/>
                  </w14:solidFill>
                </w14:textFill>
              </w:rPr>
              <w:t>类别</w:t>
            </w:r>
          </w:p>
        </w:tc>
        <w:tc>
          <w:tcPr>
            <w:tcW w:w="1956" w:type="pct"/>
            <w:vAlign w:val="center"/>
          </w:tcPr>
          <w:p>
            <w:pPr>
              <w:spacing w:line="240" w:lineRule="auto"/>
              <w:ind w:firstLine="0" w:firstLineChars="0"/>
              <w:jc w:val="center"/>
              <w:rPr>
                <w:rFonts w:ascii="Times New Roman" w:hAnsi="Times New Roman" w:eastAsia="仿宋" w:cs="Times New Roman"/>
                <w:b/>
                <w:color w:val="000000" w:themeColor="text1"/>
                <w:sz w:val="30"/>
                <w:szCs w:val="30"/>
                <w14:textFill>
                  <w14:solidFill>
                    <w14:schemeClr w14:val="tx1"/>
                  </w14:solidFill>
                </w14:textFill>
              </w:rPr>
            </w:pPr>
            <w:r>
              <w:rPr>
                <w:rFonts w:ascii="Times New Roman" w:hAnsi="Times New Roman" w:eastAsia="仿宋" w:cs="Times New Roman"/>
                <w:b/>
                <w:color w:val="000000" w:themeColor="text1"/>
                <w:sz w:val="30"/>
                <w:szCs w:val="30"/>
                <w14:textFill>
                  <w14:solidFill>
                    <w14:schemeClr w14:val="tx1"/>
                  </w14:solidFill>
                </w14:textFill>
              </w:rPr>
              <w:t>项目</w:t>
            </w:r>
          </w:p>
        </w:tc>
        <w:tc>
          <w:tcPr>
            <w:tcW w:w="2325" w:type="pct"/>
            <w:vAlign w:val="center"/>
          </w:tcPr>
          <w:p>
            <w:pPr>
              <w:spacing w:line="240" w:lineRule="auto"/>
              <w:ind w:firstLine="0" w:firstLineChars="0"/>
              <w:jc w:val="center"/>
              <w:rPr>
                <w:rFonts w:ascii="Times New Roman" w:hAnsi="Times New Roman" w:eastAsia="仿宋" w:cs="Times New Roman"/>
                <w:b/>
                <w:color w:val="000000" w:themeColor="text1"/>
                <w:sz w:val="30"/>
                <w:szCs w:val="30"/>
                <w14:textFill>
                  <w14:solidFill>
                    <w14:schemeClr w14:val="tx1"/>
                  </w14:solidFill>
                </w14:textFill>
              </w:rPr>
            </w:pPr>
            <w:r>
              <w:rPr>
                <w:rFonts w:ascii="Times New Roman" w:hAnsi="Times New Roman" w:eastAsia="仿宋" w:cs="Times New Roman"/>
                <w:b/>
                <w:color w:val="000000" w:themeColor="text1"/>
                <w:sz w:val="30"/>
                <w:szCs w:val="30"/>
                <w14:textFill>
                  <w14:solidFill>
                    <w14:schemeClr w14:val="tx1"/>
                  </w14:solidFill>
                </w14:textFill>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18"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企业基本信息</w:t>
            </w: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企业名称</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统一社会信用代码</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企业注册地址</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实际经营地址</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企业网址</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企业法人</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企业联系人</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联系电话</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是否属于重点排污单位</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否（  ）国控（  ）省控（  ）市控（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经营管理信息</w:t>
            </w: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企业主营业务</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总收入（万元）</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绿色产业领域收入</w:t>
            </w:r>
            <w:r>
              <w:rPr>
                <w:rFonts w:ascii="Times New Roman" w:hAnsi="Times New Roman" w:eastAsia="仿宋" w:cs="Times New Roman"/>
                <w:color w:val="000000" w:themeColor="text1"/>
                <w:sz w:val="30"/>
                <w:szCs w:val="30"/>
                <w:vertAlign w:val="superscript"/>
                <w14:textFill>
                  <w14:solidFill>
                    <w14:schemeClr w14:val="tx1"/>
                  </w14:solidFill>
                </w14:textFill>
              </w:rPr>
              <w:t>1</w:t>
            </w:r>
            <w:r>
              <w:rPr>
                <w:rFonts w:ascii="Times New Roman" w:hAnsi="Times New Roman" w:eastAsia="仿宋" w:cs="Times New Roman"/>
                <w:color w:val="000000" w:themeColor="text1"/>
                <w:sz w:val="30"/>
                <w:szCs w:val="30"/>
                <w14:textFill>
                  <w14:solidFill>
                    <w14:schemeClr w14:val="tx1"/>
                  </w14:solidFill>
                </w14:textFill>
              </w:rPr>
              <w:t>（万元）</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主要原料，是否实现原料（产品）替代或50%以上来自于废弃物</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主要产品情况</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产品单位综合能耗</w:t>
            </w:r>
            <w:r>
              <w:rPr>
                <w:rFonts w:ascii="Times New Roman" w:hAnsi="Times New Roman" w:eastAsia="仿宋" w:cs="Times New Roman"/>
                <w:color w:val="000000" w:themeColor="text1"/>
                <w:sz w:val="30"/>
                <w:szCs w:val="30"/>
                <w:vertAlign w:val="superscript"/>
                <w14:textFill>
                  <w14:solidFill>
                    <w14:schemeClr w14:val="tx1"/>
                  </w14:solidFill>
                </w14:textFill>
              </w:rPr>
              <w:t>2</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可再生能源使用占比（%）</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是否测算或披露了碳排放量或碳减排量或节能量</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是否获得相关资质（如绿色工厂、绿色产品认证、环保诚信企业等）</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是否开展绿色投资或购买绿色保险</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是否获得绿色低碳产品专利证书</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质量、能源、职业健康安全、碳中和</w:t>
            </w:r>
          </w:p>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第三方认证情况</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bookmarkStart w:id="30" w:name="OLE_LINK11"/>
            <w:r>
              <w:rPr>
                <w:rFonts w:ascii="Times New Roman" w:hAnsi="Times New Roman" w:eastAsia="仿宋" w:cs="Times New Roman"/>
                <w:color w:val="000000" w:themeColor="text1"/>
                <w:sz w:val="30"/>
                <w:szCs w:val="30"/>
                <w14:textFill>
                  <w14:solidFill>
                    <w14:schemeClr w14:val="tx1"/>
                  </w14:solidFill>
                </w14:textFill>
              </w:rPr>
              <w:t>是否采取绿色低碳办公措施</w:t>
            </w:r>
            <w:bookmarkEnd w:id="30"/>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718" w:type="pct"/>
            <w:vMerge w:val="continue"/>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是否参与或开展绿色低碳活动</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718"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c>
          <w:tcPr>
            <w:tcW w:w="1956"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是否定期披露环境、社会责任等相关信息、报告</w:t>
            </w:r>
          </w:p>
        </w:tc>
        <w:tc>
          <w:tcPr>
            <w:tcW w:w="2325" w:type="pct"/>
            <w:vAlign w:val="center"/>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ascii="Times New Roman" w:hAnsi="Times New Roman" w:eastAsia="仿宋" w:cs="Times New Roman"/>
                <w:color w:val="000000" w:themeColor="text1"/>
                <w:sz w:val="30"/>
                <w:szCs w:val="30"/>
                <w14:textFill>
                  <w14:solidFill>
                    <w14:schemeClr w14:val="tx1"/>
                  </w14:solidFill>
                </w14:textFill>
              </w:rPr>
            </w:pPr>
          </w:p>
        </w:tc>
      </w:tr>
    </w:tbl>
    <w:p>
      <w:pPr>
        <w:spacing w:line="60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填表说明：</w:t>
      </w:r>
    </w:p>
    <w:p>
      <w:pPr>
        <w:spacing w:line="60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w:t>
      </w:r>
      <w:r>
        <w:rPr>
          <w:rFonts w:ascii="Times New Roman" w:hAnsi="Times New Roman" w:eastAsia="仿宋" w:cs="Times New Roman"/>
          <w:color w:val="000000" w:themeColor="text1"/>
          <w:sz w:val="28"/>
          <w:szCs w:val="28"/>
          <w14:textFill>
            <w14:solidFill>
              <w14:schemeClr w14:val="tx1"/>
            </w14:solidFill>
          </w14:textFill>
        </w:rPr>
        <w:t>绿色产业领域收入指企业从事本办法附件</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w:t>
      </w:r>
      <w:r>
        <w:rPr>
          <w:rFonts w:ascii="Times New Roman" w:hAnsi="Times New Roman" w:eastAsia="仿宋" w:cs="Times New Roman"/>
          <w:color w:val="000000" w:themeColor="text1"/>
          <w:sz w:val="28"/>
          <w:szCs w:val="28"/>
          <w14:textFill>
            <w14:solidFill>
              <w14:schemeClr w14:val="tx1"/>
            </w14:solidFill>
          </w14:textFill>
        </w:rPr>
        <w:t>《兰州新区绿色产业领域界定范畴》内经营活动取得收入情况。</w:t>
      </w:r>
    </w:p>
    <w:p>
      <w:pPr>
        <w:spacing w:line="60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2.</w:t>
      </w:r>
      <w:r>
        <w:rPr>
          <w:rFonts w:ascii="Times New Roman" w:hAnsi="Times New Roman" w:eastAsia="仿宋" w:cs="Times New Roman"/>
          <w:color w:val="000000" w:themeColor="text1"/>
          <w:sz w:val="28"/>
          <w:szCs w:val="28"/>
          <w14:textFill>
            <w14:solidFill>
              <w14:schemeClr w14:val="tx1"/>
            </w14:solidFill>
          </w14:textFill>
        </w:rPr>
        <w:t>产品单位能耗包括：单位产值综合能耗、（某种产品或服务）单位产量综合能耗。计算方法如下：</w:t>
      </w:r>
    </w:p>
    <w:p>
      <w:pPr>
        <w:spacing w:line="600" w:lineRule="exact"/>
        <w:ind w:firstLine="56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（1）综合能耗：</w:t>
      </w:r>
      <m:oMath>
        <m:r>
          <m:rPr>
            <m:sty m:val="p"/>
          </m:rPr>
          <w:rPr>
            <w:rFonts w:ascii="Cambria Math" w:hAnsi="Cambria Math" w:eastAsia="仿宋" w:cs="Times New Roman"/>
            <w:color w:val="000000" w:themeColor="text1"/>
            <w:sz w:val="28"/>
            <w:szCs w:val="28"/>
            <w14:textFill>
              <w14:solidFill>
                <w14:schemeClr w14:val="tx1"/>
              </w14:solidFill>
            </w14:textFill>
          </w:rPr>
          <m:t>E=∑(ei×pi)</m:t>
        </m:r>
      </m:oMath>
    </w:p>
    <w:p>
      <w:pPr>
        <w:spacing w:line="600" w:lineRule="exact"/>
        <w:ind w:firstLine="56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式中：E——综合能耗；ei——生产和服务活动中消耗的第i种能源实物量；pi——第i种能源的折算系数，按能量的当量值或能源等价值折算；i——能源品种数，从1到n。</w:t>
      </w:r>
    </w:p>
    <w:p>
      <w:pPr>
        <w:spacing w:line="600" w:lineRule="exact"/>
        <w:ind w:firstLine="56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（2）单位产值综合能耗：eg=E/G</w:t>
      </w:r>
    </w:p>
    <w:p>
      <w:pPr>
        <w:spacing w:line="600" w:lineRule="exact"/>
        <w:ind w:firstLine="56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式中：eg——单位产值综合能耗；E——综合能耗；G——统计期内产出的总产值或增加值。</w:t>
      </w:r>
    </w:p>
    <w:p>
      <w:pPr>
        <w:spacing w:line="600" w:lineRule="exact"/>
        <w:ind w:firstLine="56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（3）（某种产品或服务）单位产量综合能耗：ej=Ej/Pj</w:t>
      </w:r>
    </w:p>
    <w:p>
      <w:pPr>
        <w:spacing w:line="600" w:lineRule="exact"/>
        <w:ind w:firstLine="560" w:firstLineChars="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式中：ej——第j种产品单位产量综合能耗；Ej——第j种产品的综合能耗；Pj——第j种产品合格产品的产量。对同时生产多种产品的情况，应按每种产品实际耗能量计算；在无法分别对每种产品进行计算时，折算成标准产品统一计算，或按产量与能耗量的比例分摊计算。</w:t>
      </w:r>
    </w:p>
    <w:p>
      <w:pPr>
        <w:spacing w:line="560" w:lineRule="exact"/>
        <w:ind w:firstLine="0" w:firstLineChars="0"/>
        <w:jc w:val="left"/>
        <w:outlineLvl w:val="0"/>
        <w:rPr>
          <w:rFonts w:ascii="Times New Roman" w:hAnsi="Times New Roman" w:eastAsia="黑体" w:cs="Times New Roman"/>
          <w:color w:val="000000" w:themeColor="text1"/>
          <w:szCs w:val="32"/>
          <w14:textFill>
            <w14:solidFill>
              <w14:schemeClr w14:val="tx1"/>
            </w14:solidFill>
          </w14:textFill>
        </w:rPr>
      </w:pPr>
      <w:bookmarkStart w:id="31" w:name="_Toc5153"/>
      <w:bookmarkStart w:id="32" w:name="_Toc4001"/>
      <w:bookmarkStart w:id="33" w:name="_Toc20403"/>
    </w:p>
    <w:p>
      <w:pPr>
        <w:spacing w:line="560" w:lineRule="exact"/>
        <w:ind w:firstLine="0" w:firstLineChars="0"/>
        <w:jc w:val="left"/>
        <w:outlineLvl w:val="0"/>
        <w:rPr>
          <w:rFonts w:hint="eastAsia" w:ascii="黑体" w:hAnsi="黑体" w:eastAsia="黑体" w:cs="黑体"/>
          <w:color w:val="000000" w:themeColor="text1"/>
          <w:szCs w:val="32"/>
          <w:lang w:val="en-US" w:eastAsia="zh-CN"/>
          <w14:textFill>
            <w14:solidFill>
              <w14:schemeClr w14:val="tx1"/>
            </w14:solidFill>
          </w14:textFill>
        </w:rPr>
      </w:pPr>
      <w:r>
        <w:rPr>
          <w:rFonts w:hint="eastAsia" w:ascii="黑体" w:hAnsi="黑体" w:eastAsia="黑体" w:cs="黑体"/>
          <w:color w:val="000000" w:themeColor="text1"/>
          <w:szCs w:val="32"/>
          <w14:textFill>
            <w14:solidFill>
              <w14:schemeClr w14:val="tx1"/>
            </w14:solidFill>
          </w14:textFill>
        </w:rPr>
        <w:t>附件</w:t>
      </w:r>
      <w:r>
        <w:rPr>
          <w:rFonts w:hint="eastAsia" w:ascii="黑体" w:hAnsi="黑体" w:eastAsia="黑体" w:cs="黑体"/>
          <w:color w:val="000000" w:themeColor="text1"/>
          <w:szCs w:val="32"/>
          <w:lang w:val="en-US" w:eastAsia="zh-CN"/>
          <w14:textFill>
            <w14:solidFill>
              <w14:schemeClr w14:val="tx1"/>
            </w14:solidFill>
          </w14:textFill>
        </w:rPr>
        <w:t>4-2</w:t>
      </w:r>
    </w:p>
    <w:p>
      <w:pPr>
        <w:widowControl/>
        <w:spacing w:before="217" w:beforeLines="50" w:after="217" w:afterLines="50" w:line="640" w:lineRule="exact"/>
        <w:ind w:firstLine="0" w:firstLineChars="0"/>
        <w:jc w:val="center"/>
        <w:outlineLvl w:val="0"/>
        <w:rPr>
          <w:rFonts w:hint="eastAsia" w:ascii="方正小标宋简体" w:hAnsi="方正小标宋简体" w:eastAsia="方正小标宋简体" w:cs="方正小标宋简体"/>
          <w:b/>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兰州新区绿色企业认证申请表  （B类企业）</w:t>
      </w:r>
      <w:bookmarkEnd w:id="31"/>
      <w:bookmarkEnd w:id="32"/>
      <w:bookmarkEnd w:id="33"/>
    </w:p>
    <w:p>
      <w:pPr>
        <w:spacing w:line="560" w:lineRule="exact"/>
        <w:ind w:firstLine="10640" w:firstLineChars="3800"/>
        <w:rPr>
          <w:rFonts w:ascii="Times New Roman" w:hAnsi="Times New Roman" w:cs="Times New Roman"/>
          <w:sz w:val="28"/>
          <w:szCs w:val="28"/>
        </w:rPr>
      </w:pPr>
      <w:r>
        <w:rPr>
          <w:rFonts w:ascii="Times New Roman" w:hAnsi="Times New Roman" w:cs="Times New Roman"/>
          <w:sz w:val="28"/>
          <w:szCs w:val="28"/>
        </w:rPr>
        <w:t>盖章：</w:t>
      </w:r>
    </w:p>
    <w:tbl>
      <w:tblPr>
        <w:tblStyle w:val="11"/>
        <w:tblW w:w="4971" w:type="pct"/>
        <w:tblInd w:w="1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5"/>
        <w:gridCol w:w="5190"/>
        <w:gridCol w:w="67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Align w:val="center"/>
          </w:tcPr>
          <w:p>
            <w:pPr>
              <w:spacing w:line="240" w:lineRule="auto"/>
              <w:ind w:firstLine="0" w:firstLineChars="0"/>
              <w:jc w:val="center"/>
              <w:rPr>
                <w:rFonts w:ascii="Times New Roman" w:hAnsi="Times New Roman" w:eastAsia="仿宋" w:cs="Times New Roman"/>
                <w:b/>
                <w:color w:val="000000" w:themeColor="text1"/>
                <w:sz w:val="30"/>
                <w:szCs w:val="30"/>
                <w14:textFill>
                  <w14:solidFill>
                    <w14:schemeClr w14:val="tx1"/>
                  </w14:solidFill>
                </w14:textFill>
              </w:rPr>
            </w:pPr>
            <w:r>
              <w:rPr>
                <w:rFonts w:ascii="Times New Roman" w:hAnsi="Times New Roman" w:eastAsia="仿宋" w:cs="Times New Roman"/>
                <w:b/>
                <w:color w:val="000000" w:themeColor="text1"/>
                <w:sz w:val="30"/>
                <w:szCs w:val="30"/>
                <w14:textFill>
                  <w14:solidFill>
                    <w14:schemeClr w14:val="tx1"/>
                  </w14:solidFill>
                </w14:textFill>
              </w:rPr>
              <w:t>类别</w:t>
            </w:r>
          </w:p>
        </w:tc>
        <w:tc>
          <w:tcPr>
            <w:tcW w:w="1841" w:type="pct"/>
            <w:vAlign w:val="center"/>
          </w:tcPr>
          <w:p>
            <w:pPr>
              <w:spacing w:line="240" w:lineRule="auto"/>
              <w:ind w:firstLine="0" w:firstLineChars="0"/>
              <w:jc w:val="center"/>
              <w:rPr>
                <w:rFonts w:ascii="Times New Roman" w:hAnsi="Times New Roman" w:eastAsia="仿宋" w:cs="Times New Roman"/>
                <w:b/>
                <w:color w:val="000000" w:themeColor="text1"/>
                <w:sz w:val="30"/>
                <w:szCs w:val="30"/>
                <w14:textFill>
                  <w14:solidFill>
                    <w14:schemeClr w14:val="tx1"/>
                  </w14:solidFill>
                </w14:textFill>
              </w:rPr>
            </w:pPr>
            <w:r>
              <w:rPr>
                <w:rFonts w:ascii="Times New Roman" w:hAnsi="Times New Roman" w:eastAsia="仿宋" w:cs="Times New Roman"/>
                <w:b/>
                <w:color w:val="000000" w:themeColor="text1"/>
                <w:sz w:val="30"/>
                <w:szCs w:val="30"/>
                <w14:textFill>
                  <w14:solidFill>
                    <w14:schemeClr w14:val="tx1"/>
                  </w14:solidFill>
                </w14:textFill>
              </w:rPr>
              <w:t>项目</w:t>
            </w:r>
          </w:p>
        </w:tc>
        <w:tc>
          <w:tcPr>
            <w:tcW w:w="2397" w:type="pct"/>
            <w:vAlign w:val="center"/>
          </w:tcPr>
          <w:p>
            <w:pPr>
              <w:spacing w:line="240" w:lineRule="auto"/>
              <w:ind w:firstLine="0" w:firstLineChars="0"/>
              <w:jc w:val="center"/>
              <w:rPr>
                <w:rFonts w:ascii="Times New Roman" w:hAnsi="Times New Roman" w:eastAsia="仿宋" w:cs="Times New Roman"/>
                <w:b/>
                <w:color w:val="000000" w:themeColor="text1"/>
                <w:sz w:val="30"/>
                <w:szCs w:val="30"/>
                <w14:textFill>
                  <w14:solidFill>
                    <w14:schemeClr w14:val="tx1"/>
                  </w14:solidFill>
                </w14:textFill>
              </w:rPr>
            </w:pPr>
            <w:r>
              <w:rPr>
                <w:rFonts w:ascii="Times New Roman" w:hAnsi="Times New Roman" w:eastAsia="仿宋" w:cs="Times New Roman"/>
                <w:b/>
                <w:color w:val="000000" w:themeColor="text1"/>
                <w:sz w:val="30"/>
                <w:szCs w:val="30"/>
                <w14:textFill>
                  <w14:solidFill>
                    <w14:schemeClr w14:val="tx1"/>
                  </w14:solidFill>
                </w14:textFill>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1" w:type="pct"/>
            <w:vMerge w:val="restar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企业基本信息</w:t>
            </w: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企业名称</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统一社会信用代码</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企业注册地址</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实际经营地址</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企业网址</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企业法人</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企业联系人</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联系电话</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是否属于重点排污单位</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否（  ）国控（  ）省控（  ）市控（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restar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经营管理信息</w:t>
            </w: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企业主营业务</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总收入（万元）</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绿色产业领域收入</w:t>
            </w:r>
            <w:r>
              <w:rPr>
                <w:rFonts w:ascii="Times New Roman" w:hAnsi="Times New Roman" w:eastAsia="仿宋" w:cs="Times New Roman"/>
                <w:color w:val="000000" w:themeColor="text1"/>
                <w:sz w:val="30"/>
                <w:szCs w:val="30"/>
                <w:vertAlign w:val="superscript"/>
                <w14:textFill>
                  <w14:solidFill>
                    <w14:schemeClr w14:val="tx1"/>
                  </w14:solidFill>
                </w14:textFill>
              </w:rPr>
              <w:t>1</w:t>
            </w:r>
            <w:r>
              <w:rPr>
                <w:rFonts w:ascii="Times New Roman" w:hAnsi="Times New Roman" w:eastAsia="仿宋" w:cs="Times New Roman"/>
                <w:color w:val="000000" w:themeColor="text1"/>
                <w:sz w:val="30"/>
                <w:szCs w:val="30"/>
                <w14:textFill>
                  <w14:solidFill>
                    <w14:schemeClr w14:val="tx1"/>
                  </w14:solidFill>
                </w14:textFill>
              </w:rPr>
              <w:t>（万元）</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可再生能源使用占比（%）</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是否测算或披露了碳排放量碳减排量或节能量</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质量、能源、职业健康安全、碳中和</w:t>
            </w:r>
          </w:p>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第三方认证情况</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是否采取绿色低碳办公措施</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是否参与或开展绿色低碳活动</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761" w:type="pct"/>
            <w:vMerge w:val="continue"/>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c>
          <w:tcPr>
            <w:tcW w:w="1841"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r>
              <w:rPr>
                <w:rFonts w:ascii="Times New Roman" w:hAnsi="Times New Roman" w:eastAsia="仿宋" w:cs="Times New Roman"/>
                <w:color w:val="000000" w:themeColor="text1"/>
                <w:sz w:val="30"/>
                <w:szCs w:val="30"/>
                <w14:textFill>
                  <w14:solidFill>
                    <w14:schemeClr w14:val="tx1"/>
                  </w14:solidFill>
                </w14:textFill>
              </w:rPr>
              <w:t>是否定期披露环境、社会责任等相关信息、报告</w:t>
            </w:r>
          </w:p>
        </w:tc>
        <w:tc>
          <w:tcPr>
            <w:tcW w:w="2397" w:type="pct"/>
            <w:vAlign w:val="center"/>
          </w:tcPr>
          <w:p>
            <w:pPr>
              <w:spacing w:line="240" w:lineRule="auto"/>
              <w:ind w:firstLine="0" w:firstLineChars="0"/>
              <w:jc w:val="center"/>
              <w:rPr>
                <w:rFonts w:ascii="Times New Roman" w:hAnsi="Times New Roman" w:eastAsia="仿宋" w:cs="Times New Roman"/>
                <w:color w:val="000000" w:themeColor="text1"/>
                <w:sz w:val="30"/>
                <w:szCs w:val="30"/>
                <w14:textFill>
                  <w14:solidFill>
                    <w14:schemeClr w14:val="tx1"/>
                  </w14:solidFill>
                </w14:textFill>
              </w:rPr>
            </w:pPr>
          </w:p>
        </w:tc>
      </w:tr>
    </w:tbl>
    <w:p>
      <w:pPr>
        <w:spacing w:line="600" w:lineRule="exact"/>
        <w:ind w:firstLine="560" w:firstLineChars="200"/>
        <w:rPr>
          <w:rFonts w:ascii="Times New Roman" w:hAnsi="Times New Roman" w:eastAsia="仿宋" w:cs="Times New Roman"/>
          <w:color w:val="000000" w:themeColor="text1"/>
          <w:sz w:val="28"/>
          <w:szCs w:val="28"/>
          <w14:textFill>
            <w14:solidFill>
              <w14:schemeClr w14:val="tx1"/>
            </w14:solidFill>
          </w14:textFill>
        </w:rPr>
      </w:pPr>
      <w:r>
        <w:rPr>
          <w:rFonts w:ascii="Times New Roman" w:hAnsi="Times New Roman" w:eastAsia="仿宋" w:cs="Times New Roman"/>
          <w:color w:val="000000" w:themeColor="text1"/>
          <w:sz w:val="28"/>
          <w:szCs w:val="28"/>
          <w14:textFill>
            <w14:solidFill>
              <w14:schemeClr w14:val="tx1"/>
            </w14:solidFill>
          </w14:textFill>
        </w:rPr>
        <w:t>填表说明：</w:t>
      </w:r>
    </w:p>
    <w:p>
      <w:pPr>
        <w:widowControl/>
        <w:numPr>
          <w:ilvl w:val="255"/>
          <w:numId w:val="0"/>
        </w:numPr>
        <w:spacing w:line="600" w:lineRule="exact"/>
        <w:ind w:firstLine="560" w:firstLineChars="200"/>
        <w:jc w:val="left"/>
        <w:rPr>
          <w:rFonts w:ascii="Times New Roman" w:hAnsi="Times New Roman" w:eastAsia="仿宋" w:cs="Times New Roman"/>
          <w:color w:val="000000" w:themeColor="text1"/>
          <w:sz w:val="28"/>
          <w:szCs w:val="28"/>
          <w14:textFill>
            <w14:solidFill>
              <w14:schemeClr w14:val="tx1"/>
            </w14:solidFill>
          </w14:textFill>
        </w:rPr>
        <w:sectPr>
          <w:pgSz w:w="16838" w:h="11906" w:orient="landscape"/>
          <w:pgMar w:top="1800" w:right="1440" w:bottom="1800" w:left="1440" w:header="851" w:footer="992" w:gutter="0"/>
          <w:pgNumType w:fmt="numberInDash"/>
          <w:cols w:space="425" w:num="1"/>
          <w:docGrid w:type="lines" w:linePitch="435" w:charSpace="0"/>
        </w:sectPr>
      </w:pPr>
      <w:bookmarkStart w:id="34" w:name="_Toc15615"/>
      <w:r>
        <w:rPr>
          <w:rFonts w:ascii="Times New Roman" w:hAnsi="Times New Roman" w:eastAsia="仿宋" w:cs="Times New Roman"/>
          <w:color w:val="000000" w:themeColor="text1"/>
          <w:sz w:val="28"/>
          <w:szCs w:val="28"/>
          <w14:textFill>
            <w14:solidFill>
              <w14:schemeClr w14:val="tx1"/>
            </w14:solidFill>
          </w14:textFill>
        </w:rPr>
        <w:t>绿色产业领域收入指企业从事本办法附件</w:t>
      </w:r>
      <w:r>
        <w:rPr>
          <w:rFonts w:hint="eastAsia" w:ascii="Times New Roman" w:hAnsi="Times New Roman" w:eastAsia="仿宋" w:cs="Times New Roman"/>
          <w:color w:val="000000" w:themeColor="text1"/>
          <w:sz w:val="28"/>
          <w:szCs w:val="28"/>
          <w:lang w:val="en-US" w:eastAsia="zh-CN"/>
          <w14:textFill>
            <w14:solidFill>
              <w14:schemeClr w14:val="tx1"/>
            </w14:solidFill>
          </w14:textFill>
        </w:rPr>
        <w:t>1</w:t>
      </w:r>
      <w:r>
        <w:rPr>
          <w:rFonts w:ascii="Times New Roman" w:hAnsi="Times New Roman" w:eastAsia="仿宋" w:cs="Times New Roman"/>
          <w:color w:val="000000" w:themeColor="text1"/>
          <w:sz w:val="28"/>
          <w:szCs w:val="28"/>
          <w14:textFill>
            <w14:solidFill>
              <w14:schemeClr w14:val="tx1"/>
            </w14:solidFill>
          </w14:textFill>
        </w:rPr>
        <w:t>《兰州新区绿色产业领域界定范畴》内经营活动取得收入情况。</w:t>
      </w:r>
      <w:bookmarkEnd w:id="34"/>
    </w:p>
    <w:p>
      <w:pPr>
        <w:spacing w:line="560" w:lineRule="exact"/>
        <w:ind w:firstLine="0" w:firstLineChars="0"/>
        <w:jc w:val="left"/>
        <w:outlineLvl w:val="0"/>
        <w:rPr>
          <w:rFonts w:hint="eastAsia" w:ascii="黑体" w:hAnsi="黑体" w:eastAsia="黑体" w:cs="黑体"/>
          <w:color w:val="000000" w:themeColor="text1"/>
          <w:szCs w:val="32"/>
          <w:lang w:val="en-US" w:eastAsia="zh-CN"/>
          <w14:textFill>
            <w14:solidFill>
              <w14:schemeClr w14:val="tx1"/>
            </w14:solidFill>
          </w14:textFill>
        </w:rPr>
      </w:pPr>
      <w:bookmarkStart w:id="35" w:name="_Toc16484"/>
      <w:bookmarkStart w:id="36" w:name="_Toc28613"/>
      <w:bookmarkStart w:id="37" w:name="_Toc18579"/>
      <w:bookmarkStart w:id="38" w:name="_Toc61533941"/>
      <w:r>
        <w:rPr>
          <w:rFonts w:hint="eastAsia" w:ascii="黑体" w:hAnsi="黑体" w:eastAsia="黑体" w:cs="黑体"/>
          <w:color w:val="000000" w:themeColor="text1"/>
          <w:szCs w:val="32"/>
          <w14:textFill>
            <w14:solidFill>
              <w14:schemeClr w14:val="tx1"/>
            </w14:solidFill>
          </w14:textFill>
        </w:rPr>
        <w:t>附件</w:t>
      </w:r>
      <w:bookmarkEnd w:id="35"/>
      <w:bookmarkEnd w:id="36"/>
      <w:bookmarkEnd w:id="37"/>
      <w:r>
        <w:rPr>
          <w:rFonts w:hint="eastAsia" w:ascii="黑体" w:hAnsi="黑体" w:eastAsia="黑体" w:cs="黑体"/>
          <w:color w:val="000000" w:themeColor="text1"/>
          <w:szCs w:val="32"/>
          <w:lang w:val="en-US" w:eastAsia="zh-CN"/>
          <w14:textFill>
            <w14:solidFill>
              <w14:schemeClr w14:val="tx1"/>
            </w14:solidFill>
          </w14:textFill>
        </w:rPr>
        <w:t>5-1</w:t>
      </w:r>
    </w:p>
    <w:p>
      <w:pPr>
        <w:spacing w:before="217" w:beforeLines="50" w:after="217" w:afterLines="50" w:line="640" w:lineRule="exact"/>
        <w:ind w:firstLine="0" w:firstLineChars="0"/>
        <w:jc w:val="center"/>
        <w:outlineLvl w:val="0"/>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bookmarkStart w:id="39" w:name="_Toc21357"/>
      <w:bookmarkStart w:id="40" w:name="_Toc16987"/>
      <w:bookmarkStart w:id="41" w:name="_Toc13512"/>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兰州新区绿色企业申报材料</w:t>
      </w:r>
      <w:bookmarkEnd w:id="38"/>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（A类企业）</w:t>
      </w:r>
      <w:bookmarkEnd w:id="39"/>
      <w:bookmarkEnd w:id="40"/>
      <w:bookmarkEnd w:id="41"/>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企业申报兰州新区绿色企业需在“绿金通”平台提供以下材料电子版，所有材料需加盖公章。申报材料包括：</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一、兰州新区绿色企业认证申请表</w:t>
      </w:r>
      <w:bookmarkStart w:id="42" w:name="OLE_LINK13"/>
      <w:r>
        <w:rPr>
          <w:rFonts w:ascii="Times New Roman" w:hAnsi="Times New Roman" w:eastAsia="仿宋" w:cs="Times New Roman"/>
          <w:color w:val="000000" w:themeColor="text1"/>
          <w14:textFill>
            <w14:solidFill>
              <w14:schemeClr w14:val="tx1"/>
            </w14:solidFill>
          </w14:textFill>
        </w:rPr>
        <w:t>（A类企业）</w:t>
      </w:r>
      <w:bookmarkEnd w:id="42"/>
      <w:r>
        <w:rPr>
          <w:rFonts w:ascii="Times New Roman" w:hAnsi="Times New Roman" w:eastAsia="仿宋" w:cs="Times New Roman"/>
          <w:color w:val="000000" w:themeColor="text1"/>
          <w14:textFill>
            <w14:solidFill>
              <w14:schemeClr w14:val="tx1"/>
            </w14:solidFill>
          </w14:textFill>
        </w:rPr>
        <w:t>（附件</w:t>
      </w:r>
      <w:r>
        <w:rPr>
          <w:rFonts w:hint="eastAsia" w:ascii="Times New Roman" w:hAnsi="Times New Roman" w:eastAsia="仿宋" w:cs="Times New Roman"/>
          <w:color w:val="000000" w:themeColor="text1"/>
          <w:lang w:val="en-US" w:eastAsia="zh-CN"/>
          <w14:textFill>
            <w14:solidFill>
              <w14:schemeClr w14:val="tx1"/>
            </w14:solidFill>
          </w14:textFill>
        </w:rPr>
        <w:t>4-1</w:t>
      </w:r>
      <w:r>
        <w:rPr>
          <w:rFonts w:ascii="Times New Roman" w:hAnsi="Times New Roman" w:eastAsia="仿宋" w:cs="Times New Roman"/>
          <w:color w:val="000000" w:themeColor="text1"/>
          <w14:textFill>
            <w14:solidFill>
              <w14:schemeClr w14:val="tx1"/>
            </w14:solidFill>
          </w14:textFill>
        </w:rPr>
        <w:t>）。</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二、企业征信报告。</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三、企业主营业务说明。</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bookmarkStart w:id="43" w:name="_Hlk60839838"/>
      <w:r>
        <w:rPr>
          <w:rFonts w:ascii="Times New Roman" w:hAnsi="Times New Roman" w:eastAsia="仿宋" w:cs="Times New Roman"/>
          <w:color w:val="000000" w:themeColor="text1"/>
          <w:szCs w:val="32"/>
          <w14:textFill>
            <w14:solidFill>
              <w14:schemeClr w14:val="tx1"/>
            </w14:solidFill>
          </w14:textFill>
        </w:rPr>
        <w:t>四、企业业务板块介绍、业务收入及成本占比、最近一年合并财务报表。</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五、企业环境管理制度，或第三方出具的环境管理体系认证证书。</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六、企业被评为绿色工厂、绿色</w:t>
      </w:r>
      <w:r>
        <w:rPr>
          <w:rFonts w:ascii="Times New Roman" w:hAnsi="Times New Roman" w:eastAsia="仿宋" w:cs="Times New Roman"/>
          <w:color w:val="000000" w:themeColor="text1"/>
          <w:szCs w:val="32"/>
          <w14:textFill>
            <w14:solidFill>
              <w14:schemeClr w14:val="tx1"/>
            </w14:solidFill>
          </w14:textFill>
        </w:rPr>
        <w:t>供应链管理示范企业证明材料；企业开展</w:t>
      </w:r>
      <w:r>
        <w:rPr>
          <w:rFonts w:ascii="Times New Roman" w:hAnsi="Times New Roman" w:eastAsia="仿宋" w:cs="Times New Roman"/>
          <w:color w:val="000000" w:themeColor="text1"/>
          <w14:textFill>
            <w14:solidFill>
              <w14:schemeClr w14:val="tx1"/>
            </w14:solidFill>
          </w14:textFill>
        </w:rPr>
        <w:t>甘肃省环境保护标准化建设暨环境信用评价、兰州新区诚信建设“红黑榜”评定等评价结果证明材料。</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七、企业环境风险管理制度。</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八、（非）重点排污单位证明（兰州新区门户网站发布的重点排污单位名录）、环境信息披露报告、环境信息披露渠道说明。</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九、企业主要污染物排放检测报告。</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十、一般固体废弃物、有害废弃物及危险废弃物规范处置证明材料。</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十一、企业产品单位综合能耗证明材料，或第三方机构出具的节能监测报告。</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十二、企业开展中水回用、非常规资源利用、废弃物综合利用、余热余压利用等资源循环利用证明材料。</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十三、企业清洁能源利用量、利用率等情况证明材料或相关批复文件等。</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十四、企业获得碳中和认证或落实节能降碳相关措施及管理办法、测算碳减排量或节能量或碳排放量等情况证明材料或相关批复文件等。</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bookmarkStart w:id="44" w:name="OLE_LINK2"/>
      <w:r>
        <w:rPr>
          <w:rFonts w:ascii="Times New Roman" w:hAnsi="Times New Roman" w:eastAsia="仿宋" w:cs="Times New Roman"/>
          <w:color w:val="000000" w:themeColor="text1"/>
          <w14:textFill>
            <w14:solidFill>
              <w14:schemeClr w14:val="tx1"/>
            </w14:solidFill>
          </w14:textFill>
        </w:rPr>
        <w:t>十五、</w:t>
      </w:r>
      <w:bookmarkEnd w:id="44"/>
      <w:r>
        <w:rPr>
          <w:rFonts w:ascii="Times New Roman" w:hAnsi="Times New Roman" w:eastAsia="仿宋" w:cs="Times New Roman"/>
          <w:color w:val="000000" w:themeColor="text1"/>
          <w14:textFill>
            <w14:solidFill>
              <w14:schemeClr w14:val="tx1"/>
            </w14:solidFill>
          </w14:textFill>
        </w:rPr>
        <w:t>企业原材料使用品种介绍，原料中废弃物比例说明及产业链上游原料绿色供应制度文件。</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十六、企业产品相关认证标识证明。</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十七、企业编制的质量、能源管理制度，或第三方出具的能源管理体系认证证书。</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十八、企业绿色保险保单。</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十九、企业绿色领域投资证明。</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二十、企业绿色低碳产品专利证书或技术先进性说明，或一般性产品、技术发明专利证书。</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二十一、企业使用节能、环保装备或采用较高能效装备/设备说明。</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二十二、企业编制的职业健康安全管理等方面规章制度，及职业健康安全管理体系认证证书。</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二十三、企业低碳办公相关制度及措施证明材料。</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二十四、企业开展或参与绿色低碳活动证明材料。</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二十五、企业定期开展社会责任履行情况评价并发布《企业社会责任报告》。</w:t>
      </w:r>
    </w:p>
    <w:p>
      <w:pPr>
        <w:numPr>
          <w:ilvl w:val="255"/>
          <w:numId w:val="0"/>
        </w:numPr>
        <w:tabs>
          <w:tab w:val="left" w:pos="0"/>
        </w:tabs>
        <w:spacing w:line="55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二十六、</w:t>
      </w:r>
      <w:r>
        <w:rPr>
          <w:rFonts w:ascii="Times New Roman" w:hAnsi="Times New Roman" w:eastAsia="仿宋" w:cs="Times New Roman"/>
          <w:color w:val="000000" w:themeColor="text1"/>
          <w14:textFill>
            <w14:solidFill>
              <w14:schemeClr w14:val="tx1"/>
            </w14:solidFill>
          </w14:textFill>
        </w:rPr>
        <w:t>企业在生态环境保护、绿色低碳等方面获得公众认可度的证明材料。</w:t>
      </w:r>
    </w:p>
    <w:p>
      <w:pPr>
        <w:spacing w:line="55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二十七、企业在绿色经营、环境污染防治、节能降碳、生产与管理以及社会责任等方面表现突出相关证明材料。</w:t>
      </w:r>
      <w:bookmarkEnd w:id="43"/>
    </w:p>
    <w:p>
      <w:pPr>
        <w:spacing w:line="240" w:lineRule="auto"/>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br w:type="page"/>
      </w:r>
    </w:p>
    <w:p>
      <w:pPr>
        <w:spacing w:line="560" w:lineRule="exact"/>
        <w:ind w:firstLine="0" w:firstLineChars="0"/>
        <w:jc w:val="left"/>
        <w:outlineLvl w:val="0"/>
        <w:rPr>
          <w:rFonts w:hint="eastAsia" w:ascii="黑体" w:hAnsi="黑体" w:eastAsia="黑体" w:cs="黑体"/>
          <w:color w:val="000000" w:themeColor="text1"/>
          <w14:textFill>
            <w14:solidFill>
              <w14:schemeClr w14:val="tx1"/>
            </w14:solidFill>
          </w14:textFill>
        </w:rPr>
      </w:pPr>
      <w:r>
        <w:rPr>
          <w:rFonts w:hint="eastAsia" w:ascii="黑体" w:hAnsi="黑体" w:eastAsia="黑体" w:cs="黑体"/>
          <w:color w:val="000000" w:themeColor="text1"/>
          <w:szCs w:val="32"/>
          <w14:textFill>
            <w14:solidFill>
              <w14:schemeClr w14:val="tx1"/>
            </w14:solidFill>
          </w14:textFill>
        </w:rPr>
        <w:t>附件</w:t>
      </w:r>
      <w:r>
        <w:rPr>
          <w:rFonts w:hint="eastAsia" w:ascii="黑体" w:hAnsi="黑体" w:eastAsia="黑体" w:cs="黑体"/>
          <w:color w:val="000000" w:themeColor="text1"/>
          <w:szCs w:val="32"/>
          <w:lang w:val="en-US" w:eastAsia="zh-CN"/>
          <w14:textFill>
            <w14:solidFill>
              <w14:schemeClr w14:val="tx1"/>
            </w14:solidFill>
          </w14:textFill>
        </w:rPr>
        <w:t>5-2</w:t>
      </w:r>
    </w:p>
    <w:p>
      <w:pPr>
        <w:spacing w:before="217" w:beforeLines="50" w:after="217" w:afterLines="50" w:line="640" w:lineRule="exact"/>
        <w:ind w:firstLine="0" w:firstLineChars="0"/>
        <w:jc w:val="center"/>
        <w:outlineLvl w:val="0"/>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bookmarkStart w:id="45" w:name="_Toc20011"/>
      <w:bookmarkStart w:id="46" w:name="_Toc31397"/>
      <w:bookmarkStart w:id="47" w:name="_Toc6856"/>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兰州新区绿色企业申报材料（B类企业）</w:t>
      </w:r>
      <w:bookmarkEnd w:id="45"/>
      <w:bookmarkEnd w:id="46"/>
      <w:bookmarkEnd w:id="47"/>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企业申报兰州新区绿色企业需在“绿金通”平台提供以下材料电子版，所有材料需加盖公章。申报材料包括：</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一、兰州新区绿色企业认证申请表（B类企业）（附件</w:t>
      </w:r>
      <w:r>
        <w:rPr>
          <w:rFonts w:hint="eastAsia" w:ascii="Times New Roman" w:hAnsi="Times New Roman" w:eastAsia="仿宋" w:cs="Times New Roman"/>
          <w:color w:val="000000" w:themeColor="text1"/>
          <w:lang w:val="en-US" w:eastAsia="zh-CN"/>
          <w14:textFill>
            <w14:solidFill>
              <w14:schemeClr w14:val="tx1"/>
            </w14:solidFill>
          </w14:textFill>
        </w:rPr>
        <w:t>4-2</w:t>
      </w:r>
      <w:r>
        <w:rPr>
          <w:rFonts w:ascii="Times New Roman" w:hAnsi="Times New Roman" w:eastAsia="仿宋" w:cs="Times New Roman"/>
          <w:color w:val="000000" w:themeColor="text1"/>
          <w14:textFill>
            <w14:solidFill>
              <w14:schemeClr w14:val="tx1"/>
            </w14:solidFill>
          </w14:textFill>
        </w:rPr>
        <w:t>）。</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二、企业征信报告。</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三、企业主营业务说明。</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四、企业业务板块介绍、业务收入及成本占比、最近一年合并财务报表。</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五、企业环境信息披露报告，环境信息披露渠道说明。</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六、企业获得碳中和认证或落实节能降碳相关措施及管理办法、测算碳减排量或节能量或碳排放量等情况证明材料或相关批复文件等。</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七、企业编制的职业健康安全管理等方面规章制度，及职业健康安全管理体系认证证书。</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八、企业低碳办公相关制度及措施证明材料。</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九、企业开展或参与绿色低碳活动证明材料。</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14:textFill>
            <w14:solidFill>
              <w14:schemeClr w14:val="tx1"/>
            </w14:solidFill>
          </w14:textFill>
        </w:rPr>
        <w:t>十、企业定期开展社会责任履行情况评价并发布《企业社会责任报告》。</w:t>
      </w:r>
    </w:p>
    <w:p>
      <w:pPr>
        <w:numPr>
          <w:ilvl w:val="255"/>
          <w:numId w:val="0"/>
        </w:numPr>
        <w:tabs>
          <w:tab w:val="left" w:pos="0"/>
        </w:tabs>
        <w:spacing w:line="560" w:lineRule="exact"/>
        <w:ind w:firstLine="640" w:firstLineChars="200"/>
        <w:rPr>
          <w:rFonts w:ascii="Times New Roman" w:hAnsi="Times New Roman" w:eastAsia="仿宋" w:cs="Times New Roman"/>
          <w:color w:val="000000" w:themeColor="text1"/>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十一、</w:t>
      </w:r>
      <w:r>
        <w:rPr>
          <w:rFonts w:ascii="Times New Roman" w:hAnsi="Times New Roman" w:eastAsia="仿宋" w:cs="Times New Roman"/>
          <w:color w:val="000000" w:themeColor="text1"/>
          <w14:textFill>
            <w14:solidFill>
              <w14:schemeClr w14:val="tx1"/>
            </w14:solidFill>
          </w14:textFill>
        </w:rPr>
        <w:t>企业在生态环境保护、绿色低碳等方面获得公众认可度的证明材料。</w:t>
      </w:r>
    </w:p>
    <w:p>
      <w:pPr>
        <w:spacing w:line="560" w:lineRule="exact"/>
        <w:ind w:firstLine="640"/>
        <w:rPr>
          <w:rFonts w:ascii="Times New Roman" w:hAnsi="Times New Roman" w:eastAsia="仿宋" w:cs="Times New Roman"/>
          <w:color w:val="000000" w:themeColor="text1"/>
          <w:szCs w:val="32"/>
          <w14:textFill>
            <w14:solidFill>
              <w14:schemeClr w14:val="tx1"/>
            </w14:solidFill>
          </w14:textFill>
        </w:rPr>
      </w:pPr>
      <w:r>
        <w:rPr>
          <w:rFonts w:ascii="Times New Roman" w:hAnsi="Times New Roman" w:eastAsia="仿宋" w:cs="Times New Roman"/>
          <w:color w:val="000000" w:themeColor="text1"/>
          <w:szCs w:val="32"/>
          <w14:textFill>
            <w14:solidFill>
              <w14:schemeClr w14:val="tx1"/>
            </w14:solidFill>
          </w14:textFill>
        </w:rPr>
        <w:t>十二、企业在绿色经营、环境管理与污染防治、生产与管理、社会责任以及应对气候变化等方面表现突出相关证明材料。</w:t>
      </w:r>
    </w:p>
    <w:p>
      <w:pPr>
        <w:spacing w:line="560" w:lineRule="exact"/>
        <w:ind w:firstLine="0" w:firstLineChars="0"/>
        <w:rPr>
          <w:rFonts w:ascii="Times New Roman" w:hAnsi="Times New Roman" w:eastAsia="仿宋" w:cs="Times New Roman"/>
          <w:color w:val="000000" w:themeColor="text1"/>
          <w14:textFill>
            <w14:solidFill>
              <w14:schemeClr w14:val="tx1"/>
            </w14:solidFill>
          </w14:textFill>
        </w:rPr>
      </w:pPr>
    </w:p>
    <w:sectPr>
      <w:headerReference r:id="rId9" w:type="default"/>
      <w:footerReference r:id="rId10" w:type="default"/>
      <w:pgSz w:w="11906" w:h="16838"/>
      <w:pgMar w:top="1080" w:right="1440" w:bottom="1080" w:left="1440" w:header="851" w:footer="992" w:gutter="0"/>
      <w:pgNumType w:fmt="numberInDash"/>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DB45726-9C6F-49AE-BA98-783AC5E2317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Light">
    <w:panose1 w:val="020B0502040204020203"/>
    <w:charset w:val="86"/>
    <w:family w:val="swiss"/>
    <w:pitch w:val="default"/>
    <w:sig w:usb0="80000287" w:usb1="2ACF001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2" w:fontKey="{B344A9F9-8EDD-4B51-A2EE-5C7F2DD05149}"/>
  </w:font>
  <w:font w:name="方正小标宋简体">
    <w:panose1 w:val="02000000000000000000"/>
    <w:charset w:val="86"/>
    <w:family w:val="auto"/>
    <w:pitch w:val="default"/>
    <w:sig w:usb0="A00002BF" w:usb1="184F6CFA" w:usb2="00000012" w:usb3="00000000" w:csb0="00040001" w:csb1="00000000"/>
    <w:embedRegular r:id="rId3" w:fontKey="{3F637779-59E1-43B9-AB4C-0005875B0AFB}"/>
  </w:font>
  <w:font w:name="仿宋">
    <w:panose1 w:val="02010609060101010101"/>
    <w:charset w:val="86"/>
    <w:family w:val="modern"/>
    <w:pitch w:val="default"/>
    <w:sig w:usb0="800002BF" w:usb1="38CF7CFA" w:usb2="00000016" w:usb3="00000000" w:csb0="00040001" w:csb1="00000000"/>
    <w:embedRegular r:id="rId4" w:fontKey="{411BE345-F2F1-4577-8948-53B2FEF299D0}"/>
  </w:font>
  <w:font w:name="楷体">
    <w:panose1 w:val="02010609060101010101"/>
    <w:charset w:val="86"/>
    <w:family w:val="modern"/>
    <w:pitch w:val="default"/>
    <w:sig w:usb0="800002BF" w:usb1="38CF7CFA" w:usb2="00000016" w:usb3="00000000" w:csb0="00040001" w:csb1="00000000"/>
    <w:embedRegular r:id="rId5" w:fontKey="{A4E92DE3-4401-4A2E-B5F3-E4473C398DEA}"/>
  </w:font>
  <w:font w:name="Cambria Math">
    <w:panose1 w:val="02040503050406030204"/>
    <w:charset w:val="00"/>
    <w:family w:val="roman"/>
    <w:pitch w:val="default"/>
    <w:sig w:usb0="E00006FF" w:usb1="420024FF" w:usb2="02000000" w:usb3="00000000" w:csb0="2000019F" w:csb1="00000000"/>
    <w:embedRegular r:id="rId6" w:fontKey="{89C97DE8-3940-43D8-8F42-10E01A2F37B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4200"/>
        <w:tab w:val="left" w:pos="4410"/>
        <w:tab w:val="clear" w:pos="8306"/>
      </w:tabs>
      <w:ind w:firstLine="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4200"/>
        <w:tab w:val="left" w:pos="4410"/>
        <w:tab w:val="clear" w:pos="8306"/>
      </w:tabs>
      <w:ind w:firstLine="36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tabs>
        <w:tab w:val="left" w:pos="4200"/>
        <w:tab w:val="left" w:pos="4410"/>
        <w:tab w:val="clear" w:pos="8306"/>
      </w:tabs>
      <w:ind w:firstLine="36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622A6B"/>
    <w:multiLevelType w:val="multilevel"/>
    <w:tmpl w:val="1B622A6B"/>
    <w:lvl w:ilvl="0" w:tentative="0">
      <w:start w:val="1"/>
      <w:numFmt w:val="chineseCountingThousand"/>
      <w:pStyle w:val="3"/>
      <w:lvlText w:val="第%1条"/>
      <w:lvlJc w:val="left"/>
      <w:pPr>
        <w:ind w:left="1980" w:hanging="420"/>
      </w:pPr>
      <w:rPr>
        <w:rFonts w:hint="eastAsia" w:cs="Times New Roman"/>
        <w:b/>
        <w:i w:val="0"/>
        <w:lang w:val="en-US"/>
      </w:rPr>
    </w:lvl>
    <w:lvl w:ilvl="1" w:tentative="0">
      <w:start w:val="1"/>
      <w:numFmt w:val="japaneseCounting"/>
      <w:lvlText w:val="（%2）"/>
      <w:lvlJc w:val="left"/>
      <w:pPr>
        <w:ind w:left="1700" w:hanging="1080"/>
      </w:pPr>
      <w:rPr>
        <w:rFonts w:hint="default" w:ascii="宋体" w:hAnsi="宋体" w:cs="宋体"/>
        <w:color w:val="000000"/>
      </w:r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abstractNum w:abstractNumId="1">
    <w:nsid w:val="2E50019F"/>
    <w:multiLevelType w:val="multilevel"/>
    <w:tmpl w:val="2E50019F"/>
    <w:lvl w:ilvl="0" w:tentative="0">
      <w:start w:val="1"/>
      <w:numFmt w:val="chineseCountingThousand"/>
      <w:pStyle w:val="2"/>
      <w:lvlText w:val="第%1章"/>
      <w:lvlJc w:val="center"/>
      <w:pPr>
        <w:ind w:left="620" w:hanging="420"/>
      </w:pPr>
      <w:rPr>
        <w:rFonts w:hint="eastAsia"/>
      </w:rPr>
    </w:lvl>
    <w:lvl w:ilvl="1" w:tentative="0">
      <w:start w:val="1"/>
      <w:numFmt w:val="lowerLetter"/>
      <w:lvlText w:val="%2)"/>
      <w:lvlJc w:val="left"/>
      <w:pPr>
        <w:ind w:left="1040" w:hanging="420"/>
      </w:pPr>
    </w:lvl>
    <w:lvl w:ilvl="2" w:tentative="0">
      <w:start w:val="1"/>
      <w:numFmt w:val="lowerRoman"/>
      <w:lvlText w:val="%3."/>
      <w:lvlJc w:val="right"/>
      <w:pPr>
        <w:ind w:left="1460" w:hanging="420"/>
      </w:pPr>
    </w:lvl>
    <w:lvl w:ilvl="3" w:tentative="0">
      <w:start w:val="1"/>
      <w:numFmt w:val="decimal"/>
      <w:lvlText w:val="%4."/>
      <w:lvlJc w:val="left"/>
      <w:pPr>
        <w:ind w:left="1880" w:hanging="420"/>
      </w:pPr>
    </w:lvl>
    <w:lvl w:ilvl="4" w:tentative="0">
      <w:start w:val="1"/>
      <w:numFmt w:val="lowerLetter"/>
      <w:lvlText w:val="%5)"/>
      <w:lvlJc w:val="left"/>
      <w:pPr>
        <w:ind w:left="2300" w:hanging="420"/>
      </w:pPr>
    </w:lvl>
    <w:lvl w:ilvl="5" w:tentative="0">
      <w:start w:val="1"/>
      <w:numFmt w:val="lowerRoman"/>
      <w:lvlText w:val="%6."/>
      <w:lvlJc w:val="right"/>
      <w:pPr>
        <w:ind w:left="2720" w:hanging="420"/>
      </w:pPr>
    </w:lvl>
    <w:lvl w:ilvl="6" w:tentative="0">
      <w:start w:val="1"/>
      <w:numFmt w:val="decimal"/>
      <w:lvlText w:val="%7."/>
      <w:lvlJc w:val="left"/>
      <w:pPr>
        <w:ind w:left="3140" w:hanging="420"/>
      </w:pPr>
    </w:lvl>
    <w:lvl w:ilvl="7" w:tentative="0">
      <w:start w:val="1"/>
      <w:numFmt w:val="lowerLetter"/>
      <w:lvlText w:val="%8)"/>
      <w:lvlJc w:val="left"/>
      <w:pPr>
        <w:ind w:left="3560" w:hanging="420"/>
      </w:pPr>
    </w:lvl>
    <w:lvl w:ilvl="8" w:tentative="0">
      <w:start w:val="1"/>
      <w:numFmt w:val="lowerRoman"/>
      <w:lvlText w:val="%9."/>
      <w:lvlJc w:val="right"/>
      <w:pPr>
        <w:ind w:left="39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60"/>
  <w:drawingGridVerticalSpacing w:val="435"/>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I2ODhmNWFjNWViNDU0NjQ2ZDljZjdiNjRiZTA4YzQifQ=="/>
  </w:docVars>
  <w:rsids>
    <w:rsidRoot w:val="08980A59"/>
    <w:rsid w:val="000004EA"/>
    <w:rsid w:val="00001BB9"/>
    <w:rsid w:val="00002E44"/>
    <w:rsid w:val="0001192F"/>
    <w:rsid w:val="00012517"/>
    <w:rsid w:val="00013A7D"/>
    <w:rsid w:val="000141C7"/>
    <w:rsid w:val="00017EE6"/>
    <w:rsid w:val="00020136"/>
    <w:rsid w:val="0002529C"/>
    <w:rsid w:val="00026235"/>
    <w:rsid w:val="00026E1C"/>
    <w:rsid w:val="0003111E"/>
    <w:rsid w:val="00031B70"/>
    <w:rsid w:val="000337DE"/>
    <w:rsid w:val="00034057"/>
    <w:rsid w:val="00034747"/>
    <w:rsid w:val="000373B9"/>
    <w:rsid w:val="00041A72"/>
    <w:rsid w:val="00041DB5"/>
    <w:rsid w:val="0004353B"/>
    <w:rsid w:val="00044AA8"/>
    <w:rsid w:val="00047CCF"/>
    <w:rsid w:val="00050021"/>
    <w:rsid w:val="00053556"/>
    <w:rsid w:val="000601B9"/>
    <w:rsid w:val="000627BF"/>
    <w:rsid w:val="00064A58"/>
    <w:rsid w:val="000658F7"/>
    <w:rsid w:val="0007308A"/>
    <w:rsid w:val="000756F4"/>
    <w:rsid w:val="00077BCF"/>
    <w:rsid w:val="00092910"/>
    <w:rsid w:val="0009413B"/>
    <w:rsid w:val="0009524C"/>
    <w:rsid w:val="00095794"/>
    <w:rsid w:val="000A2B8E"/>
    <w:rsid w:val="000A4625"/>
    <w:rsid w:val="000A781D"/>
    <w:rsid w:val="000B5514"/>
    <w:rsid w:val="000B5F23"/>
    <w:rsid w:val="000C4720"/>
    <w:rsid w:val="000C4780"/>
    <w:rsid w:val="000C50C3"/>
    <w:rsid w:val="000D62BD"/>
    <w:rsid w:val="000E0F07"/>
    <w:rsid w:val="000E1A19"/>
    <w:rsid w:val="000E1BA0"/>
    <w:rsid w:val="000E283A"/>
    <w:rsid w:val="000E6A9B"/>
    <w:rsid w:val="00101B61"/>
    <w:rsid w:val="00103650"/>
    <w:rsid w:val="00104670"/>
    <w:rsid w:val="00107D5A"/>
    <w:rsid w:val="00107F50"/>
    <w:rsid w:val="001102DA"/>
    <w:rsid w:val="00110AD4"/>
    <w:rsid w:val="001126C7"/>
    <w:rsid w:val="00113797"/>
    <w:rsid w:val="00116CA8"/>
    <w:rsid w:val="0011758C"/>
    <w:rsid w:val="00117D4F"/>
    <w:rsid w:val="00125246"/>
    <w:rsid w:val="001337FD"/>
    <w:rsid w:val="00136EB1"/>
    <w:rsid w:val="00144B19"/>
    <w:rsid w:val="00150D5C"/>
    <w:rsid w:val="001519AD"/>
    <w:rsid w:val="00151B48"/>
    <w:rsid w:val="00151E25"/>
    <w:rsid w:val="00154ED1"/>
    <w:rsid w:val="00156B68"/>
    <w:rsid w:val="00157590"/>
    <w:rsid w:val="0015780F"/>
    <w:rsid w:val="0016036D"/>
    <w:rsid w:val="00165030"/>
    <w:rsid w:val="00165E80"/>
    <w:rsid w:val="00167638"/>
    <w:rsid w:val="0017178C"/>
    <w:rsid w:val="00173569"/>
    <w:rsid w:val="00173945"/>
    <w:rsid w:val="00173EF0"/>
    <w:rsid w:val="001747E8"/>
    <w:rsid w:val="00176812"/>
    <w:rsid w:val="0018065E"/>
    <w:rsid w:val="00185E00"/>
    <w:rsid w:val="00185F39"/>
    <w:rsid w:val="0019179E"/>
    <w:rsid w:val="0019566F"/>
    <w:rsid w:val="001A0024"/>
    <w:rsid w:val="001A2E09"/>
    <w:rsid w:val="001A530C"/>
    <w:rsid w:val="001A6141"/>
    <w:rsid w:val="001A7EEA"/>
    <w:rsid w:val="001B7B81"/>
    <w:rsid w:val="001C4A07"/>
    <w:rsid w:val="001C57A5"/>
    <w:rsid w:val="001D010C"/>
    <w:rsid w:val="001D7CAD"/>
    <w:rsid w:val="001E173B"/>
    <w:rsid w:val="001E178A"/>
    <w:rsid w:val="001E5139"/>
    <w:rsid w:val="001F0E3D"/>
    <w:rsid w:val="001F1FBB"/>
    <w:rsid w:val="00205656"/>
    <w:rsid w:val="00210C24"/>
    <w:rsid w:val="00214D48"/>
    <w:rsid w:val="00221AA3"/>
    <w:rsid w:val="00232B8B"/>
    <w:rsid w:val="00236212"/>
    <w:rsid w:val="00237EDA"/>
    <w:rsid w:val="0024501F"/>
    <w:rsid w:val="00245A65"/>
    <w:rsid w:val="00246A3C"/>
    <w:rsid w:val="002506FE"/>
    <w:rsid w:val="00252554"/>
    <w:rsid w:val="00254064"/>
    <w:rsid w:val="002548C5"/>
    <w:rsid w:val="00255D75"/>
    <w:rsid w:val="0026148D"/>
    <w:rsid w:val="00262D51"/>
    <w:rsid w:val="00271381"/>
    <w:rsid w:val="0027253B"/>
    <w:rsid w:val="002734FB"/>
    <w:rsid w:val="0027646E"/>
    <w:rsid w:val="00282190"/>
    <w:rsid w:val="0029042A"/>
    <w:rsid w:val="00292C45"/>
    <w:rsid w:val="00295DFB"/>
    <w:rsid w:val="002A1E59"/>
    <w:rsid w:val="002A20B4"/>
    <w:rsid w:val="002A36F6"/>
    <w:rsid w:val="002A67F3"/>
    <w:rsid w:val="002A72AE"/>
    <w:rsid w:val="002C115D"/>
    <w:rsid w:val="002C3A04"/>
    <w:rsid w:val="002D2A4E"/>
    <w:rsid w:val="002D3A36"/>
    <w:rsid w:val="002D4EF5"/>
    <w:rsid w:val="002E4090"/>
    <w:rsid w:val="002E500F"/>
    <w:rsid w:val="002E5CC2"/>
    <w:rsid w:val="002F4D98"/>
    <w:rsid w:val="002F6AE4"/>
    <w:rsid w:val="002F7FA3"/>
    <w:rsid w:val="00303C0A"/>
    <w:rsid w:val="003050F5"/>
    <w:rsid w:val="003155B1"/>
    <w:rsid w:val="00315BBA"/>
    <w:rsid w:val="00320BF2"/>
    <w:rsid w:val="003210DE"/>
    <w:rsid w:val="00322AA9"/>
    <w:rsid w:val="00331322"/>
    <w:rsid w:val="00331AF2"/>
    <w:rsid w:val="0033519C"/>
    <w:rsid w:val="00345815"/>
    <w:rsid w:val="003504FF"/>
    <w:rsid w:val="00351C3E"/>
    <w:rsid w:val="00352DE5"/>
    <w:rsid w:val="00365B03"/>
    <w:rsid w:val="003668C5"/>
    <w:rsid w:val="00367C68"/>
    <w:rsid w:val="00370590"/>
    <w:rsid w:val="00383E47"/>
    <w:rsid w:val="00384C62"/>
    <w:rsid w:val="00387B88"/>
    <w:rsid w:val="00395DE9"/>
    <w:rsid w:val="003A2624"/>
    <w:rsid w:val="003A3339"/>
    <w:rsid w:val="003A371F"/>
    <w:rsid w:val="003B002F"/>
    <w:rsid w:val="003B0951"/>
    <w:rsid w:val="003B2AED"/>
    <w:rsid w:val="003C2091"/>
    <w:rsid w:val="003C6882"/>
    <w:rsid w:val="003D0580"/>
    <w:rsid w:val="003D4800"/>
    <w:rsid w:val="003D63D2"/>
    <w:rsid w:val="003D7CB4"/>
    <w:rsid w:val="003E3BE7"/>
    <w:rsid w:val="003F2687"/>
    <w:rsid w:val="003F2901"/>
    <w:rsid w:val="003F44A6"/>
    <w:rsid w:val="003F4CB3"/>
    <w:rsid w:val="0040466D"/>
    <w:rsid w:val="004108EA"/>
    <w:rsid w:val="0041405D"/>
    <w:rsid w:val="00415939"/>
    <w:rsid w:val="0041611D"/>
    <w:rsid w:val="00416AC2"/>
    <w:rsid w:val="0042114C"/>
    <w:rsid w:val="00423DCC"/>
    <w:rsid w:val="00425BBC"/>
    <w:rsid w:val="00425E68"/>
    <w:rsid w:val="00426B11"/>
    <w:rsid w:val="00434085"/>
    <w:rsid w:val="004342A1"/>
    <w:rsid w:val="004374E9"/>
    <w:rsid w:val="004377ED"/>
    <w:rsid w:val="00443B8D"/>
    <w:rsid w:val="00445017"/>
    <w:rsid w:val="00447079"/>
    <w:rsid w:val="00456BDC"/>
    <w:rsid w:val="00464F65"/>
    <w:rsid w:val="00465E0F"/>
    <w:rsid w:val="004677B4"/>
    <w:rsid w:val="00467C78"/>
    <w:rsid w:val="00475EF5"/>
    <w:rsid w:val="00482402"/>
    <w:rsid w:val="00483779"/>
    <w:rsid w:val="0049612C"/>
    <w:rsid w:val="00496274"/>
    <w:rsid w:val="004A379B"/>
    <w:rsid w:val="004A5E8C"/>
    <w:rsid w:val="004B0B2F"/>
    <w:rsid w:val="004B37F9"/>
    <w:rsid w:val="004B4E1D"/>
    <w:rsid w:val="004B65AD"/>
    <w:rsid w:val="004C00DB"/>
    <w:rsid w:val="004C5CBD"/>
    <w:rsid w:val="004C738D"/>
    <w:rsid w:val="004C7C08"/>
    <w:rsid w:val="004D3CFD"/>
    <w:rsid w:val="004E0435"/>
    <w:rsid w:val="004E4496"/>
    <w:rsid w:val="004E4ABC"/>
    <w:rsid w:val="004F0DE6"/>
    <w:rsid w:val="004F231B"/>
    <w:rsid w:val="004F429B"/>
    <w:rsid w:val="004F4494"/>
    <w:rsid w:val="004F5C97"/>
    <w:rsid w:val="004F666A"/>
    <w:rsid w:val="004F7530"/>
    <w:rsid w:val="00504929"/>
    <w:rsid w:val="005063E9"/>
    <w:rsid w:val="00507A04"/>
    <w:rsid w:val="00507AAC"/>
    <w:rsid w:val="005120C9"/>
    <w:rsid w:val="00513E83"/>
    <w:rsid w:val="005150FE"/>
    <w:rsid w:val="00515DDE"/>
    <w:rsid w:val="00517478"/>
    <w:rsid w:val="00517BD3"/>
    <w:rsid w:val="00520F65"/>
    <w:rsid w:val="005213D0"/>
    <w:rsid w:val="00525C46"/>
    <w:rsid w:val="00527D38"/>
    <w:rsid w:val="0053053D"/>
    <w:rsid w:val="005335B0"/>
    <w:rsid w:val="00537053"/>
    <w:rsid w:val="005429A7"/>
    <w:rsid w:val="005444DE"/>
    <w:rsid w:val="00545571"/>
    <w:rsid w:val="0054626B"/>
    <w:rsid w:val="005467A0"/>
    <w:rsid w:val="00550A83"/>
    <w:rsid w:val="00551E2C"/>
    <w:rsid w:val="005526CE"/>
    <w:rsid w:val="005552B8"/>
    <w:rsid w:val="00562F69"/>
    <w:rsid w:val="00564CB6"/>
    <w:rsid w:val="00566529"/>
    <w:rsid w:val="00570AC3"/>
    <w:rsid w:val="005734A7"/>
    <w:rsid w:val="00575338"/>
    <w:rsid w:val="00575B1C"/>
    <w:rsid w:val="005823E4"/>
    <w:rsid w:val="00584D82"/>
    <w:rsid w:val="00584DEB"/>
    <w:rsid w:val="00590B46"/>
    <w:rsid w:val="00595BAE"/>
    <w:rsid w:val="005A2A89"/>
    <w:rsid w:val="005A4945"/>
    <w:rsid w:val="005A6466"/>
    <w:rsid w:val="005A70A2"/>
    <w:rsid w:val="005B1D99"/>
    <w:rsid w:val="005B5AB7"/>
    <w:rsid w:val="005C2CD8"/>
    <w:rsid w:val="005C3821"/>
    <w:rsid w:val="005C3CDE"/>
    <w:rsid w:val="005C53AE"/>
    <w:rsid w:val="005C57FB"/>
    <w:rsid w:val="005C6F37"/>
    <w:rsid w:val="005C7DD2"/>
    <w:rsid w:val="005C7EBA"/>
    <w:rsid w:val="005D0952"/>
    <w:rsid w:val="005D3A03"/>
    <w:rsid w:val="005D623F"/>
    <w:rsid w:val="005D79B9"/>
    <w:rsid w:val="005E6B6F"/>
    <w:rsid w:val="005F0905"/>
    <w:rsid w:val="005F0A6D"/>
    <w:rsid w:val="005F1D40"/>
    <w:rsid w:val="005F3B17"/>
    <w:rsid w:val="005F4CE7"/>
    <w:rsid w:val="00601796"/>
    <w:rsid w:val="00606580"/>
    <w:rsid w:val="006135C7"/>
    <w:rsid w:val="00613B4D"/>
    <w:rsid w:val="00616E74"/>
    <w:rsid w:val="00617D6D"/>
    <w:rsid w:val="00622F9B"/>
    <w:rsid w:val="006230F1"/>
    <w:rsid w:val="006237C4"/>
    <w:rsid w:val="00623C82"/>
    <w:rsid w:val="00623F47"/>
    <w:rsid w:val="006331D8"/>
    <w:rsid w:val="00644715"/>
    <w:rsid w:val="006450C1"/>
    <w:rsid w:val="00646B6B"/>
    <w:rsid w:val="0065280E"/>
    <w:rsid w:val="006530FD"/>
    <w:rsid w:val="00653E6D"/>
    <w:rsid w:val="006545A1"/>
    <w:rsid w:val="00656A0A"/>
    <w:rsid w:val="006570D6"/>
    <w:rsid w:val="0065780F"/>
    <w:rsid w:val="00660710"/>
    <w:rsid w:val="00660DBC"/>
    <w:rsid w:val="006646C0"/>
    <w:rsid w:val="006667EE"/>
    <w:rsid w:val="006722D3"/>
    <w:rsid w:val="00675742"/>
    <w:rsid w:val="00676275"/>
    <w:rsid w:val="006842B9"/>
    <w:rsid w:val="00684E61"/>
    <w:rsid w:val="00687309"/>
    <w:rsid w:val="006873CE"/>
    <w:rsid w:val="00692856"/>
    <w:rsid w:val="00693AB3"/>
    <w:rsid w:val="006948AF"/>
    <w:rsid w:val="0069494F"/>
    <w:rsid w:val="00695814"/>
    <w:rsid w:val="00696214"/>
    <w:rsid w:val="006A68B4"/>
    <w:rsid w:val="006B09E8"/>
    <w:rsid w:val="006B50C9"/>
    <w:rsid w:val="006C335D"/>
    <w:rsid w:val="006C3AFA"/>
    <w:rsid w:val="006C4D03"/>
    <w:rsid w:val="006D1A14"/>
    <w:rsid w:val="006E4231"/>
    <w:rsid w:val="006E6897"/>
    <w:rsid w:val="006E720E"/>
    <w:rsid w:val="006F079F"/>
    <w:rsid w:val="006F19CA"/>
    <w:rsid w:val="006F3424"/>
    <w:rsid w:val="006F5589"/>
    <w:rsid w:val="007038CE"/>
    <w:rsid w:val="00707093"/>
    <w:rsid w:val="00714829"/>
    <w:rsid w:val="0071795A"/>
    <w:rsid w:val="00717CF4"/>
    <w:rsid w:val="007214CE"/>
    <w:rsid w:val="00722346"/>
    <w:rsid w:val="00727A51"/>
    <w:rsid w:val="0073335D"/>
    <w:rsid w:val="00735C79"/>
    <w:rsid w:val="0073686A"/>
    <w:rsid w:val="00740B9E"/>
    <w:rsid w:val="00740C69"/>
    <w:rsid w:val="0074111D"/>
    <w:rsid w:val="00743D7C"/>
    <w:rsid w:val="007467DF"/>
    <w:rsid w:val="00750798"/>
    <w:rsid w:val="00751C2E"/>
    <w:rsid w:val="00753F3D"/>
    <w:rsid w:val="0076014E"/>
    <w:rsid w:val="00762626"/>
    <w:rsid w:val="00762C9C"/>
    <w:rsid w:val="00771B33"/>
    <w:rsid w:val="00776E00"/>
    <w:rsid w:val="00780134"/>
    <w:rsid w:val="0078315A"/>
    <w:rsid w:val="007940CD"/>
    <w:rsid w:val="007941BE"/>
    <w:rsid w:val="007958B6"/>
    <w:rsid w:val="00796C28"/>
    <w:rsid w:val="007976D8"/>
    <w:rsid w:val="0079789A"/>
    <w:rsid w:val="007A28C9"/>
    <w:rsid w:val="007A6592"/>
    <w:rsid w:val="007A768C"/>
    <w:rsid w:val="007B4043"/>
    <w:rsid w:val="007B4B29"/>
    <w:rsid w:val="007B74C9"/>
    <w:rsid w:val="007C1661"/>
    <w:rsid w:val="007C18D6"/>
    <w:rsid w:val="007C22E7"/>
    <w:rsid w:val="007C2A65"/>
    <w:rsid w:val="007C5C4C"/>
    <w:rsid w:val="007C6A51"/>
    <w:rsid w:val="007C7F80"/>
    <w:rsid w:val="007D17F7"/>
    <w:rsid w:val="007D1EE1"/>
    <w:rsid w:val="007D4590"/>
    <w:rsid w:val="007E303B"/>
    <w:rsid w:val="007E7E3C"/>
    <w:rsid w:val="007F14A9"/>
    <w:rsid w:val="007F1DF2"/>
    <w:rsid w:val="007F2062"/>
    <w:rsid w:val="007F3EB5"/>
    <w:rsid w:val="007F7816"/>
    <w:rsid w:val="00802685"/>
    <w:rsid w:val="008057F5"/>
    <w:rsid w:val="00815529"/>
    <w:rsid w:val="0081657D"/>
    <w:rsid w:val="00816933"/>
    <w:rsid w:val="00817478"/>
    <w:rsid w:val="00817C91"/>
    <w:rsid w:val="00820258"/>
    <w:rsid w:val="008214C0"/>
    <w:rsid w:val="00836AC2"/>
    <w:rsid w:val="008378FF"/>
    <w:rsid w:val="00844477"/>
    <w:rsid w:val="00844C45"/>
    <w:rsid w:val="0085198C"/>
    <w:rsid w:val="00851D43"/>
    <w:rsid w:val="008552FC"/>
    <w:rsid w:val="00855539"/>
    <w:rsid w:val="00861373"/>
    <w:rsid w:val="00863E0C"/>
    <w:rsid w:val="00864C26"/>
    <w:rsid w:val="00865D2E"/>
    <w:rsid w:val="008729D1"/>
    <w:rsid w:val="00874AC7"/>
    <w:rsid w:val="00876ADD"/>
    <w:rsid w:val="0088063E"/>
    <w:rsid w:val="008809FA"/>
    <w:rsid w:val="008848B2"/>
    <w:rsid w:val="00884941"/>
    <w:rsid w:val="008849E1"/>
    <w:rsid w:val="00886EC8"/>
    <w:rsid w:val="00890D15"/>
    <w:rsid w:val="00894143"/>
    <w:rsid w:val="0089444C"/>
    <w:rsid w:val="00897131"/>
    <w:rsid w:val="008A0019"/>
    <w:rsid w:val="008A0162"/>
    <w:rsid w:val="008A0991"/>
    <w:rsid w:val="008A0B6E"/>
    <w:rsid w:val="008A17EF"/>
    <w:rsid w:val="008B2845"/>
    <w:rsid w:val="008B3A48"/>
    <w:rsid w:val="008B5BB2"/>
    <w:rsid w:val="008B60D5"/>
    <w:rsid w:val="008C0FDF"/>
    <w:rsid w:val="008C3087"/>
    <w:rsid w:val="008C5E0D"/>
    <w:rsid w:val="008D468D"/>
    <w:rsid w:val="008E27F1"/>
    <w:rsid w:val="008E364C"/>
    <w:rsid w:val="008E4ABB"/>
    <w:rsid w:val="008F2C1A"/>
    <w:rsid w:val="008F4E21"/>
    <w:rsid w:val="008F530C"/>
    <w:rsid w:val="008F5C5F"/>
    <w:rsid w:val="008F6479"/>
    <w:rsid w:val="008F7D99"/>
    <w:rsid w:val="00900759"/>
    <w:rsid w:val="009103B3"/>
    <w:rsid w:val="0091185B"/>
    <w:rsid w:val="0091267F"/>
    <w:rsid w:val="00912761"/>
    <w:rsid w:val="0091498E"/>
    <w:rsid w:val="009158D8"/>
    <w:rsid w:val="009166FB"/>
    <w:rsid w:val="0091723D"/>
    <w:rsid w:val="00917548"/>
    <w:rsid w:val="00917D72"/>
    <w:rsid w:val="0092297F"/>
    <w:rsid w:val="00924590"/>
    <w:rsid w:val="009263B8"/>
    <w:rsid w:val="0093701C"/>
    <w:rsid w:val="009376FC"/>
    <w:rsid w:val="0093787C"/>
    <w:rsid w:val="00937B7D"/>
    <w:rsid w:val="00941E99"/>
    <w:rsid w:val="00942799"/>
    <w:rsid w:val="00943F12"/>
    <w:rsid w:val="00944326"/>
    <w:rsid w:val="00944C99"/>
    <w:rsid w:val="00951789"/>
    <w:rsid w:val="0095241A"/>
    <w:rsid w:val="00952709"/>
    <w:rsid w:val="00955BF4"/>
    <w:rsid w:val="0095625A"/>
    <w:rsid w:val="009566F2"/>
    <w:rsid w:val="00957D42"/>
    <w:rsid w:val="00960E01"/>
    <w:rsid w:val="00964D1D"/>
    <w:rsid w:val="00965620"/>
    <w:rsid w:val="009672A4"/>
    <w:rsid w:val="00967F32"/>
    <w:rsid w:val="00975805"/>
    <w:rsid w:val="0098050A"/>
    <w:rsid w:val="00981937"/>
    <w:rsid w:val="0098219F"/>
    <w:rsid w:val="00982FC2"/>
    <w:rsid w:val="00983145"/>
    <w:rsid w:val="00985A5B"/>
    <w:rsid w:val="00986821"/>
    <w:rsid w:val="00990792"/>
    <w:rsid w:val="00993EB4"/>
    <w:rsid w:val="00994617"/>
    <w:rsid w:val="009A07FC"/>
    <w:rsid w:val="009A1B4F"/>
    <w:rsid w:val="009A35F3"/>
    <w:rsid w:val="009A540C"/>
    <w:rsid w:val="009A606B"/>
    <w:rsid w:val="009A7A8F"/>
    <w:rsid w:val="009B3C23"/>
    <w:rsid w:val="009B3E4D"/>
    <w:rsid w:val="009B4E29"/>
    <w:rsid w:val="009C496D"/>
    <w:rsid w:val="009C5579"/>
    <w:rsid w:val="009C59AA"/>
    <w:rsid w:val="009D717B"/>
    <w:rsid w:val="009D7657"/>
    <w:rsid w:val="009E593A"/>
    <w:rsid w:val="009F08B0"/>
    <w:rsid w:val="009F0AC9"/>
    <w:rsid w:val="009F6D2D"/>
    <w:rsid w:val="00A04F05"/>
    <w:rsid w:val="00A05003"/>
    <w:rsid w:val="00A105C7"/>
    <w:rsid w:val="00A11530"/>
    <w:rsid w:val="00A214BC"/>
    <w:rsid w:val="00A24A00"/>
    <w:rsid w:val="00A26C6F"/>
    <w:rsid w:val="00A3172B"/>
    <w:rsid w:val="00A32CBE"/>
    <w:rsid w:val="00A335B1"/>
    <w:rsid w:val="00A41FEF"/>
    <w:rsid w:val="00A441A8"/>
    <w:rsid w:val="00A462DE"/>
    <w:rsid w:val="00A53A7D"/>
    <w:rsid w:val="00A55986"/>
    <w:rsid w:val="00A63134"/>
    <w:rsid w:val="00A6786D"/>
    <w:rsid w:val="00A71502"/>
    <w:rsid w:val="00A76D04"/>
    <w:rsid w:val="00A801EC"/>
    <w:rsid w:val="00A829CB"/>
    <w:rsid w:val="00A84083"/>
    <w:rsid w:val="00A851F0"/>
    <w:rsid w:val="00A86570"/>
    <w:rsid w:val="00A876A8"/>
    <w:rsid w:val="00A922E9"/>
    <w:rsid w:val="00A95267"/>
    <w:rsid w:val="00A95B0C"/>
    <w:rsid w:val="00AA65D0"/>
    <w:rsid w:val="00AB3298"/>
    <w:rsid w:val="00AB4ED9"/>
    <w:rsid w:val="00AC4852"/>
    <w:rsid w:val="00AD3719"/>
    <w:rsid w:val="00AD5925"/>
    <w:rsid w:val="00AD7920"/>
    <w:rsid w:val="00AD79A4"/>
    <w:rsid w:val="00AE1757"/>
    <w:rsid w:val="00AE2091"/>
    <w:rsid w:val="00AE5DEA"/>
    <w:rsid w:val="00AE6E9B"/>
    <w:rsid w:val="00AF128D"/>
    <w:rsid w:val="00AF61CF"/>
    <w:rsid w:val="00B00A32"/>
    <w:rsid w:val="00B01658"/>
    <w:rsid w:val="00B01F18"/>
    <w:rsid w:val="00B03A15"/>
    <w:rsid w:val="00B05682"/>
    <w:rsid w:val="00B059A0"/>
    <w:rsid w:val="00B06C60"/>
    <w:rsid w:val="00B07437"/>
    <w:rsid w:val="00B1025C"/>
    <w:rsid w:val="00B12225"/>
    <w:rsid w:val="00B144F6"/>
    <w:rsid w:val="00B204D4"/>
    <w:rsid w:val="00B2261D"/>
    <w:rsid w:val="00B226DB"/>
    <w:rsid w:val="00B23C63"/>
    <w:rsid w:val="00B264CA"/>
    <w:rsid w:val="00B2770E"/>
    <w:rsid w:val="00B32F18"/>
    <w:rsid w:val="00B3372C"/>
    <w:rsid w:val="00B36F49"/>
    <w:rsid w:val="00B40E1B"/>
    <w:rsid w:val="00B455A4"/>
    <w:rsid w:val="00B46654"/>
    <w:rsid w:val="00B47858"/>
    <w:rsid w:val="00B62567"/>
    <w:rsid w:val="00B6398B"/>
    <w:rsid w:val="00B70844"/>
    <w:rsid w:val="00B859BB"/>
    <w:rsid w:val="00B87DEA"/>
    <w:rsid w:val="00B97806"/>
    <w:rsid w:val="00B97C09"/>
    <w:rsid w:val="00BA5699"/>
    <w:rsid w:val="00BA56CA"/>
    <w:rsid w:val="00BA584C"/>
    <w:rsid w:val="00BA5ECB"/>
    <w:rsid w:val="00BB2975"/>
    <w:rsid w:val="00BC270D"/>
    <w:rsid w:val="00BC2D21"/>
    <w:rsid w:val="00BC4363"/>
    <w:rsid w:val="00BC56EE"/>
    <w:rsid w:val="00BC7C49"/>
    <w:rsid w:val="00BD763A"/>
    <w:rsid w:val="00BE2EB4"/>
    <w:rsid w:val="00BE529F"/>
    <w:rsid w:val="00BE60EF"/>
    <w:rsid w:val="00BE72B3"/>
    <w:rsid w:val="00BF1264"/>
    <w:rsid w:val="00BF26EC"/>
    <w:rsid w:val="00BF3892"/>
    <w:rsid w:val="00BF53E2"/>
    <w:rsid w:val="00C04C9C"/>
    <w:rsid w:val="00C10A8A"/>
    <w:rsid w:val="00C137A5"/>
    <w:rsid w:val="00C16BE9"/>
    <w:rsid w:val="00C22D7F"/>
    <w:rsid w:val="00C23201"/>
    <w:rsid w:val="00C242C2"/>
    <w:rsid w:val="00C2605A"/>
    <w:rsid w:val="00C26376"/>
    <w:rsid w:val="00C4162F"/>
    <w:rsid w:val="00C45AA4"/>
    <w:rsid w:val="00C53D36"/>
    <w:rsid w:val="00C53E44"/>
    <w:rsid w:val="00C601D0"/>
    <w:rsid w:val="00C61E8D"/>
    <w:rsid w:val="00C66992"/>
    <w:rsid w:val="00C73AC7"/>
    <w:rsid w:val="00C74C68"/>
    <w:rsid w:val="00C76225"/>
    <w:rsid w:val="00C7664A"/>
    <w:rsid w:val="00C8016A"/>
    <w:rsid w:val="00C8208A"/>
    <w:rsid w:val="00C83217"/>
    <w:rsid w:val="00C83610"/>
    <w:rsid w:val="00C84762"/>
    <w:rsid w:val="00C91E8C"/>
    <w:rsid w:val="00C93051"/>
    <w:rsid w:val="00C94C28"/>
    <w:rsid w:val="00C954D1"/>
    <w:rsid w:val="00C9696D"/>
    <w:rsid w:val="00C97A9F"/>
    <w:rsid w:val="00CA1B17"/>
    <w:rsid w:val="00CA1B72"/>
    <w:rsid w:val="00CA34DE"/>
    <w:rsid w:val="00CC031F"/>
    <w:rsid w:val="00CC18F0"/>
    <w:rsid w:val="00CC1ADB"/>
    <w:rsid w:val="00CC3BB4"/>
    <w:rsid w:val="00CC42A7"/>
    <w:rsid w:val="00CD0FC7"/>
    <w:rsid w:val="00CD644E"/>
    <w:rsid w:val="00CE5C1E"/>
    <w:rsid w:val="00CE7F70"/>
    <w:rsid w:val="00CF2144"/>
    <w:rsid w:val="00CF3242"/>
    <w:rsid w:val="00CF3DFC"/>
    <w:rsid w:val="00D00538"/>
    <w:rsid w:val="00D07393"/>
    <w:rsid w:val="00D12C41"/>
    <w:rsid w:val="00D14742"/>
    <w:rsid w:val="00D158ED"/>
    <w:rsid w:val="00D20737"/>
    <w:rsid w:val="00D20949"/>
    <w:rsid w:val="00D26929"/>
    <w:rsid w:val="00D269E3"/>
    <w:rsid w:val="00D26CB7"/>
    <w:rsid w:val="00D34FEE"/>
    <w:rsid w:val="00D36DC5"/>
    <w:rsid w:val="00D40120"/>
    <w:rsid w:val="00D47968"/>
    <w:rsid w:val="00D51B2D"/>
    <w:rsid w:val="00D56153"/>
    <w:rsid w:val="00D5615C"/>
    <w:rsid w:val="00D60C25"/>
    <w:rsid w:val="00D61F8D"/>
    <w:rsid w:val="00D702FC"/>
    <w:rsid w:val="00D739FF"/>
    <w:rsid w:val="00D74D81"/>
    <w:rsid w:val="00D8167F"/>
    <w:rsid w:val="00D863F9"/>
    <w:rsid w:val="00D90225"/>
    <w:rsid w:val="00D93D50"/>
    <w:rsid w:val="00D9451A"/>
    <w:rsid w:val="00DB02AB"/>
    <w:rsid w:val="00DB0418"/>
    <w:rsid w:val="00DB162F"/>
    <w:rsid w:val="00DB171A"/>
    <w:rsid w:val="00DC0292"/>
    <w:rsid w:val="00DC40F9"/>
    <w:rsid w:val="00DC6F8C"/>
    <w:rsid w:val="00DD3FFB"/>
    <w:rsid w:val="00DD48C8"/>
    <w:rsid w:val="00DD4AAB"/>
    <w:rsid w:val="00DD4EB9"/>
    <w:rsid w:val="00DE0EEF"/>
    <w:rsid w:val="00DE206A"/>
    <w:rsid w:val="00DF0AF4"/>
    <w:rsid w:val="00DF5409"/>
    <w:rsid w:val="00E000C3"/>
    <w:rsid w:val="00E0305F"/>
    <w:rsid w:val="00E07304"/>
    <w:rsid w:val="00E142E5"/>
    <w:rsid w:val="00E15F7B"/>
    <w:rsid w:val="00E2100F"/>
    <w:rsid w:val="00E2170A"/>
    <w:rsid w:val="00E2558B"/>
    <w:rsid w:val="00E2605A"/>
    <w:rsid w:val="00E30A56"/>
    <w:rsid w:val="00E335BB"/>
    <w:rsid w:val="00E3454A"/>
    <w:rsid w:val="00E357B3"/>
    <w:rsid w:val="00E36284"/>
    <w:rsid w:val="00E36CDE"/>
    <w:rsid w:val="00E40938"/>
    <w:rsid w:val="00E4211D"/>
    <w:rsid w:val="00E43F8A"/>
    <w:rsid w:val="00E504EA"/>
    <w:rsid w:val="00E52A10"/>
    <w:rsid w:val="00E55573"/>
    <w:rsid w:val="00E55925"/>
    <w:rsid w:val="00E56357"/>
    <w:rsid w:val="00E616BF"/>
    <w:rsid w:val="00E62578"/>
    <w:rsid w:val="00E6317E"/>
    <w:rsid w:val="00E67F98"/>
    <w:rsid w:val="00E7235D"/>
    <w:rsid w:val="00E74F33"/>
    <w:rsid w:val="00E75592"/>
    <w:rsid w:val="00E755C0"/>
    <w:rsid w:val="00E75DA2"/>
    <w:rsid w:val="00E825D7"/>
    <w:rsid w:val="00E83BE1"/>
    <w:rsid w:val="00E865DF"/>
    <w:rsid w:val="00E87D9A"/>
    <w:rsid w:val="00E911AD"/>
    <w:rsid w:val="00E915EC"/>
    <w:rsid w:val="00E9200F"/>
    <w:rsid w:val="00E94B3D"/>
    <w:rsid w:val="00E94BB6"/>
    <w:rsid w:val="00E95D1C"/>
    <w:rsid w:val="00EA0CF4"/>
    <w:rsid w:val="00EA1C3F"/>
    <w:rsid w:val="00EB0B54"/>
    <w:rsid w:val="00EB3349"/>
    <w:rsid w:val="00EB386D"/>
    <w:rsid w:val="00EB473C"/>
    <w:rsid w:val="00EB6127"/>
    <w:rsid w:val="00EC0412"/>
    <w:rsid w:val="00EC2A97"/>
    <w:rsid w:val="00EC38D2"/>
    <w:rsid w:val="00EC44FC"/>
    <w:rsid w:val="00EC5BFF"/>
    <w:rsid w:val="00EC6D3E"/>
    <w:rsid w:val="00ED1669"/>
    <w:rsid w:val="00ED1807"/>
    <w:rsid w:val="00ED2967"/>
    <w:rsid w:val="00ED6622"/>
    <w:rsid w:val="00EF25B0"/>
    <w:rsid w:val="00EF38BD"/>
    <w:rsid w:val="00F02336"/>
    <w:rsid w:val="00F051A7"/>
    <w:rsid w:val="00F05A0F"/>
    <w:rsid w:val="00F05E1F"/>
    <w:rsid w:val="00F14FF2"/>
    <w:rsid w:val="00F153A0"/>
    <w:rsid w:val="00F1614B"/>
    <w:rsid w:val="00F20861"/>
    <w:rsid w:val="00F22E62"/>
    <w:rsid w:val="00F355F6"/>
    <w:rsid w:val="00F3654D"/>
    <w:rsid w:val="00F431EE"/>
    <w:rsid w:val="00F510FE"/>
    <w:rsid w:val="00F51BD7"/>
    <w:rsid w:val="00F544BD"/>
    <w:rsid w:val="00F54EBE"/>
    <w:rsid w:val="00F6167A"/>
    <w:rsid w:val="00F61DA5"/>
    <w:rsid w:val="00F65CF7"/>
    <w:rsid w:val="00F65E55"/>
    <w:rsid w:val="00F66880"/>
    <w:rsid w:val="00F806CC"/>
    <w:rsid w:val="00F81D19"/>
    <w:rsid w:val="00F828E6"/>
    <w:rsid w:val="00F84083"/>
    <w:rsid w:val="00F91E54"/>
    <w:rsid w:val="00F956BD"/>
    <w:rsid w:val="00FA04EA"/>
    <w:rsid w:val="00FA333D"/>
    <w:rsid w:val="00FA66A7"/>
    <w:rsid w:val="00FA7356"/>
    <w:rsid w:val="00FB076D"/>
    <w:rsid w:val="00FB0F5F"/>
    <w:rsid w:val="00FB0F63"/>
    <w:rsid w:val="00FB174E"/>
    <w:rsid w:val="00FB17B8"/>
    <w:rsid w:val="00FB1EA7"/>
    <w:rsid w:val="00FB403C"/>
    <w:rsid w:val="00FB61F2"/>
    <w:rsid w:val="00FB6F2A"/>
    <w:rsid w:val="00FC405F"/>
    <w:rsid w:val="00FC543D"/>
    <w:rsid w:val="00FC6757"/>
    <w:rsid w:val="00FD4875"/>
    <w:rsid w:val="00FD59C9"/>
    <w:rsid w:val="00FD6264"/>
    <w:rsid w:val="00FD76A8"/>
    <w:rsid w:val="00FD7AE9"/>
    <w:rsid w:val="00FE01F4"/>
    <w:rsid w:val="00FE04DE"/>
    <w:rsid w:val="00FE1E3F"/>
    <w:rsid w:val="00FE26A5"/>
    <w:rsid w:val="00FE36EF"/>
    <w:rsid w:val="00FE40F1"/>
    <w:rsid w:val="00FF0978"/>
    <w:rsid w:val="00FF3692"/>
    <w:rsid w:val="00FF3889"/>
    <w:rsid w:val="00FF45E6"/>
    <w:rsid w:val="00FF4BE0"/>
    <w:rsid w:val="00FF51DB"/>
    <w:rsid w:val="00FF5F0C"/>
    <w:rsid w:val="010378BD"/>
    <w:rsid w:val="01152112"/>
    <w:rsid w:val="01407416"/>
    <w:rsid w:val="01AB2913"/>
    <w:rsid w:val="01CD747D"/>
    <w:rsid w:val="01FD1B97"/>
    <w:rsid w:val="021C5A95"/>
    <w:rsid w:val="023D4EE0"/>
    <w:rsid w:val="02405F8A"/>
    <w:rsid w:val="02695AFF"/>
    <w:rsid w:val="026F7823"/>
    <w:rsid w:val="027974CC"/>
    <w:rsid w:val="02980103"/>
    <w:rsid w:val="03452B85"/>
    <w:rsid w:val="03E44CEC"/>
    <w:rsid w:val="03FE7EAB"/>
    <w:rsid w:val="04440EA5"/>
    <w:rsid w:val="045D6FB5"/>
    <w:rsid w:val="04772569"/>
    <w:rsid w:val="0480651B"/>
    <w:rsid w:val="04A97704"/>
    <w:rsid w:val="04B175DC"/>
    <w:rsid w:val="051A5199"/>
    <w:rsid w:val="0583000C"/>
    <w:rsid w:val="05D27327"/>
    <w:rsid w:val="05E7129F"/>
    <w:rsid w:val="06007F53"/>
    <w:rsid w:val="06111258"/>
    <w:rsid w:val="063F6674"/>
    <w:rsid w:val="065E10D2"/>
    <w:rsid w:val="065F7326"/>
    <w:rsid w:val="066719C1"/>
    <w:rsid w:val="06C84C5F"/>
    <w:rsid w:val="071E50CD"/>
    <w:rsid w:val="071F269A"/>
    <w:rsid w:val="07582BF7"/>
    <w:rsid w:val="07632B57"/>
    <w:rsid w:val="076B2B1B"/>
    <w:rsid w:val="0782542A"/>
    <w:rsid w:val="07CD1421"/>
    <w:rsid w:val="07CE7A55"/>
    <w:rsid w:val="07D61B08"/>
    <w:rsid w:val="07FD2007"/>
    <w:rsid w:val="080E43F9"/>
    <w:rsid w:val="08292412"/>
    <w:rsid w:val="08510EF1"/>
    <w:rsid w:val="08980A59"/>
    <w:rsid w:val="08D8551C"/>
    <w:rsid w:val="08D87D4C"/>
    <w:rsid w:val="08E753B1"/>
    <w:rsid w:val="09197006"/>
    <w:rsid w:val="092F1BE8"/>
    <w:rsid w:val="09682774"/>
    <w:rsid w:val="097B3E31"/>
    <w:rsid w:val="098F7F23"/>
    <w:rsid w:val="09A20583"/>
    <w:rsid w:val="09B05738"/>
    <w:rsid w:val="0A0A0614"/>
    <w:rsid w:val="0A11326A"/>
    <w:rsid w:val="0A204C6D"/>
    <w:rsid w:val="0A323AAC"/>
    <w:rsid w:val="0A7E3AF3"/>
    <w:rsid w:val="0AC459AA"/>
    <w:rsid w:val="0AD4712F"/>
    <w:rsid w:val="0AE24325"/>
    <w:rsid w:val="0B3B1615"/>
    <w:rsid w:val="0B4870D0"/>
    <w:rsid w:val="0B6C092C"/>
    <w:rsid w:val="0B6C169C"/>
    <w:rsid w:val="0B7E1738"/>
    <w:rsid w:val="0B890E95"/>
    <w:rsid w:val="0C1C33F4"/>
    <w:rsid w:val="0C252478"/>
    <w:rsid w:val="0D183BE6"/>
    <w:rsid w:val="0D3775B5"/>
    <w:rsid w:val="0D3C216F"/>
    <w:rsid w:val="0D65593F"/>
    <w:rsid w:val="0DB60BCF"/>
    <w:rsid w:val="0DC6430E"/>
    <w:rsid w:val="0DFE11D3"/>
    <w:rsid w:val="0E08021C"/>
    <w:rsid w:val="0E571F68"/>
    <w:rsid w:val="0EA82517"/>
    <w:rsid w:val="0EAC63A6"/>
    <w:rsid w:val="0F013D02"/>
    <w:rsid w:val="0FEF59EB"/>
    <w:rsid w:val="0FF705D0"/>
    <w:rsid w:val="0FF8583B"/>
    <w:rsid w:val="101E65A8"/>
    <w:rsid w:val="10233DB7"/>
    <w:rsid w:val="10330AA2"/>
    <w:rsid w:val="105B3DF7"/>
    <w:rsid w:val="10A85E32"/>
    <w:rsid w:val="10F10D44"/>
    <w:rsid w:val="111968EF"/>
    <w:rsid w:val="11251BFF"/>
    <w:rsid w:val="112E0CCA"/>
    <w:rsid w:val="11366327"/>
    <w:rsid w:val="1143523D"/>
    <w:rsid w:val="115C1816"/>
    <w:rsid w:val="118A2AED"/>
    <w:rsid w:val="11A96D7A"/>
    <w:rsid w:val="11B73A33"/>
    <w:rsid w:val="12370CF9"/>
    <w:rsid w:val="126D4B79"/>
    <w:rsid w:val="12710AC3"/>
    <w:rsid w:val="12BD3BE2"/>
    <w:rsid w:val="12C23A59"/>
    <w:rsid w:val="12E135C1"/>
    <w:rsid w:val="12E54FDD"/>
    <w:rsid w:val="133067C1"/>
    <w:rsid w:val="134113D7"/>
    <w:rsid w:val="13446B55"/>
    <w:rsid w:val="13581760"/>
    <w:rsid w:val="13767A5D"/>
    <w:rsid w:val="138A466B"/>
    <w:rsid w:val="13B86251"/>
    <w:rsid w:val="13C03CEF"/>
    <w:rsid w:val="13E56991"/>
    <w:rsid w:val="13F17FE6"/>
    <w:rsid w:val="13FA243C"/>
    <w:rsid w:val="13FD0549"/>
    <w:rsid w:val="140622DB"/>
    <w:rsid w:val="140C5969"/>
    <w:rsid w:val="14116595"/>
    <w:rsid w:val="143E2A73"/>
    <w:rsid w:val="14456041"/>
    <w:rsid w:val="14C64A14"/>
    <w:rsid w:val="14DA4464"/>
    <w:rsid w:val="1503086D"/>
    <w:rsid w:val="151417A9"/>
    <w:rsid w:val="15314EA3"/>
    <w:rsid w:val="155148C2"/>
    <w:rsid w:val="15597637"/>
    <w:rsid w:val="15927501"/>
    <w:rsid w:val="15C61051"/>
    <w:rsid w:val="15D91E9F"/>
    <w:rsid w:val="15E10A54"/>
    <w:rsid w:val="16147136"/>
    <w:rsid w:val="16302145"/>
    <w:rsid w:val="16484565"/>
    <w:rsid w:val="165F65E8"/>
    <w:rsid w:val="16690987"/>
    <w:rsid w:val="16783AEC"/>
    <w:rsid w:val="16DF6FE2"/>
    <w:rsid w:val="170915C0"/>
    <w:rsid w:val="173F514B"/>
    <w:rsid w:val="176B73F1"/>
    <w:rsid w:val="17840B37"/>
    <w:rsid w:val="17AD60E1"/>
    <w:rsid w:val="17E42723"/>
    <w:rsid w:val="18073012"/>
    <w:rsid w:val="186165B0"/>
    <w:rsid w:val="186500A0"/>
    <w:rsid w:val="189133E5"/>
    <w:rsid w:val="193A1DB0"/>
    <w:rsid w:val="194128CD"/>
    <w:rsid w:val="1947374E"/>
    <w:rsid w:val="197465AB"/>
    <w:rsid w:val="19CC540E"/>
    <w:rsid w:val="19D534CE"/>
    <w:rsid w:val="19E83913"/>
    <w:rsid w:val="1AAD7D51"/>
    <w:rsid w:val="1B1E6E98"/>
    <w:rsid w:val="1B314821"/>
    <w:rsid w:val="1B505FCE"/>
    <w:rsid w:val="1B776A68"/>
    <w:rsid w:val="1C13284B"/>
    <w:rsid w:val="1C13567D"/>
    <w:rsid w:val="1C212FB2"/>
    <w:rsid w:val="1C2F0AC7"/>
    <w:rsid w:val="1C2F789E"/>
    <w:rsid w:val="1C307688"/>
    <w:rsid w:val="1C700FA8"/>
    <w:rsid w:val="1C80194D"/>
    <w:rsid w:val="1CC13F86"/>
    <w:rsid w:val="1CC96FF2"/>
    <w:rsid w:val="1D150DA6"/>
    <w:rsid w:val="1D2E5F78"/>
    <w:rsid w:val="1D886BB6"/>
    <w:rsid w:val="1DA01E10"/>
    <w:rsid w:val="1DA86A99"/>
    <w:rsid w:val="1DAF4298"/>
    <w:rsid w:val="1E106698"/>
    <w:rsid w:val="1E29229C"/>
    <w:rsid w:val="1E3954FE"/>
    <w:rsid w:val="1E3E561C"/>
    <w:rsid w:val="1E5D1F46"/>
    <w:rsid w:val="1E606339"/>
    <w:rsid w:val="1EC31A0B"/>
    <w:rsid w:val="1EC600C2"/>
    <w:rsid w:val="1F064ADB"/>
    <w:rsid w:val="1F102324"/>
    <w:rsid w:val="1F590EBB"/>
    <w:rsid w:val="1F787D55"/>
    <w:rsid w:val="1FAB4DA8"/>
    <w:rsid w:val="1FB364A1"/>
    <w:rsid w:val="1FB94623"/>
    <w:rsid w:val="1FCE7B43"/>
    <w:rsid w:val="1FD124EA"/>
    <w:rsid w:val="1FD57FDF"/>
    <w:rsid w:val="1FFF22B8"/>
    <w:rsid w:val="203657BC"/>
    <w:rsid w:val="20900E2B"/>
    <w:rsid w:val="20AE6CA0"/>
    <w:rsid w:val="20CB5D13"/>
    <w:rsid w:val="20DF497A"/>
    <w:rsid w:val="210832E2"/>
    <w:rsid w:val="21422B72"/>
    <w:rsid w:val="2145340E"/>
    <w:rsid w:val="21482F26"/>
    <w:rsid w:val="215241A2"/>
    <w:rsid w:val="21554C55"/>
    <w:rsid w:val="21A5496D"/>
    <w:rsid w:val="21B1797A"/>
    <w:rsid w:val="21B7077B"/>
    <w:rsid w:val="22294E2E"/>
    <w:rsid w:val="222E176A"/>
    <w:rsid w:val="223628EE"/>
    <w:rsid w:val="223D69F0"/>
    <w:rsid w:val="22502D32"/>
    <w:rsid w:val="227A7571"/>
    <w:rsid w:val="22960223"/>
    <w:rsid w:val="22DD1B9B"/>
    <w:rsid w:val="22F12F01"/>
    <w:rsid w:val="22F866E1"/>
    <w:rsid w:val="230D0EB7"/>
    <w:rsid w:val="23301190"/>
    <w:rsid w:val="23314ED3"/>
    <w:rsid w:val="23492A98"/>
    <w:rsid w:val="23503E27"/>
    <w:rsid w:val="2398537D"/>
    <w:rsid w:val="23DC0A89"/>
    <w:rsid w:val="23EE4F87"/>
    <w:rsid w:val="23F40383"/>
    <w:rsid w:val="241F37F9"/>
    <w:rsid w:val="24205EBB"/>
    <w:rsid w:val="24260BD8"/>
    <w:rsid w:val="24315938"/>
    <w:rsid w:val="24885842"/>
    <w:rsid w:val="255421A5"/>
    <w:rsid w:val="259C1955"/>
    <w:rsid w:val="259C77F7"/>
    <w:rsid w:val="25DB1051"/>
    <w:rsid w:val="260B1BC7"/>
    <w:rsid w:val="265C6F87"/>
    <w:rsid w:val="268240B9"/>
    <w:rsid w:val="26BD4767"/>
    <w:rsid w:val="26D87BC5"/>
    <w:rsid w:val="26F6385F"/>
    <w:rsid w:val="2751290E"/>
    <w:rsid w:val="27693721"/>
    <w:rsid w:val="27725828"/>
    <w:rsid w:val="27D72B9E"/>
    <w:rsid w:val="27F54D60"/>
    <w:rsid w:val="28054D3B"/>
    <w:rsid w:val="280F6BDB"/>
    <w:rsid w:val="28547317"/>
    <w:rsid w:val="2871563C"/>
    <w:rsid w:val="28AC5FA3"/>
    <w:rsid w:val="28C55B54"/>
    <w:rsid w:val="28D53A2D"/>
    <w:rsid w:val="290E65A0"/>
    <w:rsid w:val="29142964"/>
    <w:rsid w:val="29386C6D"/>
    <w:rsid w:val="29494107"/>
    <w:rsid w:val="296758B6"/>
    <w:rsid w:val="29726E31"/>
    <w:rsid w:val="29932BA4"/>
    <w:rsid w:val="29D52EEE"/>
    <w:rsid w:val="29D63DB2"/>
    <w:rsid w:val="29D94CE8"/>
    <w:rsid w:val="29DE29B2"/>
    <w:rsid w:val="29FA00A3"/>
    <w:rsid w:val="29FA42C7"/>
    <w:rsid w:val="2A3F744E"/>
    <w:rsid w:val="2A8D56E1"/>
    <w:rsid w:val="2AA91D37"/>
    <w:rsid w:val="2AB3728E"/>
    <w:rsid w:val="2ACF4F0E"/>
    <w:rsid w:val="2AE8703B"/>
    <w:rsid w:val="2B363F9F"/>
    <w:rsid w:val="2B7D02F2"/>
    <w:rsid w:val="2B83679E"/>
    <w:rsid w:val="2BFA7386"/>
    <w:rsid w:val="2BFF5BD4"/>
    <w:rsid w:val="2C18363D"/>
    <w:rsid w:val="2C1E4091"/>
    <w:rsid w:val="2C1E62BD"/>
    <w:rsid w:val="2C4725A5"/>
    <w:rsid w:val="2C643C1F"/>
    <w:rsid w:val="2CE85C6C"/>
    <w:rsid w:val="2DA91CAC"/>
    <w:rsid w:val="2DB121BE"/>
    <w:rsid w:val="2DC146A6"/>
    <w:rsid w:val="2DEB279E"/>
    <w:rsid w:val="2DFA242D"/>
    <w:rsid w:val="2E165C6D"/>
    <w:rsid w:val="2E254C4F"/>
    <w:rsid w:val="2E352CD6"/>
    <w:rsid w:val="2E7A0258"/>
    <w:rsid w:val="2E895FEF"/>
    <w:rsid w:val="2E8A62BA"/>
    <w:rsid w:val="2ED07C1D"/>
    <w:rsid w:val="2F30667B"/>
    <w:rsid w:val="2F3C1703"/>
    <w:rsid w:val="2F460484"/>
    <w:rsid w:val="2F530A86"/>
    <w:rsid w:val="2F5760FF"/>
    <w:rsid w:val="2F7F3B24"/>
    <w:rsid w:val="2FB8267C"/>
    <w:rsid w:val="2FF124EE"/>
    <w:rsid w:val="304B6113"/>
    <w:rsid w:val="309D730E"/>
    <w:rsid w:val="30BC1495"/>
    <w:rsid w:val="30E677B0"/>
    <w:rsid w:val="31191917"/>
    <w:rsid w:val="31603DCF"/>
    <w:rsid w:val="318B3240"/>
    <w:rsid w:val="31A71E01"/>
    <w:rsid w:val="31E16592"/>
    <w:rsid w:val="3207249C"/>
    <w:rsid w:val="32344949"/>
    <w:rsid w:val="32402348"/>
    <w:rsid w:val="32530986"/>
    <w:rsid w:val="32642768"/>
    <w:rsid w:val="32A7151F"/>
    <w:rsid w:val="32C90515"/>
    <w:rsid w:val="32E4633A"/>
    <w:rsid w:val="33253AEA"/>
    <w:rsid w:val="33573545"/>
    <w:rsid w:val="33870D0F"/>
    <w:rsid w:val="33C10429"/>
    <w:rsid w:val="33CC5D5E"/>
    <w:rsid w:val="33D25E62"/>
    <w:rsid w:val="33D273E5"/>
    <w:rsid w:val="33D71126"/>
    <w:rsid w:val="33D8452C"/>
    <w:rsid w:val="33E800AC"/>
    <w:rsid w:val="33F15DD8"/>
    <w:rsid w:val="34795872"/>
    <w:rsid w:val="34942622"/>
    <w:rsid w:val="34DA5146"/>
    <w:rsid w:val="353E4EA9"/>
    <w:rsid w:val="3591464C"/>
    <w:rsid w:val="35BE4387"/>
    <w:rsid w:val="36463D01"/>
    <w:rsid w:val="364F58A3"/>
    <w:rsid w:val="3650619E"/>
    <w:rsid w:val="367C4ADB"/>
    <w:rsid w:val="367D5D8B"/>
    <w:rsid w:val="36C010FF"/>
    <w:rsid w:val="36FD2EA3"/>
    <w:rsid w:val="372D3814"/>
    <w:rsid w:val="372E4139"/>
    <w:rsid w:val="373163D4"/>
    <w:rsid w:val="37371C58"/>
    <w:rsid w:val="376301DD"/>
    <w:rsid w:val="377D0B0B"/>
    <w:rsid w:val="37866573"/>
    <w:rsid w:val="379B244F"/>
    <w:rsid w:val="37AD2273"/>
    <w:rsid w:val="37B101CC"/>
    <w:rsid w:val="37DE3240"/>
    <w:rsid w:val="37FD2AA6"/>
    <w:rsid w:val="381D4218"/>
    <w:rsid w:val="38806DCB"/>
    <w:rsid w:val="38907A97"/>
    <w:rsid w:val="38A44A6D"/>
    <w:rsid w:val="38BD736D"/>
    <w:rsid w:val="38BF587F"/>
    <w:rsid w:val="38E06B5E"/>
    <w:rsid w:val="391566CB"/>
    <w:rsid w:val="395459CC"/>
    <w:rsid w:val="396771BF"/>
    <w:rsid w:val="39694B31"/>
    <w:rsid w:val="39790546"/>
    <w:rsid w:val="39BC1FB5"/>
    <w:rsid w:val="39D032DB"/>
    <w:rsid w:val="39D43B65"/>
    <w:rsid w:val="39FB313C"/>
    <w:rsid w:val="3A3B29F6"/>
    <w:rsid w:val="3AD11468"/>
    <w:rsid w:val="3ADE7B13"/>
    <w:rsid w:val="3B133650"/>
    <w:rsid w:val="3B33003A"/>
    <w:rsid w:val="3B6224F2"/>
    <w:rsid w:val="3B6667AC"/>
    <w:rsid w:val="3BA832F7"/>
    <w:rsid w:val="3BAB30D0"/>
    <w:rsid w:val="3BB608F0"/>
    <w:rsid w:val="3BD27B18"/>
    <w:rsid w:val="3BED5478"/>
    <w:rsid w:val="3BF51683"/>
    <w:rsid w:val="3C1B3DE0"/>
    <w:rsid w:val="3C283B5F"/>
    <w:rsid w:val="3C2B60EC"/>
    <w:rsid w:val="3C386988"/>
    <w:rsid w:val="3C421580"/>
    <w:rsid w:val="3C456208"/>
    <w:rsid w:val="3C6034D6"/>
    <w:rsid w:val="3C8467A3"/>
    <w:rsid w:val="3CB07D8E"/>
    <w:rsid w:val="3CB625DB"/>
    <w:rsid w:val="3CBE16E0"/>
    <w:rsid w:val="3CED228F"/>
    <w:rsid w:val="3D5A1D92"/>
    <w:rsid w:val="3DD43EB3"/>
    <w:rsid w:val="3DD73B66"/>
    <w:rsid w:val="3DF26464"/>
    <w:rsid w:val="3E192E6D"/>
    <w:rsid w:val="3E23065E"/>
    <w:rsid w:val="3E4A03B3"/>
    <w:rsid w:val="3E4E5165"/>
    <w:rsid w:val="3E5B3FF8"/>
    <w:rsid w:val="3E695572"/>
    <w:rsid w:val="3E8C52B0"/>
    <w:rsid w:val="3E96387D"/>
    <w:rsid w:val="3EBA5D06"/>
    <w:rsid w:val="3EBD12BB"/>
    <w:rsid w:val="3EC2073B"/>
    <w:rsid w:val="3ED67C76"/>
    <w:rsid w:val="3F41121C"/>
    <w:rsid w:val="407707E1"/>
    <w:rsid w:val="408C3F57"/>
    <w:rsid w:val="409B4B1F"/>
    <w:rsid w:val="4110479E"/>
    <w:rsid w:val="411E335F"/>
    <w:rsid w:val="41565759"/>
    <w:rsid w:val="41586871"/>
    <w:rsid w:val="41791AE8"/>
    <w:rsid w:val="417B430D"/>
    <w:rsid w:val="41C14D1E"/>
    <w:rsid w:val="41C31810"/>
    <w:rsid w:val="41DE0C21"/>
    <w:rsid w:val="41FF6456"/>
    <w:rsid w:val="4254794C"/>
    <w:rsid w:val="4288378F"/>
    <w:rsid w:val="42E41732"/>
    <w:rsid w:val="42E6473D"/>
    <w:rsid w:val="42F457A7"/>
    <w:rsid w:val="43136037"/>
    <w:rsid w:val="43165391"/>
    <w:rsid w:val="435C0958"/>
    <w:rsid w:val="436566EB"/>
    <w:rsid w:val="437E5DF1"/>
    <w:rsid w:val="43BA5276"/>
    <w:rsid w:val="43F403A7"/>
    <w:rsid w:val="441D403E"/>
    <w:rsid w:val="441F6CF2"/>
    <w:rsid w:val="44223C91"/>
    <w:rsid w:val="447D7F4A"/>
    <w:rsid w:val="44C54009"/>
    <w:rsid w:val="44D34B49"/>
    <w:rsid w:val="452F03F3"/>
    <w:rsid w:val="4539438F"/>
    <w:rsid w:val="45475441"/>
    <w:rsid w:val="458425B9"/>
    <w:rsid w:val="45920F4C"/>
    <w:rsid w:val="45A4038F"/>
    <w:rsid w:val="45B20519"/>
    <w:rsid w:val="45CD4B22"/>
    <w:rsid w:val="45E30046"/>
    <w:rsid w:val="46033B5F"/>
    <w:rsid w:val="4650370C"/>
    <w:rsid w:val="46535D19"/>
    <w:rsid w:val="46626FAC"/>
    <w:rsid w:val="46676AC5"/>
    <w:rsid w:val="46690BD8"/>
    <w:rsid w:val="46973DBE"/>
    <w:rsid w:val="46BF399F"/>
    <w:rsid w:val="46FB7BE7"/>
    <w:rsid w:val="471A45C8"/>
    <w:rsid w:val="47685334"/>
    <w:rsid w:val="477C13E6"/>
    <w:rsid w:val="478668E5"/>
    <w:rsid w:val="47CF25B1"/>
    <w:rsid w:val="47D25D0B"/>
    <w:rsid w:val="47D41CBE"/>
    <w:rsid w:val="47E349BA"/>
    <w:rsid w:val="47EF5AE8"/>
    <w:rsid w:val="47F00E85"/>
    <w:rsid w:val="47F24CA4"/>
    <w:rsid w:val="4812708C"/>
    <w:rsid w:val="48134B98"/>
    <w:rsid w:val="48323855"/>
    <w:rsid w:val="484A0E2B"/>
    <w:rsid w:val="485338EE"/>
    <w:rsid w:val="486E796D"/>
    <w:rsid w:val="488614E3"/>
    <w:rsid w:val="4887159B"/>
    <w:rsid w:val="488E77FF"/>
    <w:rsid w:val="48901E68"/>
    <w:rsid w:val="48B06F92"/>
    <w:rsid w:val="492035B2"/>
    <w:rsid w:val="492842DC"/>
    <w:rsid w:val="493459F4"/>
    <w:rsid w:val="493D6673"/>
    <w:rsid w:val="4942361B"/>
    <w:rsid w:val="495C26F3"/>
    <w:rsid w:val="496B5605"/>
    <w:rsid w:val="49AD58A6"/>
    <w:rsid w:val="49AF0F24"/>
    <w:rsid w:val="49E548B8"/>
    <w:rsid w:val="4A2E4545"/>
    <w:rsid w:val="4A575D86"/>
    <w:rsid w:val="4AA7593D"/>
    <w:rsid w:val="4AEA0EE2"/>
    <w:rsid w:val="4B3B6612"/>
    <w:rsid w:val="4B4C2053"/>
    <w:rsid w:val="4B572E81"/>
    <w:rsid w:val="4B5F6A4E"/>
    <w:rsid w:val="4BCF41B7"/>
    <w:rsid w:val="4BE27ABD"/>
    <w:rsid w:val="4BF114C4"/>
    <w:rsid w:val="4C0B2AE8"/>
    <w:rsid w:val="4C3B26E2"/>
    <w:rsid w:val="4C6836E0"/>
    <w:rsid w:val="4C9F58D8"/>
    <w:rsid w:val="4CA86827"/>
    <w:rsid w:val="4D0D4794"/>
    <w:rsid w:val="4D1C06ED"/>
    <w:rsid w:val="4D9F3131"/>
    <w:rsid w:val="4DB647E2"/>
    <w:rsid w:val="4DC332C4"/>
    <w:rsid w:val="4DCA28A4"/>
    <w:rsid w:val="4E0A1C06"/>
    <w:rsid w:val="4EC85525"/>
    <w:rsid w:val="4EC91D2D"/>
    <w:rsid w:val="4F053468"/>
    <w:rsid w:val="4F136945"/>
    <w:rsid w:val="4F2337DC"/>
    <w:rsid w:val="4F38270D"/>
    <w:rsid w:val="4F494D51"/>
    <w:rsid w:val="4F5D6A34"/>
    <w:rsid w:val="4F7D74A2"/>
    <w:rsid w:val="4FA5329E"/>
    <w:rsid w:val="4FC57A42"/>
    <w:rsid w:val="50106568"/>
    <w:rsid w:val="50132C03"/>
    <w:rsid w:val="50172194"/>
    <w:rsid w:val="50244885"/>
    <w:rsid w:val="504B07B2"/>
    <w:rsid w:val="50722D62"/>
    <w:rsid w:val="509E6D0D"/>
    <w:rsid w:val="50BE48E1"/>
    <w:rsid w:val="50BF45B1"/>
    <w:rsid w:val="50C772E1"/>
    <w:rsid w:val="51231DEA"/>
    <w:rsid w:val="512D246D"/>
    <w:rsid w:val="513C2CCF"/>
    <w:rsid w:val="519629CD"/>
    <w:rsid w:val="51AD440F"/>
    <w:rsid w:val="51C457CC"/>
    <w:rsid w:val="51F430D3"/>
    <w:rsid w:val="522A597D"/>
    <w:rsid w:val="52427578"/>
    <w:rsid w:val="524E3DB9"/>
    <w:rsid w:val="527F6E52"/>
    <w:rsid w:val="5293157D"/>
    <w:rsid w:val="529D018B"/>
    <w:rsid w:val="52A60954"/>
    <w:rsid w:val="52EB29FF"/>
    <w:rsid w:val="5390758C"/>
    <w:rsid w:val="53B00265"/>
    <w:rsid w:val="541D39DD"/>
    <w:rsid w:val="541D7A9C"/>
    <w:rsid w:val="542D4AC5"/>
    <w:rsid w:val="5437506A"/>
    <w:rsid w:val="544046F2"/>
    <w:rsid w:val="54692FE1"/>
    <w:rsid w:val="54F75F49"/>
    <w:rsid w:val="55986144"/>
    <w:rsid w:val="55D3606E"/>
    <w:rsid w:val="55EC7130"/>
    <w:rsid w:val="56202D9B"/>
    <w:rsid w:val="5645087B"/>
    <w:rsid w:val="56875127"/>
    <w:rsid w:val="56894F80"/>
    <w:rsid w:val="569B3662"/>
    <w:rsid w:val="56AD2D63"/>
    <w:rsid w:val="56BB1405"/>
    <w:rsid w:val="56C67981"/>
    <w:rsid w:val="56DF0A43"/>
    <w:rsid w:val="56FF4E57"/>
    <w:rsid w:val="57270D46"/>
    <w:rsid w:val="57552506"/>
    <w:rsid w:val="57723665"/>
    <w:rsid w:val="577913BE"/>
    <w:rsid w:val="57792DF9"/>
    <w:rsid w:val="577F0723"/>
    <w:rsid w:val="57C45B71"/>
    <w:rsid w:val="57CB2F19"/>
    <w:rsid w:val="57F02AEA"/>
    <w:rsid w:val="58123DEE"/>
    <w:rsid w:val="585E2926"/>
    <w:rsid w:val="58AE4B70"/>
    <w:rsid w:val="58DD2DB3"/>
    <w:rsid w:val="58F22CAF"/>
    <w:rsid w:val="592B4CED"/>
    <w:rsid w:val="594352B9"/>
    <w:rsid w:val="59536104"/>
    <w:rsid w:val="595F72AF"/>
    <w:rsid w:val="59747B73"/>
    <w:rsid w:val="599A0C7E"/>
    <w:rsid w:val="59B45484"/>
    <w:rsid w:val="59BF65D5"/>
    <w:rsid w:val="59C363FA"/>
    <w:rsid w:val="59E67311"/>
    <w:rsid w:val="59E776F7"/>
    <w:rsid w:val="5A041479"/>
    <w:rsid w:val="5A1F623B"/>
    <w:rsid w:val="5A704129"/>
    <w:rsid w:val="5AC029B5"/>
    <w:rsid w:val="5ADC3C17"/>
    <w:rsid w:val="5AEF5F86"/>
    <w:rsid w:val="5B01506E"/>
    <w:rsid w:val="5B0A1D05"/>
    <w:rsid w:val="5B417F1E"/>
    <w:rsid w:val="5B4D20B8"/>
    <w:rsid w:val="5B850470"/>
    <w:rsid w:val="5B88290D"/>
    <w:rsid w:val="5B9C0527"/>
    <w:rsid w:val="5BA90CD3"/>
    <w:rsid w:val="5BAC417A"/>
    <w:rsid w:val="5BCC19AF"/>
    <w:rsid w:val="5BD7618C"/>
    <w:rsid w:val="5BFE6180"/>
    <w:rsid w:val="5C67355F"/>
    <w:rsid w:val="5C72229B"/>
    <w:rsid w:val="5C8C770A"/>
    <w:rsid w:val="5CAA564F"/>
    <w:rsid w:val="5CC13408"/>
    <w:rsid w:val="5CDC3092"/>
    <w:rsid w:val="5CE43AA8"/>
    <w:rsid w:val="5D3C02BC"/>
    <w:rsid w:val="5D652C85"/>
    <w:rsid w:val="5DC55D1B"/>
    <w:rsid w:val="5DE81550"/>
    <w:rsid w:val="5E104DB5"/>
    <w:rsid w:val="5E2356B9"/>
    <w:rsid w:val="5E2D794A"/>
    <w:rsid w:val="5E4D40F5"/>
    <w:rsid w:val="5E551184"/>
    <w:rsid w:val="5E6D0896"/>
    <w:rsid w:val="5E6D4D56"/>
    <w:rsid w:val="5E9143DA"/>
    <w:rsid w:val="5F0D1C32"/>
    <w:rsid w:val="5F164E01"/>
    <w:rsid w:val="5FA65C89"/>
    <w:rsid w:val="5FA840C8"/>
    <w:rsid w:val="5FCE7236"/>
    <w:rsid w:val="5FE77D9B"/>
    <w:rsid w:val="60325DDC"/>
    <w:rsid w:val="606312EB"/>
    <w:rsid w:val="607F0334"/>
    <w:rsid w:val="608A3F57"/>
    <w:rsid w:val="608E70A9"/>
    <w:rsid w:val="60C11306"/>
    <w:rsid w:val="60D43CF0"/>
    <w:rsid w:val="60E832F4"/>
    <w:rsid w:val="61476778"/>
    <w:rsid w:val="61730E5B"/>
    <w:rsid w:val="61BE166C"/>
    <w:rsid w:val="61C54192"/>
    <w:rsid w:val="61F63256"/>
    <w:rsid w:val="621531B5"/>
    <w:rsid w:val="62193EB4"/>
    <w:rsid w:val="621A6579"/>
    <w:rsid w:val="62204BFC"/>
    <w:rsid w:val="622439E1"/>
    <w:rsid w:val="622A11DE"/>
    <w:rsid w:val="62371C9D"/>
    <w:rsid w:val="6269243D"/>
    <w:rsid w:val="62E22AD7"/>
    <w:rsid w:val="62EC7E5E"/>
    <w:rsid w:val="630F17FC"/>
    <w:rsid w:val="634E4F86"/>
    <w:rsid w:val="638B02D8"/>
    <w:rsid w:val="638B3151"/>
    <w:rsid w:val="63CB301C"/>
    <w:rsid w:val="64386318"/>
    <w:rsid w:val="643F6D26"/>
    <w:rsid w:val="64882A27"/>
    <w:rsid w:val="64A47645"/>
    <w:rsid w:val="64C6395D"/>
    <w:rsid w:val="64D771FD"/>
    <w:rsid w:val="64DA0D31"/>
    <w:rsid w:val="65282D5B"/>
    <w:rsid w:val="65287449"/>
    <w:rsid w:val="65312DB1"/>
    <w:rsid w:val="656E190F"/>
    <w:rsid w:val="659A1EE7"/>
    <w:rsid w:val="659C1018"/>
    <w:rsid w:val="65B83F24"/>
    <w:rsid w:val="65C62D43"/>
    <w:rsid w:val="65D476B8"/>
    <w:rsid w:val="65E630DC"/>
    <w:rsid w:val="662C5350"/>
    <w:rsid w:val="6656254B"/>
    <w:rsid w:val="66CC083B"/>
    <w:rsid w:val="66F67E0E"/>
    <w:rsid w:val="66FF38BB"/>
    <w:rsid w:val="670B29C7"/>
    <w:rsid w:val="67153C67"/>
    <w:rsid w:val="67242BCD"/>
    <w:rsid w:val="67A1753F"/>
    <w:rsid w:val="67A239BE"/>
    <w:rsid w:val="67B52946"/>
    <w:rsid w:val="67DD0BF3"/>
    <w:rsid w:val="67F80B3F"/>
    <w:rsid w:val="68232E28"/>
    <w:rsid w:val="68587301"/>
    <w:rsid w:val="68DB1E0D"/>
    <w:rsid w:val="68DF0BDA"/>
    <w:rsid w:val="68FA40BD"/>
    <w:rsid w:val="694B1342"/>
    <w:rsid w:val="69556629"/>
    <w:rsid w:val="696F1A62"/>
    <w:rsid w:val="69970CB0"/>
    <w:rsid w:val="699961CB"/>
    <w:rsid w:val="6A0D20AD"/>
    <w:rsid w:val="6A1F0E35"/>
    <w:rsid w:val="6A407AB3"/>
    <w:rsid w:val="6A447809"/>
    <w:rsid w:val="6A555501"/>
    <w:rsid w:val="6A5B61E2"/>
    <w:rsid w:val="6AA53BF5"/>
    <w:rsid w:val="6C240D10"/>
    <w:rsid w:val="6C4914DA"/>
    <w:rsid w:val="6C9007F7"/>
    <w:rsid w:val="6D6C6EDB"/>
    <w:rsid w:val="6D8427EE"/>
    <w:rsid w:val="6D8A2DAB"/>
    <w:rsid w:val="6DBC55CC"/>
    <w:rsid w:val="6DCD00DD"/>
    <w:rsid w:val="6DD33616"/>
    <w:rsid w:val="6E0A74B9"/>
    <w:rsid w:val="6E1E7169"/>
    <w:rsid w:val="6E640372"/>
    <w:rsid w:val="6E835D78"/>
    <w:rsid w:val="6E906377"/>
    <w:rsid w:val="6EAC5256"/>
    <w:rsid w:val="6EBA6FC6"/>
    <w:rsid w:val="6EE7576E"/>
    <w:rsid w:val="6F606746"/>
    <w:rsid w:val="6F8424BE"/>
    <w:rsid w:val="6F8975F2"/>
    <w:rsid w:val="6FA163A0"/>
    <w:rsid w:val="6FBB78F6"/>
    <w:rsid w:val="6FC52A74"/>
    <w:rsid w:val="70332239"/>
    <w:rsid w:val="706E7111"/>
    <w:rsid w:val="707704F8"/>
    <w:rsid w:val="70B051F3"/>
    <w:rsid w:val="70EB02B8"/>
    <w:rsid w:val="70F75D2A"/>
    <w:rsid w:val="71095BBC"/>
    <w:rsid w:val="7137155C"/>
    <w:rsid w:val="71552285"/>
    <w:rsid w:val="716A0EDB"/>
    <w:rsid w:val="719B7F30"/>
    <w:rsid w:val="71F55DA7"/>
    <w:rsid w:val="720A6E64"/>
    <w:rsid w:val="7216777D"/>
    <w:rsid w:val="725B719D"/>
    <w:rsid w:val="726C721C"/>
    <w:rsid w:val="729D6318"/>
    <w:rsid w:val="72A71467"/>
    <w:rsid w:val="72C61838"/>
    <w:rsid w:val="72F345F4"/>
    <w:rsid w:val="73124222"/>
    <w:rsid w:val="736D576E"/>
    <w:rsid w:val="73726D43"/>
    <w:rsid w:val="738859E4"/>
    <w:rsid w:val="738E4832"/>
    <w:rsid w:val="73CB617F"/>
    <w:rsid w:val="73D54D2F"/>
    <w:rsid w:val="74393A30"/>
    <w:rsid w:val="747B7E64"/>
    <w:rsid w:val="747E2AA2"/>
    <w:rsid w:val="74973F82"/>
    <w:rsid w:val="74B8512B"/>
    <w:rsid w:val="75102BA6"/>
    <w:rsid w:val="75157FF9"/>
    <w:rsid w:val="751B3924"/>
    <w:rsid w:val="753D0EF9"/>
    <w:rsid w:val="754B3A1B"/>
    <w:rsid w:val="75571F8C"/>
    <w:rsid w:val="755C7CC6"/>
    <w:rsid w:val="7574322F"/>
    <w:rsid w:val="75A76604"/>
    <w:rsid w:val="75B85D16"/>
    <w:rsid w:val="75B96BD7"/>
    <w:rsid w:val="75E527F5"/>
    <w:rsid w:val="761E6A3A"/>
    <w:rsid w:val="76320BDB"/>
    <w:rsid w:val="765D55FF"/>
    <w:rsid w:val="76826938"/>
    <w:rsid w:val="76A01B19"/>
    <w:rsid w:val="76AD37D7"/>
    <w:rsid w:val="76D90BB3"/>
    <w:rsid w:val="76E732D0"/>
    <w:rsid w:val="76E946ED"/>
    <w:rsid w:val="770C71DA"/>
    <w:rsid w:val="772C309E"/>
    <w:rsid w:val="773D3837"/>
    <w:rsid w:val="77862AAD"/>
    <w:rsid w:val="77BB67C5"/>
    <w:rsid w:val="77E06092"/>
    <w:rsid w:val="77EC1E99"/>
    <w:rsid w:val="77EF31E3"/>
    <w:rsid w:val="782E0CE5"/>
    <w:rsid w:val="783469F0"/>
    <w:rsid w:val="783B3DB6"/>
    <w:rsid w:val="787A4610"/>
    <w:rsid w:val="788F31FC"/>
    <w:rsid w:val="78B36FA6"/>
    <w:rsid w:val="790A7749"/>
    <w:rsid w:val="79273991"/>
    <w:rsid w:val="794E510A"/>
    <w:rsid w:val="79507C98"/>
    <w:rsid w:val="797B41A3"/>
    <w:rsid w:val="798429EE"/>
    <w:rsid w:val="79A8601A"/>
    <w:rsid w:val="79D83E7F"/>
    <w:rsid w:val="79F268FD"/>
    <w:rsid w:val="7A28432B"/>
    <w:rsid w:val="7A6723EB"/>
    <w:rsid w:val="7A886B78"/>
    <w:rsid w:val="7AA439BB"/>
    <w:rsid w:val="7AE833C0"/>
    <w:rsid w:val="7B08368B"/>
    <w:rsid w:val="7B1720C9"/>
    <w:rsid w:val="7B2A3282"/>
    <w:rsid w:val="7B34728E"/>
    <w:rsid w:val="7B6C4885"/>
    <w:rsid w:val="7BDC6E20"/>
    <w:rsid w:val="7BE95D3C"/>
    <w:rsid w:val="7C265665"/>
    <w:rsid w:val="7C5B42E7"/>
    <w:rsid w:val="7C823CE5"/>
    <w:rsid w:val="7C877BA0"/>
    <w:rsid w:val="7C96056C"/>
    <w:rsid w:val="7CD02500"/>
    <w:rsid w:val="7CD0585C"/>
    <w:rsid w:val="7CFF1B58"/>
    <w:rsid w:val="7D1F5B56"/>
    <w:rsid w:val="7DBE640B"/>
    <w:rsid w:val="7E1E5C47"/>
    <w:rsid w:val="7E7F31B5"/>
    <w:rsid w:val="7E844B70"/>
    <w:rsid w:val="7E8B7225"/>
    <w:rsid w:val="7E9A3264"/>
    <w:rsid w:val="7EA00791"/>
    <w:rsid w:val="7EA379F5"/>
    <w:rsid w:val="7EBA7036"/>
    <w:rsid w:val="7F3455A6"/>
    <w:rsid w:val="7F56403A"/>
    <w:rsid w:val="7F654D83"/>
    <w:rsid w:val="7F663E9B"/>
    <w:rsid w:val="7F7D310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83" w:firstLineChars="200"/>
      <w:jc w:val="both"/>
    </w:pPr>
    <w:rPr>
      <w:rFonts w:eastAsia="微软雅黑 Light" w:asciiTheme="minorHAnsi" w:hAnsiTheme="minorHAnsi" w:cstheme="minorBidi"/>
      <w:kern w:val="2"/>
      <w:sz w:val="32"/>
      <w:szCs w:val="24"/>
      <w:lang w:val="en-US" w:eastAsia="zh-CN" w:bidi="ar-SA"/>
    </w:rPr>
  </w:style>
  <w:style w:type="paragraph" w:styleId="2">
    <w:name w:val="heading 1"/>
    <w:basedOn w:val="1"/>
    <w:next w:val="1"/>
    <w:qFormat/>
    <w:uiPriority w:val="9"/>
    <w:pPr>
      <w:keepNext/>
      <w:keepLines/>
      <w:numPr>
        <w:ilvl w:val="0"/>
        <w:numId w:val="1"/>
      </w:numPr>
      <w:spacing w:before="100" w:beforeLines="100" w:after="100" w:afterLines="100" w:line="540" w:lineRule="atLeast"/>
      <w:ind w:firstLine="0" w:firstLineChars="0"/>
      <w:jc w:val="center"/>
      <w:outlineLvl w:val="0"/>
    </w:pPr>
    <w:rPr>
      <w:rFonts w:eastAsia="黑体"/>
      <w:b/>
      <w:bCs/>
      <w:kern w:val="44"/>
      <w:szCs w:val="44"/>
    </w:rPr>
  </w:style>
  <w:style w:type="paragraph" w:styleId="3">
    <w:name w:val="heading 2"/>
    <w:basedOn w:val="1"/>
    <w:next w:val="1"/>
    <w:unhideWhenUsed/>
    <w:qFormat/>
    <w:uiPriority w:val="9"/>
    <w:pPr>
      <w:keepNext/>
      <w:keepLines/>
      <w:numPr>
        <w:ilvl w:val="0"/>
        <w:numId w:val="2"/>
      </w:numPr>
      <w:ind w:firstLine="0" w:firstLineChars="0"/>
      <w:outlineLvl w:val="1"/>
    </w:pPr>
    <w:rPr>
      <w:rFonts w:cstheme="majorBidi"/>
      <w:bCs/>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5"/>
    <w:qFormat/>
    <w:uiPriority w:val="0"/>
    <w:pPr>
      <w:jc w:val="left"/>
    </w:pPr>
  </w:style>
  <w:style w:type="paragraph" w:styleId="5">
    <w:name w:val="Balloon Text"/>
    <w:basedOn w:val="1"/>
    <w:link w:val="21"/>
    <w:qFormat/>
    <w:uiPriority w:val="0"/>
    <w:pPr>
      <w:spacing w:line="240" w:lineRule="auto"/>
    </w:pPr>
    <w:rPr>
      <w:sz w:val="18"/>
      <w:szCs w:val="18"/>
    </w:rPr>
  </w:style>
  <w:style w:type="paragraph" w:styleId="6">
    <w:name w:val="footer"/>
    <w:basedOn w:val="1"/>
    <w:link w:val="24"/>
    <w:qFormat/>
    <w:uiPriority w:val="99"/>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style>
  <w:style w:type="paragraph" w:styleId="9">
    <w:name w:val="toc 2"/>
    <w:basedOn w:val="1"/>
    <w:next w:val="1"/>
    <w:qFormat/>
    <w:uiPriority w:val="39"/>
    <w:pPr>
      <w:tabs>
        <w:tab w:val="right" w:leader="dot" w:pos="8833"/>
      </w:tabs>
      <w:spacing w:line="400" w:lineRule="exact"/>
    </w:pPr>
    <w:rPr>
      <w:rFonts w:ascii="宋体"/>
      <w:szCs w:val="21"/>
    </w:rPr>
  </w:style>
  <w:style w:type="paragraph" w:styleId="10">
    <w:name w:val="Normal (Web)"/>
    <w:basedOn w:val="1"/>
    <w:qFormat/>
    <w:uiPriority w:val="0"/>
    <w:pPr>
      <w:spacing w:line="240" w:lineRule="auto"/>
      <w:ind w:firstLine="0" w:firstLineChars="0"/>
      <w:jc w:val="left"/>
    </w:pPr>
    <w:rPr>
      <w:rFonts w:ascii="Times New Roman" w:hAnsi="Times New Roman" w:eastAsia="宋体" w:cs="Times New Roman"/>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Emphasis"/>
    <w:basedOn w:val="13"/>
    <w:qFormat/>
    <w:uiPriority w:val="0"/>
    <w:rPr>
      <w:i/>
    </w:rPr>
  </w:style>
  <w:style w:type="character" w:styleId="16">
    <w:name w:val="Hyperlink"/>
    <w:basedOn w:val="13"/>
    <w:unhideWhenUsed/>
    <w:qFormat/>
    <w:uiPriority w:val="99"/>
    <w:rPr>
      <w:color w:val="0563C1" w:themeColor="hyperlink"/>
      <w:u w:val="single"/>
      <w14:textFill>
        <w14:solidFill>
          <w14:schemeClr w14:val="hlink"/>
        </w14:solidFill>
      </w14:textFill>
    </w:rPr>
  </w:style>
  <w:style w:type="character" w:styleId="17">
    <w:name w:val="annotation reference"/>
    <w:basedOn w:val="13"/>
    <w:qFormat/>
    <w:uiPriority w:val="0"/>
    <w:rPr>
      <w:sz w:val="21"/>
      <w:szCs w:val="21"/>
    </w:rPr>
  </w:style>
  <w:style w:type="paragraph" w:customStyle="1" w:styleId="18">
    <w:name w:val="WPSOffice手动目录 1"/>
    <w:qFormat/>
    <w:uiPriority w:val="0"/>
    <w:rPr>
      <w:rFonts w:ascii="Calibri" w:hAnsi="Calibri" w:eastAsia="宋体" w:cs="Times New Roman"/>
      <w:lang w:val="en-US" w:eastAsia="zh-CN" w:bidi="ar-SA"/>
    </w:rPr>
  </w:style>
  <w:style w:type="paragraph" w:customStyle="1" w:styleId="19">
    <w:name w:val="样式1"/>
    <w:basedOn w:val="1"/>
    <w:qFormat/>
    <w:uiPriority w:val="0"/>
    <w:pPr>
      <w:spacing w:line="240" w:lineRule="auto"/>
      <w:ind w:firstLine="0" w:firstLineChars="0"/>
    </w:pPr>
    <w:rPr>
      <w:sz w:val="21"/>
    </w:rPr>
  </w:style>
  <w:style w:type="paragraph" w:customStyle="1" w:styleId="20">
    <w:name w:val="_Style 5"/>
    <w:basedOn w:val="2"/>
    <w:next w:val="1"/>
    <w:unhideWhenUsed/>
    <w:qFormat/>
    <w:uiPriority w:val="39"/>
    <w:pPr>
      <w:widowControl/>
      <w:spacing w:before="240" w:after="0" w:line="259" w:lineRule="auto"/>
      <w:jc w:val="left"/>
      <w:outlineLvl w:val="9"/>
    </w:pPr>
    <w:rPr>
      <w:rFonts w:ascii="等线 Light" w:hAnsi="等线 Light" w:eastAsia="等线 Light" w:cs="Times New Roman"/>
      <w:b w:val="0"/>
      <w:color w:val="2F5496"/>
      <w:kern w:val="0"/>
      <w:szCs w:val="32"/>
    </w:rPr>
  </w:style>
  <w:style w:type="character" w:customStyle="1" w:styleId="21">
    <w:name w:val="批注框文本 字符"/>
    <w:basedOn w:val="13"/>
    <w:link w:val="5"/>
    <w:qFormat/>
    <w:uiPriority w:val="0"/>
    <w:rPr>
      <w:rFonts w:eastAsia="仿宋_GB2312" w:asciiTheme="minorHAnsi" w:hAnsiTheme="minorHAnsi" w:cstheme="minorBidi"/>
      <w:kern w:val="2"/>
      <w:sz w:val="18"/>
      <w:szCs w:val="18"/>
    </w:rPr>
  </w:style>
  <w:style w:type="paragraph" w:styleId="22">
    <w:name w:val="List Paragraph"/>
    <w:basedOn w:val="1"/>
    <w:qFormat/>
    <w:uiPriority w:val="34"/>
    <w:pPr>
      <w:ind w:firstLine="420"/>
    </w:pPr>
  </w:style>
  <w:style w:type="table" w:customStyle="1" w:styleId="23">
    <w:name w:val="网格型1"/>
    <w:basedOn w:val="11"/>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页脚 字符"/>
    <w:basedOn w:val="13"/>
    <w:link w:val="6"/>
    <w:qFormat/>
    <w:uiPriority w:val="99"/>
    <w:rPr>
      <w:rFonts w:eastAsia="微软雅黑 Light" w:asciiTheme="minorHAnsi" w:hAnsiTheme="minorHAnsi" w:cstheme="minorBidi"/>
      <w:kern w:val="2"/>
      <w:sz w:val="18"/>
      <w:szCs w:val="18"/>
    </w:rPr>
  </w:style>
  <w:style w:type="character" w:customStyle="1" w:styleId="25">
    <w:name w:val="批注文字 字符"/>
    <w:basedOn w:val="13"/>
    <w:link w:val="4"/>
    <w:qFormat/>
    <w:uiPriority w:val="0"/>
    <w:rPr>
      <w:rFonts w:eastAsia="微软雅黑 Light" w:asciiTheme="minorHAnsi" w:hAnsiTheme="minorHAnsi" w:cstheme="minorBidi"/>
      <w:kern w:val="2"/>
      <w:sz w:val="32"/>
      <w:szCs w:val="24"/>
    </w:rPr>
  </w:style>
  <w:style w:type="character" w:styleId="26">
    <w:name w:val="Placeholder Text"/>
    <w:basedOn w:val="13"/>
    <w:semiHidden/>
    <w:qFormat/>
    <w:uiPriority w:val="99"/>
    <w:rPr>
      <w:color w:val="808080"/>
    </w:rPr>
  </w:style>
  <w:style w:type="paragraph" w:customStyle="1" w:styleId="27">
    <w:name w:val="修订1"/>
    <w:hidden/>
    <w:semiHidden/>
    <w:qFormat/>
    <w:uiPriority w:val="99"/>
    <w:rPr>
      <w:rFonts w:eastAsia="微软雅黑 Light" w:asciiTheme="minorHAnsi" w:hAnsiTheme="minorHAnsi"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47929-4537-42EC-82A1-3F2D36594304}">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37</Pages>
  <Words>18514</Words>
  <Characters>18949</Characters>
  <Lines>148</Lines>
  <Paragraphs>41</Paragraphs>
  <TotalTime>22</TotalTime>
  <ScaleCrop>false</ScaleCrop>
  <LinksUpToDate>false</LinksUpToDate>
  <CharactersWithSpaces>19047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2021-01-19T02:15:00Z</dcterms:created>
  <dc:creator>yc</dc:creator>
  <cp:lastModifiedBy>庞门左道</cp:lastModifiedBy>
  <cp:lastPrinted>2023-11-13T06:39:00Z</cp:lastPrinted>
  <dcterms:modified xsi:type="dcterms:W3CDTF">2023-12-04T08:42:34Z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487B139FC24B4F35A9045247712AAF37_13</vt:lpwstr>
  </property>
</Properties>
</file>