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560" w:lineRule="exact"/>
        <w:ind w:left="0" w:leftChars="0" w:right="0"/>
        <w:jc w:val="left"/>
        <w:textAlignment w:val="auto"/>
        <w:rPr>
          <w:rFonts w:ascii="宋体" w:hAnsi="宋体" w:cs="宋体"/>
          <w:b/>
          <w:bCs/>
          <w:kern w:val="0"/>
          <w:sz w:val="24"/>
          <w:szCs w:val="24"/>
        </w:rPr>
      </w:pPr>
      <w:r>
        <w:rPr>
          <w:rFonts w:hint="eastAsia" w:ascii="宋体" w:hAnsi="宋体" w:cs="宋体"/>
          <w:b/>
          <w:bCs/>
          <w:kern w:val="0"/>
          <w:sz w:val="24"/>
          <w:szCs w:val="24"/>
        </w:rPr>
        <w:t>附件</w:t>
      </w:r>
      <w:r>
        <w:rPr>
          <w:rFonts w:ascii="宋体" w:hAnsi="宋体" w:cs="宋体"/>
          <w:b/>
          <w:bCs/>
          <w:kern w:val="0"/>
          <w:sz w:val="24"/>
          <w:szCs w:val="24"/>
        </w:rPr>
        <w:t>1</w:t>
      </w:r>
    </w:p>
    <w:p>
      <w:pPr>
        <w:keepNext w:val="0"/>
        <w:keepLines w:val="0"/>
        <w:pageBreakBefore w:val="0"/>
        <w:kinsoku/>
        <w:overflowPunct/>
        <w:topLinePunct w:val="0"/>
        <w:autoSpaceDE/>
        <w:autoSpaceDN/>
        <w:bidi w:val="0"/>
        <w:spacing w:line="560" w:lineRule="exact"/>
        <w:ind w:left="0" w:leftChars="0" w:right="0"/>
        <w:jc w:val="center"/>
        <w:textAlignment w:val="auto"/>
        <w:rPr>
          <w:rFonts w:ascii="宋体" w:hAnsi="宋体" w:cs="宋体"/>
          <w:b/>
          <w:bCs/>
          <w:kern w:val="0"/>
          <w:sz w:val="44"/>
          <w:szCs w:val="44"/>
        </w:rPr>
      </w:pPr>
    </w:p>
    <w:p>
      <w:pPr>
        <w:keepNext w:val="0"/>
        <w:keepLines w:val="0"/>
        <w:pageBreakBefore w:val="0"/>
        <w:kinsoku/>
        <w:overflowPunct/>
        <w:topLinePunct w:val="0"/>
        <w:autoSpaceDE/>
        <w:autoSpaceDN/>
        <w:bidi w:val="0"/>
        <w:spacing w:line="560" w:lineRule="exact"/>
        <w:ind w:left="0" w:leftChars="0" w:right="0"/>
        <w:jc w:val="center"/>
        <w:textAlignment w:val="auto"/>
        <w:rPr>
          <w:rFonts w:ascii="宋体" w:hAnsi="宋体" w:cs="宋体"/>
          <w:b/>
          <w:bCs/>
          <w:kern w:val="0"/>
          <w:sz w:val="44"/>
          <w:szCs w:val="44"/>
        </w:rPr>
      </w:pPr>
    </w:p>
    <w:p>
      <w:pPr>
        <w:keepNext w:val="0"/>
        <w:keepLines w:val="0"/>
        <w:pageBreakBefore w:val="0"/>
        <w:kinsoku/>
        <w:overflowPunct/>
        <w:topLinePunct w:val="0"/>
        <w:autoSpaceDE/>
        <w:autoSpaceDN/>
        <w:bidi w:val="0"/>
        <w:spacing w:line="560" w:lineRule="exact"/>
        <w:ind w:left="0" w:leftChars="0" w:right="0"/>
        <w:jc w:val="center"/>
        <w:textAlignment w:val="auto"/>
        <w:rPr>
          <w:rFonts w:ascii="宋体" w:hAnsi="宋体" w:cs="宋体"/>
          <w:b/>
          <w:bCs/>
          <w:kern w:val="0"/>
          <w:sz w:val="44"/>
          <w:szCs w:val="44"/>
        </w:rPr>
      </w:pPr>
    </w:p>
    <w:p>
      <w:pPr>
        <w:keepNext w:val="0"/>
        <w:keepLines w:val="0"/>
        <w:pageBreakBefore w:val="0"/>
        <w:kinsoku/>
        <w:overflowPunct/>
        <w:topLinePunct w:val="0"/>
        <w:autoSpaceDE/>
        <w:autoSpaceDN/>
        <w:bidi w:val="0"/>
        <w:spacing w:line="560" w:lineRule="exact"/>
        <w:ind w:left="0" w:leftChars="0" w:right="0"/>
        <w:jc w:val="center"/>
        <w:textAlignment w:val="auto"/>
        <w:rPr>
          <w:rFonts w:hint="eastAsia" w:ascii="宋体" w:hAnsi="宋体" w:cs="宋体"/>
          <w:b/>
          <w:bCs/>
          <w:kern w:val="0"/>
          <w:sz w:val="44"/>
          <w:szCs w:val="44"/>
          <w:lang w:eastAsia="zh-CN"/>
        </w:rPr>
      </w:pPr>
      <w:r>
        <w:rPr>
          <w:rFonts w:hint="eastAsia" w:ascii="宋体" w:hAnsi="宋体" w:cs="宋体"/>
          <w:b/>
          <w:bCs/>
          <w:kern w:val="0"/>
          <w:sz w:val="44"/>
          <w:szCs w:val="44"/>
          <w:lang w:eastAsia="zh-CN"/>
        </w:rPr>
        <w:t>皋兰县上川镇人民政府</w:t>
      </w:r>
    </w:p>
    <w:p>
      <w:pPr>
        <w:keepNext w:val="0"/>
        <w:keepLines w:val="0"/>
        <w:pageBreakBefore w:val="0"/>
        <w:kinsoku/>
        <w:overflowPunct/>
        <w:topLinePunct w:val="0"/>
        <w:autoSpaceDE/>
        <w:autoSpaceDN/>
        <w:bidi w:val="0"/>
        <w:spacing w:line="560" w:lineRule="exact"/>
        <w:ind w:left="0" w:leftChars="0" w:right="0"/>
        <w:jc w:val="center"/>
        <w:textAlignment w:val="auto"/>
        <w:rPr>
          <w:rFonts w:ascii="宋体" w:hAnsi="宋体" w:cs="宋体"/>
          <w:b/>
          <w:bCs/>
          <w:kern w:val="0"/>
          <w:sz w:val="44"/>
          <w:szCs w:val="44"/>
        </w:rPr>
        <w:sectPr>
          <w:footerReference r:id="rId3" w:type="default"/>
          <w:pgSz w:w="11906" w:h="16838"/>
          <w:pgMar w:top="1134" w:right="1134" w:bottom="1440" w:left="1276" w:header="851" w:footer="992" w:gutter="0"/>
          <w:cols w:space="720" w:num="1"/>
          <w:docGrid w:type="lines" w:linePitch="312" w:charSpace="0"/>
        </w:sectPr>
      </w:pPr>
      <w:r>
        <w:rPr>
          <w:rFonts w:hint="eastAsia" w:ascii="宋体" w:hAnsi="宋体" w:cs="宋体"/>
          <w:b/>
          <w:bCs/>
          <w:kern w:val="0"/>
          <w:sz w:val="44"/>
          <w:szCs w:val="44"/>
        </w:rPr>
        <w:t>2024年</w:t>
      </w:r>
      <w:r>
        <w:rPr>
          <w:rFonts w:hint="eastAsia" w:ascii="宋体" w:hAnsi="宋体" w:cs="宋体"/>
          <w:b/>
          <w:bCs/>
          <w:kern w:val="0"/>
          <w:sz w:val="44"/>
          <w:szCs w:val="44"/>
          <w:lang w:eastAsia="zh-CN"/>
        </w:rPr>
        <w:t>单位</w:t>
      </w:r>
      <w:r>
        <w:rPr>
          <w:rFonts w:hint="eastAsia" w:ascii="宋体" w:hAnsi="宋体" w:cs="宋体"/>
          <w:b/>
          <w:bCs/>
          <w:kern w:val="0"/>
          <w:sz w:val="44"/>
          <w:szCs w:val="44"/>
        </w:rPr>
        <w:t>预算公开情况说明</w:t>
      </w:r>
    </w:p>
    <w:p>
      <w:pPr>
        <w:keepNext w:val="0"/>
        <w:keepLines w:val="0"/>
        <w:pageBreakBefore w:val="0"/>
        <w:kinsoku/>
        <w:overflowPunct/>
        <w:topLinePunct w:val="0"/>
        <w:autoSpaceDE/>
        <w:autoSpaceDN/>
        <w:bidi w:val="0"/>
        <w:spacing w:line="560" w:lineRule="exact"/>
        <w:ind w:left="0" w:leftChars="0" w:right="0"/>
        <w:jc w:val="center"/>
        <w:textAlignment w:val="auto"/>
        <w:rPr>
          <w:rFonts w:ascii="宋体" w:hAnsi="宋体" w:cs="宋体"/>
          <w:b/>
          <w:bCs/>
          <w:kern w:val="0"/>
          <w:sz w:val="44"/>
          <w:szCs w:val="44"/>
        </w:rPr>
      </w:pPr>
      <w:r>
        <w:rPr>
          <w:rFonts w:hint="eastAsia" w:ascii="宋体" w:hAnsi="宋体" w:cs="宋体"/>
          <w:b/>
          <w:bCs/>
          <w:kern w:val="0"/>
          <w:sz w:val="44"/>
          <w:szCs w:val="44"/>
        </w:rPr>
        <w:t>目  录</w:t>
      </w:r>
    </w:p>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宋体"/>
          <w:b/>
          <w:bCs/>
          <w:kern w:val="0"/>
          <w:sz w:val="44"/>
          <w:szCs w:val="44"/>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黑体" w:eastAsia="黑体"/>
          <w:color w:val="000000"/>
          <w:sz w:val="18"/>
          <w:szCs w:val="18"/>
        </w:rPr>
      </w:pPr>
    </w:p>
    <w:p>
      <w:pPr>
        <w:keepNext w:val="0"/>
        <w:keepLines w:val="0"/>
        <w:pageBreakBefore w:val="0"/>
        <w:kinsoku/>
        <w:overflowPunct/>
        <w:topLinePunct w:val="0"/>
        <w:autoSpaceDE/>
        <w:autoSpaceDN/>
        <w:bidi w:val="0"/>
        <w:spacing w:line="560" w:lineRule="exact"/>
        <w:ind w:left="0" w:leftChars="0" w:right="0" w:firstLine="602" w:firstLineChars="200"/>
        <w:jc w:val="both"/>
        <w:textAlignment w:val="auto"/>
        <w:rPr>
          <w:rFonts w:ascii="仿宋_GB2312" w:hAnsi="仿宋" w:eastAsia="仿宋_GB2312"/>
          <w:b/>
          <w:color w:val="000000"/>
          <w:sz w:val="30"/>
          <w:szCs w:val="30"/>
        </w:rPr>
      </w:pPr>
      <w:r>
        <w:rPr>
          <w:rFonts w:hint="eastAsia" w:ascii="仿宋_GB2312" w:hAnsi="仿宋" w:eastAsia="仿宋_GB2312"/>
          <w:b/>
          <w:color w:val="000000"/>
          <w:sz w:val="30"/>
          <w:szCs w:val="30"/>
        </w:rPr>
        <w:t>第一部分 单位基本概况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一、单位职责</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二、机构设置情况</w:t>
      </w:r>
    </w:p>
    <w:p>
      <w:pPr>
        <w:keepNext w:val="0"/>
        <w:keepLines w:val="0"/>
        <w:pageBreakBefore w:val="0"/>
        <w:kinsoku/>
        <w:overflowPunct/>
        <w:topLinePunct w:val="0"/>
        <w:autoSpaceDE/>
        <w:autoSpaceDN/>
        <w:bidi w:val="0"/>
        <w:spacing w:line="560" w:lineRule="exact"/>
        <w:ind w:left="0" w:leftChars="0" w:right="0" w:firstLine="602" w:firstLineChars="200"/>
        <w:jc w:val="both"/>
        <w:textAlignment w:val="auto"/>
        <w:rPr>
          <w:rFonts w:ascii="仿宋_GB2312" w:hAnsi="仿宋" w:eastAsia="仿宋_GB2312"/>
          <w:b/>
          <w:color w:val="000000"/>
          <w:sz w:val="30"/>
          <w:szCs w:val="30"/>
        </w:rPr>
      </w:pPr>
      <w:r>
        <w:rPr>
          <w:rFonts w:hint="eastAsia" w:ascii="仿宋_GB2312" w:hAnsi="仿宋" w:eastAsia="仿宋_GB2312"/>
          <w:b/>
          <w:color w:val="000000"/>
          <w:sz w:val="30"/>
          <w:szCs w:val="30"/>
        </w:rPr>
        <w:t>第二部分 2024年单位预算情况说明</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一、收支总体情况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二、一般公共预算情况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三、一般公共预算财政拨款“三公”经费、培训费、会议费等情况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四、一般公共预算财政拨款机关运行经费情况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五、政府采购安排情况</w:t>
      </w:r>
      <w:bookmarkStart w:id="0" w:name="_GoBack"/>
      <w:bookmarkEnd w:id="0"/>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六、国有资产占用情况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七、其他重要事项情况说明</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八、预算绩效管理情况</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九、名词解释</w:t>
      </w:r>
    </w:p>
    <w:p>
      <w:pPr>
        <w:keepNext w:val="0"/>
        <w:keepLines w:val="0"/>
        <w:pageBreakBefore w:val="0"/>
        <w:kinsoku/>
        <w:overflowPunct/>
        <w:topLinePunct w:val="0"/>
        <w:autoSpaceDE/>
        <w:autoSpaceDN/>
        <w:bidi w:val="0"/>
        <w:spacing w:line="560" w:lineRule="exact"/>
        <w:ind w:left="0" w:leftChars="0" w:right="0" w:firstLine="602" w:firstLineChars="200"/>
        <w:jc w:val="both"/>
        <w:textAlignment w:val="auto"/>
        <w:rPr>
          <w:rFonts w:ascii="仿宋_GB2312" w:hAnsi="仿宋" w:eastAsia="仿宋_GB2312"/>
          <w:b/>
          <w:color w:val="000000"/>
          <w:sz w:val="30"/>
          <w:szCs w:val="30"/>
        </w:rPr>
      </w:pPr>
      <w:r>
        <w:rPr>
          <w:rFonts w:hint="eastAsia" w:ascii="仿宋_GB2312" w:hAnsi="仿宋" w:eastAsia="仿宋_GB2312"/>
          <w:b/>
          <w:color w:val="000000"/>
          <w:sz w:val="30"/>
          <w:szCs w:val="30"/>
        </w:rPr>
        <w:t>第三部分 2024年单位预算公开表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一、单位收支总体情况表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二、单位收入总体情况表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三、单位支出总体情况表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四、财政拨款收支总体情况表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五、财政拨款支出表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六、一般公共预算支出情况表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七、一般公共预算基本支出情况表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pacing w:val="-20"/>
          <w:sz w:val="30"/>
          <w:szCs w:val="30"/>
        </w:rPr>
      </w:pPr>
      <w:r>
        <w:rPr>
          <w:rFonts w:hint="eastAsia" w:ascii="仿宋_GB2312" w:hAnsi="仿宋" w:eastAsia="仿宋_GB2312"/>
          <w:color w:val="000000"/>
          <w:sz w:val="30"/>
          <w:szCs w:val="30"/>
        </w:rPr>
        <w:t>八、</w:t>
      </w:r>
      <w:r>
        <w:rPr>
          <w:rFonts w:hint="eastAsia" w:ascii="仿宋_GB2312" w:hAnsi="仿宋" w:eastAsia="仿宋_GB2312"/>
          <w:color w:val="000000"/>
          <w:spacing w:val="-20"/>
          <w:sz w:val="30"/>
          <w:szCs w:val="30"/>
        </w:rPr>
        <w:t>一般公共预算财政拨款“三公”经费、会议费、培训费支出情况表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九、一般公共预算财政拨款机关运行经费表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十、政府性基金预算支出情况表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十一、部门管理转移支付表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十二、国有资本经营预算支出情况表</w:t>
      </w:r>
    </w:p>
    <w:p>
      <w:pPr>
        <w:keepNext w:val="0"/>
        <w:keepLines w:val="0"/>
        <w:pageBreakBefore w:val="0"/>
        <w:kinsoku/>
        <w:overflowPunct/>
        <w:topLinePunct w:val="0"/>
        <w:autoSpaceDE/>
        <w:autoSpaceDN/>
        <w:bidi w:val="0"/>
        <w:spacing w:line="560" w:lineRule="exact"/>
        <w:ind w:left="0" w:leftChars="0" w:right="0" w:firstLine="600" w:firstLineChars="200"/>
        <w:jc w:val="both"/>
        <w:textAlignment w:val="auto"/>
        <w:rPr>
          <w:rFonts w:ascii="仿宋_GB2312" w:hAnsi="仿宋" w:eastAsia="仿宋_GB2312"/>
          <w:color w:val="000000"/>
          <w:sz w:val="30"/>
          <w:szCs w:val="30"/>
        </w:rPr>
      </w:pPr>
      <w:r>
        <w:rPr>
          <w:rFonts w:hint="eastAsia" w:ascii="仿宋_GB2312" w:hAnsi="仿宋" w:eastAsia="仿宋_GB2312"/>
          <w:color w:val="000000"/>
          <w:sz w:val="30"/>
          <w:szCs w:val="30"/>
        </w:rPr>
        <w:t>十三、单位整体支出绩效目标表和项目支出绩效目标表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b/>
          <w:bCs/>
          <w:kern w:val="0"/>
          <w:sz w:val="44"/>
          <w:szCs w:val="44"/>
        </w:rPr>
      </w:pPr>
    </w:p>
    <w:p>
      <w:pPr>
        <w:keepNext w:val="0"/>
        <w:keepLines w:val="0"/>
        <w:pageBreakBefore w:val="0"/>
        <w:kinsoku/>
        <w:overflowPunct/>
        <w:topLinePunct w:val="0"/>
        <w:autoSpaceDE/>
        <w:autoSpaceDN/>
        <w:bidi w:val="0"/>
        <w:spacing w:line="560" w:lineRule="exact"/>
        <w:ind w:left="0" w:leftChars="0" w:right="0" w:firstLine="562" w:firstLineChars="200"/>
        <w:jc w:val="both"/>
        <w:textAlignment w:val="auto"/>
        <w:rPr>
          <w:rFonts w:ascii="仿宋_GB2312" w:hAnsi="仿宋" w:eastAsia="仿宋_GB2312" w:cs="宋体"/>
          <w:b/>
          <w:kern w:val="0"/>
          <w:sz w:val="28"/>
          <w:szCs w:val="28"/>
        </w:rPr>
        <w:sectPr>
          <w:footerReference r:id="rId4" w:type="default"/>
          <w:pgSz w:w="11906" w:h="16838"/>
          <w:pgMar w:top="1134" w:right="1134" w:bottom="1440" w:left="1276" w:header="851" w:footer="992" w:gutter="0"/>
          <w:pgNumType w:start="1"/>
          <w:cols w:space="720" w:num="1"/>
          <w:docGrid w:type="lines" w:linePitch="312" w:charSpace="0"/>
        </w:sectPr>
      </w:pPr>
    </w:p>
    <w:p>
      <w:pPr>
        <w:keepNext w:val="0"/>
        <w:keepLines w:val="0"/>
        <w:pageBreakBefore w:val="0"/>
        <w:kinsoku/>
        <w:overflowPunct/>
        <w:topLinePunct w:val="0"/>
        <w:autoSpaceDE/>
        <w:autoSpaceDN/>
        <w:bidi w:val="0"/>
        <w:spacing w:line="560" w:lineRule="exact"/>
        <w:ind w:right="0"/>
        <w:jc w:val="center"/>
        <w:textAlignment w:val="auto"/>
        <w:rPr>
          <w:rFonts w:ascii="仿宋_GB2312" w:hAnsi="黑体" w:eastAsia="仿宋_GB2312" w:cs="宋体"/>
          <w:b/>
          <w:kern w:val="0"/>
          <w:sz w:val="32"/>
          <w:szCs w:val="32"/>
        </w:rPr>
      </w:pPr>
      <w:r>
        <w:rPr>
          <w:rFonts w:hint="eastAsia" w:ascii="仿宋_GB2312" w:hAnsi="黑体" w:eastAsia="仿宋_GB2312" w:cs="宋体"/>
          <w:b/>
          <w:kern w:val="0"/>
          <w:sz w:val="32"/>
          <w:szCs w:val="32"/>
        </w:rPr>
        <w:t>前</w:t>
      </w:r>
      <w:r>
        <w:rPr>
          <w:rFonts w:hint="eastAsia" w:ascii="仿宋_GB2312" w:hAnsi="黑体" w:eastAsia="仿宋_GB2312" w:cs="宋体"/>
          <w:b/>
          <w:kern w:val="0"/>
          <w:sz w:val="32"/>
          <w:szCs w:val="32"/>
          <w:lang w:val="en-US" w:eastAsia="zh-CN"/>
        </w:rPr>
        <w:t xml:space="preserve">  </w:t>
      </w:r>
      <w:r>
        <w:rPr>
          <w:rFonts w:hint="eastAsia" w:ascii="仿宋_GB2312" w:hAnsi="黑体" w:eastAsia="仿宋_GB2312" w:cs="宋体"/>
          <w:b/>
          <w:kern w:val="0"/>
          <w:sz w:val="32"/>
          <w:szCs w:val="32"/>
        </w:rPr>
        <w:t>言</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cs="宋体"/>
          <w:kern w:val="0"/>
          <w:sz w:val="32"/>
          <w:szCs w:val="32"/>
        </w:rPr>
      </w:pPr>
      <w:r>
        <w:rPr>
          <w:rFonts w:hint="eastAsia" w:ascii="仿宋_GB2312" w:hAnsi="仿宋" w:eastAsia="仿宋_GB2312" w:cs="宋体"/>
          <w:kern w:val="0"/>
          <w:sz w:val="32"/>
          <w:szCs w:val="32"/>
        </w:rPr>
        <w:t>按照《中华人民共和国预算法》《中华人民共和国预算法实施条例》以及</w:t>
      </w:r>
      <w:r>
        <w:rPr>
          <w:rFonts w:ascii="仿宋_GB2312" w:hAnsi="仿宋" w:eastAsia="仿宋_GB2312" w:cs="宋体"/>
          <w:kern w:val="0"/>
          <w:sz w:val="32"/>
          <w:szCs w:val="32"/>
        </w:rPr>
        <w:t>财政部</w:t>
      </w:r>
      <w:r>
        <w:rPr>
          <w:rFonts w:hint="eastAsia" w:ascii="仿宋_GB2312" w:hAnsi="仿宋" w:eastAsia="仿宋_GB2312" w:cs="宋体"/>
          <w:kern w:val="0"/>
          <w:sz w:val="32"/>
          <w:szCs w:val="32"/>
        </w:rPr>
        <w:t>《地方预决算公开操作规程》《关于推进部门所属单位预算公开的指导意见》和《中共甘肃省委办公厅 甘肃省人民政府办公厅关于进一步推进预算公开工作的实施方案》要求，现将2024年部门预算公开如下：</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黑体" w:hAnsi="黑体" w:eastAsia="黑体" w:cs="宋体"/>
          <w:kern w:val="0"/>
          <w:sz w:val="32"/>
          <w:szCs w:val="32"/>
        </w:rPr>
      </w:pPr>
      <w:r>
        <w:rPr>
          <w:rFonts w:hint="eastAsia" w:ascii="黑体" w:hAnsi="黑体" w:eastAsia="黑体" w:cs="宋体"/>
          <w:kern w:val="0"/>
          <w:sz w:val="32"/>
          <w:szCs w:val="32"/>
        </w:rPr>
        <w:t>一、单位职责</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1、</w:t>
      </w:r>
      <w:r>
        <w:rPr>
          <w:rFonts w:hint="eastAsia" w:ascii="仿宋_GB2312" w:hAnsi="仿宋" w:eastAsia="仿宋_GB2312" w:cs="宋体"/>
          <w:kern w:val="0"/>
          <w:sz w:val="32"/>
          <w:szCs w:val="32"/>
        </w:rPr>
        <w:t>贯彻执行党和国家的各项方针、政策及法律、法规，依法制定行政措施和实施方案。研究制定、执行本</w:t>
      </w:r>
      <w:r>
        <w:rPr>
          <w:rFonts w:hint="eastAsia" w:ascii="仿宋_GB2312" w:hAnsi="仿宋" w:eastAsia="仿宋_GB2312" w:cs="宋体"/>
          <w:kern w:val="0"/>
          <w:sz w:val="32"/>
          <w:szCs w:val="32"/>
          <w:lang w:val="en-US" w:eastAsia="zh-CN"/>
        </w:rPr>
        <w:t>镇</w:t>
      </w:r>
      <w:r>
        <w:rPr>
          <w:rFonts w:hint="eastAsia" w:ascii="仿宋_GB2312" w:hAnsi="仿宋" w:eastAsia="仿宋_GB2312" w:cs="宋体"/>
          <w:kern w:val="0"/>
          <w:sz w:val="32"/>
          <w:szCs w:val="32"/>
        </w:rPr>
        <w:t>经济建设和社会发展规划、政策，执行本行政区域内的经济和社会发展计划、预算</w:t>
      </w:r>
      <w:r>
        <w:rPr>
          <w:rFonts w:hint="eastAsia" w:ascii="仿宋_GB2312" w:hAnsi="仿宋" w:eastAsia="仿宋_GB2312" w:cs="宋体"/>
          <w:kern w:val="0"/>
          <w:sz w:val="32"/>
          <w:szCs w:val="32"/>
          <w:lang w:eastAsia="zh-CN"/>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2、</w:t>
      </w:r>
      <w:r>
        <w:rPr>
          <w:rFonts w:hint="eastAsia" w:ascii="仿宋_GB2312" w:hAnsi="仿宋" w:eastAsia="仿宋_GB2312" w:cs="宋体"/>
          <w:kern w:val="0"/>
          <w:sz w:val="32"/>
          <w:szCs w:val="32"/>
        </w:rPr>
        <w:t>负责本行政区域内的经济管理工作，负责农村基础设施建设、经济建设、农业生产和综合开发等工作，负责对辖区内村级财务的指导、监督和管理工作，负责谋划发展思路，营造发展环境，引导农民进行科学化、现代化农业生产，引导农村劳动力转移和就业，加强农村劳动力技能培训，增加农民收入，减轻农民负担，提高农民生活水平</w:t>
      </w:r>
      <w:r>
        <w:rPr>
          <w:rFonts w:hint="eastAsia" w:ascii="仿宋_GB2312" w:hAnsi="仿宋" w:eastAsia="仿宋_GB2312" w:cs="宋体"/>
          <w:kern w:val="0"/>
          <w:sz w:val="32"/>
          <w:szCs w:val="32"/>
          <w:lang w:eastAsia="zh-CN"/>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3、</w:t>
      </w:r>
      <w:r>
        <w:rPr>
          <w:rFonts w:hint="eastAsia" w:ascii="仿宋_GB2312" w:hAnsi="仿宋" w:eastAsia="仿宋_GB2312" w:cs="宋体"/>
          <w:kern w:val="0"/>
          <w:sz w:val="32"/>
          <w:szCs w:val="32"/>
        </w:rPr>
        <w:t>进一步发展和完善农业社会化服务体系，发展公益事业，增加公共产品，提供信息服务和社会救济、求助，负责本行政区域内的科技、教育、文化、体育事业发展工作，搞好农村的医疗卫生保健服务等工作</w:t>
      </w:r>
      <w:r>
        <w:rPr>
          <w:rFonts w:hint="eastAsia" w:ascii="仿宋_GB2312" w:hAnsi="仿宋" w:eastAsia="仿宋_GB2312" w:cs="宋体"/>
          <w:kern w:val="0"/>
          <w:sz w:val="32"/>
          <w:szCs w:val="32"/>
          <w:lang w:eastAsia="zh-CN"/>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4、</w:t>
      </w:r>
      <w:r>
        <w:rPr>
          <w:rFonts w:hint="eastAsia" w:ascii="仿宋_GB2312" w:hAnsi="仿宋" w:eastAsia="仿宋_GB2312" w:cs="宋体"/>
          <w:kern w:val="0"/>
          <w:sz w:val="32"/>
          <w:szCs w:val="32"/>
        </w:rPr>
        <w:t>保护国有财产、劳动群众集体所有财产和公民私人所有的合法财产，保护各种经济组织的合法权益</w:t>
      </w:r>
      <w:r>
        <w:rPr>
          <w:rFonts w:hint="eastAsia" w:ascii="仿宋_GB2312" w:hAnsi="仿宋" w:eastAsia="仿宋_GB2312" w:cs="宋体"/>
          <w:kern w:val="0"/>
          <w:sz w:val="32"/>
          <w:szCs w:val="32"/>
          <w:lang w:eastAsia="zh-CN"/>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rPr>
        <w:t>协助相关部门做好村道路、河道运输、消防、危险化学物品、矿山和非煤矿山、农机、电网等安全监督管理工作，抓好本行政区域内的事故抢救、善后和调查工作，做好安全生产统计工作，定期分析上报安全生产形式，及时公布安全生产情况，负责维护稳定</w:t>
      </w:r>
      <w:r>
        <w:rPr>
          <w:rFonts w:hint="eastAsia" w:ascii="仿宋_GB2312" w:hAnsi="仿宋" w:eastAsia="仿宋_GB2312" w:cs="宋体"/>
          <w:kern w:val="0"/>
          <w:sz w:val="32"/>
          <w:szCs w:val="32"/>
          <w:lang w:eastAsia="zh-CN"/>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6、承办兰州新区秦川园区管理委员会</w:t>
      </w:r>
      <w:r>
        <w:rPr>
          <w:rFonts w:hint="eastAsia" w:ascii="仿宋_GB2312" w:hAnsi="仿宋" w:eastAsia="仿宋_GB2312" w:cs="宋体"/>
          <w:kern w:val="0"/>
          <w:sz w:val="32"/>
          <w:szCs w:val="32"/>
        </w:rPr>
        <w:t>交办的其他事</w:t>
      </w:r>
      <w:r>
        <w:rPr>
          <w:rFonts w:hint="eastAsia" w:ascii="仿宋_GB2312" w:hAnsi="仿宋" w:eastAsia="仿宋_GB2312" w:cs="宋体"/>
          <w:kern w:val="0"/>
          <w:sz w:val="32"/>
          <w:szCs w:val="32"/>
          <w:lang w:val="en-US" w:eastAsia="zh-CN"/>
        </w:rPr>
        <w:t>项</w:t>
      </w:r>
      <w:r>
        <w:rPr>
          <w:rFonts w:hint="eastAsia" w:ascii="仿宋_GB2312" w:hAnsi="仿宋" w:eastAsia="仿宋_GB2312" w:cs="宋体"/>
          <w:kern w:val="0"/>
          <w:sz w:val="32"/>
          <w:szCs w:val="32"/>
        </w:rPr>
        <w:t>。</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黑体" w:hAnsi="黑体" w:eastAsia="黑体" w:cs="宋体"/>
          <w:kern w:val="0"/>
          <w:sz w:val="32"/>
          <w:szCs w:val="32"/>
        </w:rPr>
      </w:pPr>
      <w:r>
        <w:rPr>
          <w:rFonts w:hint="eastAsia" w:ascii="黑体" w:hAnsi="黑体" w:eastAsia="黑体" w:cs="宋体"/>
          <w:kern w:val="0"/>
          <w:sz w:val="32"/>
          <w:szCs w:val="32"/>
        </w:rPr>
        <w:t>二、机构设置情况</w:t>
      </w:r>
    </w:p>
    <w:p>
      <w:pPr>
        <w:keepNext w:val="0"/>
        <w:keepLines w:val="0"/>
        <w:pageBreakBefore w:val="0"/>
        <w:kinsoku/>
        <w:overflowPunct/>
        <w:topLinePunct w:val="0"/>
        <w:autoSpaceDE/>
        <w:autoSpaceDN/>
        <w:bidi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 w:eastAsia="楷体_GB2312" w:cs="宋体"/>
          <w:b/>
          <w:bCs/>
          <w:kern w:val="0"/>
          <w:sz w:val="32"/>
          <w:szCs w:val="32"/>
        </w:rPr>
        <w:t>机关内设机构</w:t>
      </w:r>
      <w:r>
        <w:rPr>
          <w:rFonts w:hint="eastAsia" w:ascii="楷体_GB2312" w:hAnsi="楷体" w:eastAsia="楷体_GB2312" w:cs="宋体"/>
          <w:b/>
          <w:bCs/>
          <w:kern w:val="0"/>
          <w:sz w:val="32"/>
          <w:szCs w:val="32"/>
          <w:lang w:eastAsia="zh-CN"/>
        </w:rPr>
        <w:t>：</w:t>
      </w:r>
      <w:r>
        <w:rPr>
          <w:rFonts w:hint="eastAsia" w:ascii="仿宋_GB2312" w:hAnsi="仿宋_GB2312" w:eastAsia="仿宋_GB2312" w:cs="仿宋_GB2312"/>
          <w:sz w:val="32"/>
          <w:szCs w:val="32"/>
          <w:lang w:val="en-US" w:eastAsia="zh-CN"/>
        </w:rPr>
        <w:t>上川镇</w:t>
      </w:r>
      <w:r>
        <w:rPr>
          <w:rFonts w:hint="eastAsia" w:ascii="仿宋_GB2312" w:hAnsi="仿宋_GB2312" w:eastAsia="仿宋_GB2312" w:cs="仿宋_GB2312"/>
          <w:sz w:val="32"/>
          <w:szCs w:val="32"/>
        </w:rPr>
        <w:t>人民政府机构内设党委、政府、</w:t>
      </w:r>
      <w:r>
        <w:rPr>
          <w:rFonts w:hint="eastAsia" w:ascii="仿宋_GB2312" w:hAnsi="仿宋_GB2312" w:eastAsia="仿宋_GB2312" w:cs="仿宋_GB2312"/>
          <w:sz w:val="32"/>
          <w:szCs w:val="32"/>
          <w:lang w:eastAsia="zh-CN"/>
        </w:rPr>
        <w:t>党政综合办公室、党建工作办公室、经济发展和社会事务办公室（卫生健康办公室）、社会治理和应急管理办公室、生态环境办公室；事业单位内设</w:t>
      </w:r>
      <w:r>
        <w:rPr>
          <w:rFonts w:hint="eastAsia" w:ascii="仿宋_GB2312" w:hAnsi="仿宋_GB2312" w:eastAsia="仿宋_GB2312" w:cs="仿宋_GB2312"/>
          <w:sz w:val="32"/>
          <w:szCs w:val="32"/>
        </w:rPr>
        <w:t>农业</w:t>
      </w:r>
      <w:r>
        <w:rPr>
          <w:rFonts w:hint="eastAsia" w:ascii="仿宋_GB2312" w:hAnsi="仿宋_GB2312" w:eastAsia="仿宋_GB2312" w:cs="仿宋_GB2312"/>
          <w:sz w:val="32"/>
          <w:szCs w:val="32"/>
          <w:lang w:val="en-US" w:eastAsia="zh-CN"/>
        </w:rPr>
        <w:t>农村综合服务中心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政务（便民）服务中心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社会治安综合治理中心、村镇建设服务中心、综合行政执法队四中心一大队，</w:t>
      </w:r>
      <w:r>
        <w:rPr>
          <w:rFonts w:hint="eastAsia" w:ascii="仿宋_GB2312" w:hAnsi="仿宋_GB2312" w:eastAsia="仿宋_GB2312" w:cs="仿宋_GB2312"/>
          <w:sz w:val="32"/>
          <w:szCs w:val="32"/>
        </w:rPr>
        <w:t>属财政全额拨款事业单位</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年末人员编制</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人，实有行政在职</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人，事业人员</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人，工勤</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大集体人员1人，县招聘1人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退</w:t>
      </w:r>
      <w:r>
        <w:rPr>
          <w:rFonts w:hint="eastAsia" w:ascii="仿宋_GB2312" w:hAnsi="仿宋_GB2312" w:eastAsia="仿宋_GB2312" w:cs="仿宋_GB2312"/>
          <w:sz w:val="32"/>
          <w:szCs w:val="32"/>
        </w:rPr>
        <w:t>休</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人，遗属人员</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精简下放人员1人，</w:t>
      </w:r>
      <w:r>
        <w:rPr>
          <w:rFonts w:hint="eastAsia" w:ascii="仿宋_GB2312" w:hAnsi="仿宋_GB2312" w:eastAsia="仿宋_GB2312" w:cs="仿宋_GB2312"/>
          <w:sz w:val="32"/>
          <w:szCs w:val="32"/>
        </w:rPr>
        <w:t>临时聘用人员</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人。</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黑体" w:hAnsi="黑体" w:eastAsia="黑体" w:cs="宋体"/>
          <w:kern w:val="0"/>
          <w:sz w:val="32"/>
          <w:szCs w:val="32"/>
        </w:rPr>
      </w:pPr>
      <w:r>
        <w:rPr>
          <w:rFonts w:hint="eastAsia" w:ascii="黑体" w:hAnsi="黑体" w:eastAsia="黑体" w:cs="宋体"/>
          <w:kern w:val="0"/>
          <w:sz w:val="32"/>
          <w:szCs w:val="32"/>
        </w:rPr>
        <w:t>三、单位收支总体情况</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cs="宋体"/>
          <w:kern w:val="0"/>
          <w:sz w:val="32"/>
          <w:szCs w:val="32"/>
        </w:rPr>
      </w:pPr>
      <w:r>
        <w:rPr>
          <w:rFonts w:hint="eastAsia" w:ascii="仿宋_GB2312" w:hAnsi="仿宋" w:eastAsia="仿宋_GB2312" w:cs="宋体"/>
          <w:kern w:val="0"/>
          <w:sz w:val="32"/>
          <w:szCs w:val="32"/>
        </w:rPr>
        <w:t>按照预算管理有关规定，2024年单位收支包括机关预算和直属单位预算在内的汇总情况。</w:t>
      </w:r>
    </w:p>
    <w:p>
      <w:pPr>
        <w:keepNext w:val="0"/>
        <w:keepLines w:val="0"/>
        <w:pageBreakBefore w:val="0"/>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cs="宋体"/>
          <w:kern w:val="0"/>
          <w:sz w:val="32"/>
          <w:szCs w:val="32"/>
        </w:rPr>
      </w:pPr>
      <w:r>
        <w:rPr>
          <w:rFonts w:hint="eastAsia" w:ascii="仿宋_GB2312" w:hAnsi="仿宋" w:eastAsia="仿宋_GB2312" w:cs="宋体"/>
          <w:kern w:val="0"/>
          <w:sz w:val="32"/>
          <w:szCs w:val="32"/>
        </w:rPr>
        <w:t>2024年</w:t>
      </w:r>
      <w:r>
        <w:rPr>
          <w:rFonts w:hint="eastAsia" w:ascii="仿宋_GB2312" w:hAnsi="仿宋" w:eastAsia="仿宋_GB2312" w:cs="宋体"/>
          <w:kern w:val="0"/>
          <w:sz w:val="32"/>
          <w:szCs w:val="32"/>
          <w:lang w:eastAsia="zh-CN"/>
        </w:rPr>
        <w:t>单位</w:t>
      </w:r>
      <w:r>
        <w:rPr>
          <w:rFonts w:hint="eastAsia" w:ascii="仿宋_GB2312" w:hAnsi="仿宋" w:eastAsia="仿宋_GB2312" w:cs="宋体"/>
          <w:kern w:val="0"/>
          <w:sz w:val="32"/>
          <w:szCs w:val="32"/>
        </w:rPr>
        <w:t>收支总预算</w:t>
      </w:r>
      <w:r>
        <w:rPr>
          <w:rFonts w:hint="eastAsia" w:ascii="仿宋_GB2312" w:hAnsi="仿宋" w:eastAsia="仿宋_GB2312" w:cs="宋体"/>
          <w:kern w:val="0"/>
          <w:sz w:val="32"/>
          <w:szCs w:val="32"/>
          <w:lang w:val="en-US" w:eastAsia="zh-CN"/>
        </w:rPr>
        <w:t>4123.23</w:t>
      </w:r>
      <w:r>
        <w:rPr>
          <w:rFonts w:hint="eastAsia" w:ascii="仿宋_GB2312" w:hAnsi="仿宋" w:eastAsia="仿宋_GB2312" w:cs="宋体"/>
          <w:kern w:val="0"/>
          <w:sz w:val="32"/>
          <w:szCs w:val="32"/>
        </w:rPr>
        <w:t>万元。按照综合预算的原则，单位所有收入和支出均纳入部门预算管理。收入包括：一般公共预算拨款收入、政府性基金预算拨款收入、事业收入、事业单位经营收入、其他收入、使用非财政拨款结余、上年结转；支出包括：一般公共服务支出、公共安全支出、教育支出、科学技术支出、社会保障和就业支出、卫生健康支出、交通运输支出、住房保障支出、其他支出。</w:t>
      </w:r>
    </w:p>
    <w:p>
      <w:pPr>
        <w:keepNext w:val="0"/>
        <w:keepLines w:val="0"/>
        <w:pageBreakBefore w:val="0"/>
        <w:kinsoku/>
        <w:overflowPunct/>
        <w:topLinePunct w:val="0"/>
        <w:autoSpaceDE/>
        <w:autoSpaceDN/>
        <w:bidi w:val="0"/>
        <w:spacing w:line="560" w:lineRule="exact"/>
        <w:ind w:left="0" w:leftChars="0" w:right="0" w:firstLine="643" w:firstLineChars="200"/>
        <w:jc w:val="both"/>
        <w:textAlignment w:val="auto"/>
        <w:rPr>
          <w:rFonts w:ascii="楷体_GB2312" w:hAnsi="楷体" w:eastAsia="楷体_GB2312"/>
          <w:sz w:val="32"/>
          <w:szCs w:val="32"/>
        </w:rPr>
      </w:pPr>
      <w:r>
        <w:rPr>
          <w:rFonts w:hint="eastAsia" w:ascii="楷体_GB2312" w:hAnsi="楷体" w:eastAsia="楷体_GB2312" w:cs="宋体"/>
          <w:b/>
          <w:bCs/>
          <w:kern w:val="0"/>
          <w:sz w:val="32"/>
          <w:szCs w:val="32"/>
        </w:rPr>
        <w:t>（一）收入预算</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2024年收入预算</w:t>
      </w:r>
      <w:r>
        <w:rPr>
          <w:rFonts w:hint="eastAsia" w:ascii="仿宋_GB2312" w:hAnsi="仿宋" w:eastAsia="仿宋_GB2312"/>
          <w:sz w:val="32"/>
          <w:szCs w:val="32"/>
          <w:lang w:val="en-US" w:eastAsia="zh-CN"/>
        </w:rPr>
        <w:t>4123.23</w:t>
      </w:r>
      <w:r>
        <w:rPr>
          <w:rFonts w:hint="eastAsia" w:ascii="仿宋_GB2312" w:hAnsi="仿宋" w:eastAsia="仿宋_GB2312"/>
          <w:sz w:val="32"/>
          <w:szCs w:val="32"/>
        </w:rPr>
        <w:t>万元（详见单位预算公开表1,2）。包括：</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一般公共预算收入</w:t>
      </w:r>
      <w:r>
        <w:rPr>
          <w:rFonts w:hint="eastAsia" w:ascii="仿宋_GB2312" w:hAnsi="仿宋" w:eastAsia="仿宋_GB2312"/>
          <w:sz w:val="32"/>
          <w:szCs w:val="32"/>
          <w:lang w:val="en-US" w:eastAsia="zh-CN"/>
        </w:rPr>
        <w:t>4123.23</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100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政府性基金预算收入</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上年结转收入</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其他收入</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spacing w:line="560" w:lineRule="exact"/>
        <w:ind w:left="0" w:leftChars="0" w:right="0" w:firstLine="640" w:firstLineChars="200"/>
        <w:jc w:val="both"/>
        <w:textAlignment w:val="auto"/>
        <w:rPr>
          <w:rFonts w:ascii="仿宋_GB2312" w:hAnsi="仿宋" w:eastAsia="仿宋_GB2312"/>
          <w:sz w:val="32"/>
          <w:szCs w:val="32"/>
        </w:rPr>
      </w:pPr>
    </w:p>
    <w:tbl>
      <w:tblPr>
        <w:tblStyle w:val="8"/>
        <w:tblW w:w="0" w:type="auto"/>
        <w:tblInd w:w="0" w:type="dxa"/>
        <w:tblLayout w:type="autofit"/>
        <w:tblCellMar>
          <w:top w:w="0" w:type="dxa"/>
          <w:left w:w="108" w:type="dxa"/>
          <w:bottom w:w="0" w:type="dxa"/>
          <w:right w:w="108" w:type="dxa"/>
        </w:tblCellMar>
      </w:tblPr>
      <w:tblGrid>
        <w:gridCol w:w="8500"/>
      </w:tblGrid>
      <w:tr>
        <w:tblPrEx>
          <w:tblCellMar>
            <w:top w:w="0" w:type="dxa"/>
            <w:left w:w="108" w:type="dxa"/>
            <w:bottom w:w="0" w:type="dxa"/>
            <w:right w:w="108" w:type="dxa"/>
          </w:tblCellMar>
        </w:tblPrEx>
        <w:trPr>
          <w:trHeight w:val="6126" w:hRule="atLeast"/>
        </w:trPr>
        <w:tc>
          <w:tcPr>
            <w:tcW w:w="8500" w:type="dxa"/>
            <w:shd w:val="clear" w:color="auto" w:fill="auto"/>
          </w:tcPr>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eastAsia="仿宋_GB2312"/>
                <w:sz w:val="32"/>
                <w:szCs w:val="32"/>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-3296285</wp:posOffset>
                  </wp:positionV>
                  <wp:extent cx="5302250" cy="3904615"/>
                  <wp:effectExtent l="0" t="0" r="12700" b="635"/>
                  <wp:wrapSquare wrapText="bothSides"/>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tc>
      </w:tr>
    </w:tbl>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（二）支出预算</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2024年支出预算</w:t>
      </w:r>
      <w:r>
        <w:rPr>
          <w:rFonts w:hint="eastAsia" w:ascii="仿宋_GB2312" w:hAnsi="仿宋" w:eastAsia="仿宋_GB2312"/>
          <w:sz w:val="32"/>
          <w:szCs w:val="32"/>
          <w:lang w:val="en-US" w:eastAsia="zh-CN"/>
        </w:rPr>
        <w:t>4123.23</w:t>
      </w:r>
      <w:r>
        <w:rPr>
          <w:rFonts w:hint="eastAsia" w:ascii="仿宋_GB2312" w:hAnsi="仿宋" w:eastAsia="仿宋_GB2312"/>
          <w:sz w:val="32"/>
          <w:szCs w:val="32"/>
        </w:rPr>
        <w:t>万元（详见单位预算公开表3）。</w:t>
      </w:r>
      <w:r>
        <w:rPr>
          <w:rStyle w:val="20"/>
          <w:rFonts w:hint="default" w:hAnsi="仿宋"/>
        </w:rPr>
        <w:t>其中：基本支出</w:t>
      </w:r>
      <w:r>
        <w:rPr>
          <w:rStyle w:val="21"/>
          <w:rFonts w:hint="eastAsia" w:ascii="仿宋_GB2312" w:hAnsi="仿宋" w:eastAsia="仿宋_GB2312"/>
          <w:lang w:val="en-US" w:eastAsia="zh-CN"/>
        </w:rPr>
        <w:t>1599.2</w:t>
      </w:r>
      <w:r>
        <w:rPr>
          <w:rStyle w:val="20"/>
          <w:rFonts w:hint="default" w:hAnsi="仿宋"/>
        </w:rPr>
        <w:t>万元， 占</w:t>
      </w:r>
      <w:r>
        <w:rPr>
          <w:rStyle w:val="20"/>
          <w:rFonts w:hint="eastAsia" w:hAnsi="仿宋" w:eastAsia="仿宋_GB2312"/>
          <w:lang w:val="en-US" w:eastAsia="zh-CN"/>
        </w:rPr>
        <w:t>38.79</w:t>
      </w:r>
      <w:r>
        <w:rPr>
          <w:rStyle w:val="21"/>
          <w:rFonts w:hint="eastAsia" w:ascii="仿宋_GB2312" w:hAnsi="仿宋" w:eastAsia="仿宋_GB2312"/>
        </w:rPr>
        <w:t>%</w:t>
      </w:r>
      <w:r>
        <w:rPr>
          <w:rStyle w:val="20"/>
          <w:rFonts w:hint="default" w:hAnsi="仿宋"/>
        </w:rPr>
        <w:t>； 项目支出</w:t>
      </w:r>
      <w:r>
        <w:rPr>
          <w:rStyle w:val="20"/>
          <w:rFonts w:hint="eastAsia" w:hAnsi="仿宋" w:eastAsia="仿宋_GB2312"/>
          <w:lang w:val="en-US" w:eastAsia="zh-CN"/>
        </w:rPr>
        <w:t>2524.03</w:t>
      </w:r>
      <w:r>
        <w:rPr>
          <w:rStyle w:val="20"/>
          <w:rFonts w:hint="default" w:hAnsi="仿宋"/>
        </w:rPr>
        <w:t>万元，占</w:t>
      </w:r>
      <w:r>
        <w:rPr>
          <w:rStyle w:val="21"/>
          <w:rFonts w:hint="eastAsia" w:ascii="仿宋_GB2312" w:hAnsi="仿宋" w:eastAsia="仿宋_GB2312"/>
          <w:lang w:val="en-US" w:eastAsia="zh-CN"/>
        </w:rPr>
        <w:t>61.21</w:t>
      </w:r>
      <w:r>
        <w:rPr>
          <w:rStyle w:val="21"/>
          <w:rFonts w:hint="eastAsia" w:ascii="仿宋_GB2312" w:hAnsi="仿宋" w:eastAsia="仿宋_GB2312"/>
        </w:rPr>
        <w:t>%</w:t>
      </w:r>
      <w:r>
        <w:rPr>
          <w:rStyle w:val="20"/>
          <w:rFonts w:hint="default" w:hAnsi="仿宋"/>
        </w:rPr>
        <w:t>； 上年结转</w:t>
      </w:r>
      <w:r>
        <w:rPr>
          <w:rStyle w:val="21"/>
          <w:rFonts w:hint="eastAsia" w:ascii="仿宋_GB2312" w:hAnsi="仿宋" w:eastAsia="仿宋_GB2312"/>
          <w:lang w:val="en-US" w:eastAsia="zh-CN"/>
        </w:rPr>
        <w:t>0</w:t>
      </w:r>
      <w:r>
        <w:rPr>
          <w:rStyle w:val="20"/>
          <w:rFonts w:hint="default" w:hAnsi="仿宋"/>
        </w:rPr>
        <w:t>万元，占</w:t>
      </w:r>
      <w:r>
        <w:rPr>
          <w:rStyle w:val="21"/>
          <w:rFonts w:hint="eastAsia" w:ascii="仿宋_GB2312" w:hAnsi="仿宋" w:eastAsia="仿宋_GB2312"/>
          <w:lang w:val="en-US" w:eastAsia="zh-CN"/>
        </w:rPr>
        <w:t>0</w:t>
      </w:r>
      <w:r>
        <w:rPr>
          <w:rStyle w:val="21"/>
          <w:rFonts w:hint="eastAsia" w:ascii="仿宋_GB2312" w:hAnsi="仿宋" w:eastAsia="仿宋_GB2312"/>
        </w:rPr>
        <w:t>%</w:t>
      </w:r>
      <w:r>
        <w:rPr>
          <w:rStyle w:val="20"/>
          <w:rFonts w:hint="default" w:hAnsi="仿宋"/>
        </w:rPr>
        <w:t>。</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四、一般公共预算情况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Style w:val="21"/>
          <w:rFonts w:hint="eastAsia" w:ascii="仿宋_GB2312" w:hAnsi="仿宋" w:eastAsia="仿宋_GB2312"/>
        </w:rPr>
        <w:t xml:space="preserve">2024 </w:t>
      </w:r>
      <w:r>
        <w:rPr>
          <w:rStyle w:val="20"/>
          <w:rFonts w:hint="default" w:hAnsi="仿宋"/>
        </w:rPr>
        <w:t>年一般公共预算当年支出</w:t>
      </w:r>
      <w:r>
        <w:rPr>
          <w:rStyle w:val="21"/>
          <w:rFonts w:hint="eastAsia" w:ascii="仿宋_GB2312" w:hAnsi="仿宋" w:eastAsia="仿宋_GB2312"/>
          <w:lang w:val="en-US" w:eastAsia="zh-CN"/>
        </w:rPr>
        <w:t>4123.23</w:t>
      </w:r>
      <w:r>
        <w:rPr>
          <w:rStyle w:val="20"/>
          <w:rFonts w:hint="default" w:hAnsi="仿宋"/>
        </w:rPr>
        <w:t>万元，包括：一般公共服务支出</w:t>
      </w:r>
      <w:r>
        <w:rPr>
          <w:rStyle w:val="21"/>
          <w:rFonts w:hint="eastAsia" w:ascii="仿宋_GB2312" w:hAnsi="仿宋" w:eastAsia="仿宋_GB2312"/>
          <w:lang w:val="en-US" w:eastAsia="zh-CN"/>
        </w:rPr>
        <w:t>1157.51</w:t>
      </w:r>
      <w:r>
        <w:rPr>
          <w:rStyle w:val="20"/>
          <w:rFonts w:hint="default" w:hAnsi="仿宋"/>
        </w:rPr>
        <w:t>万元、公共安全支出</w:t>
      </w:r>
      <w:r>
        <w:rPr>
          <w:rStyle w:val="21"/>
          <w:rFonts w:hint="eastAsia" w:ascii="仿宋_GB2312" w:hAnsi="仿宋" w:eastAsia="仿宋_GB2312"/>
          <w:lang w:val="en-US" w:eastAsia="zh-CN"/>
        </w:rPr>
        <w:t>30.85</w:t>
      </w:r>
      <w:r>
        <w:rPr>
          <w:rStyle w:val="20"/>
          <w:rFonts w:hint="default" w:hAnsi="仿宋"/>
        </w:rPr>
        <w:t>万元、</w:t>
      </w:r>
      <w:r>
        <w:rPr>
          <w:rStyle w:val="20"/>
          <w:rFonts w:hint="eastAsia" w:hAnsi="仿宋" w:eastAsia="仿宋_GB2312"/>
          <w:lang w:eastAsia="zh-CN"/>
        </w:rPr>
        <w:t>卫生健康</w:t>
      </w:r>
      <w:r>
        <w:rPr>
          <w:rStyle w:val="20"/>
          <w:rFonts w:hint="default" w:hAnsi="仿宋"/>
        </w:rPr>
        <w:t>支出</w:t>
      </w:r>
      <w:r>
        <w:rPr>
          <w:rStyle w:val="21"/>
          <w:rFonts w:hint="eastAsia" w:ascii="仿宋_GB2312" w:hAnsi="仿宋" w:eastAsia="仿宋_GB2312"/>
          <w:lang w:val="en-US" w:eastAsia="zh-CN"/>
        </w:rPr>
        <w:t>154.86</w:t>
      </w:r>
      <w:r>
        <w:rPr>
          <w:rStyle w:val="20"/>
          <w:rFonts w:hint="default" w:hAnsi="仿宋"/>
        </w:rPr>
        <w:t>万元、</w:t>
      </w:r>
      <w:r>
        <w:rPr>
          <w:rStyle w:val="20"/>
          <w:rFonts w:hint="eastAsia" w:hAnsi="仿宋" w:eastAsia="仿宋_GB2312"/>
          <w:lang w:eastAsia="zh-CN"/>
        </w:rPr>
        <w:t>城乡社区</w:t>
      </w:r>
      <w:r>
        <w:rPr>
          <w:rStyle w:val="20"/>
          <w:rFonts w:hint="default" w:hAnsi="仿宋"/>
        </w:rPr>
        <w:t>支出</w:t>
      </w:r>
      <w:r>
        <w:rPr>
          <w:rStyle w:val="21"/>
          <w:rFonts w:hint="eastAsia" w:ascii="仿宋_GB2312" w:hAnsi="仿宋" w:eastAsia="仿宋_GB2312"/>
          <w:lang w:val="en-US" w:eastAsia="zh-CN"/>
        </w:rPr>
        <w:t>60.56</w:t>
      </w:r>
      <w:r>
        <w:rPr>
          <w:rStyle w:val="20"/>
          <w:rFonts w:hint="default" w:hAnsi="仿宋"/>
        </w:rPr>
        <w:t>万元、社会保障和就业支出</w:t>
      </w:r>
      <w:r>
        <w:rPr>
          <w:rStyle w:val="21"/>
          <w:rFonts w:hint="eastAsia" w:ascii="仿宋_GB2312" w:hAnsi="仿宋" w:eastAsia="仿宋_GB2312"/>
          <w:lang w:val="en-US" w:eastAsia="zh-CN"/>
        </w:rPr>
        <w:t>75.41</w:t>
      </w:r>
      <w:r>
        <w:rPr>
          <w:rStyle w:val="20"/>
          <w:rFonts w:hint="default" w:hAnsi="仿宋"/>
        </w:rPr>
        <w:t>万元、</w:t>
      </w:r>
      <w:r>
        <w:rPr>
          <w:rStyle w:val="20"/>
          <w:rFonts w:hint="eastAsia" w:hAnsi="仿宋" w:eastAsia="仿宋_GB2312"/>
          <w:lang w:eastAsia="zh-CN"/>
        </w:rPr>
        <w:t>农林水</w:t>
      </w:r>
      <w:r>
        <w:rPr>
          <w:rStyle w:val="20"/>
          <w:rFonts w:hint="default" w:hAnsi="仿宋"/>
        </w:rPr>
        <w:t>支出</w:t>
      </w:r>
      <w:r>
        <w:rPr>
          <w:rStyle w:val="21"/>
          <w:rFonts w:hint="eastAsia" w:ascii="仿宋_GB2312" w:hAnsi="仿宋" w:eastAsia="仿宋_GB2312"/>
          <w:lang w:val="en-US" w:eastAsia="zh-CN"/>
        </w:rPr>
        <w:t>2557.27</w:t>
      </w:r>
      <w:r>
        <w:rPr>
          <w:rStyle w:val="20"/>
          <w:rFonts w:hint="default" w:hAnsi="仿宋"/>
        </w:rPr>
        <w:t>万元</w:t>
      </w:r>
      <w:r>
        <w:rPr>
          <w:rStyle w:val="20"/>
          <w:rFonts w:hint="eastAsia" w:hAnsi="仿宋" w:eastAsia="仿宋_GB2312"/>
          <w:lang w:eastAsia="zh-CN"/>
        </w:rPr>
        <w:t>、住房保障支出</w:t>
      </w:r>
      <w:r>
        <w:rPr>
          <w:rStyle w:val="20"/>
          <w:rFonts w:hint="eastAsia" w:hAnsi="仿宋" w:eastAsia="仿宋_GB2312"/>
          <w:lang w:val="en-US" w:eastAsia="zh-CN"/>
        </w:rPr>
        <w:t>49.64万元、灾害防治及应急管理支出37.13万元</w:t>
      </w:r>
      <w:r>
        <w:rPr>
          <w:rStyle w:val="20"/>
          <w:rFonts w:hint="default" w:hAnsi="仿宋"/>
        </w:rPr>
        <w:t>。</w:t>
      </w:r>
      <w:r>
        <w:rPr>
          <w:rFonts w:hint="eastAsia" w:ascii="仿宋_GB2312" w:hAnsi="仿宋" w:eastAsia="仿宋_GB2312"/>
          <w:sz w:val="32"/>
          <w:szCs w:val="32"/>
        </w:rPr>
        <w:t>具体安排情况如下</w:t>
      </w:r>
      <w:r>
        <w:rPr>
          <w:rFonts w:hint="eastAsia" w:ascii="仿宋_GB2312" w:hAnsi="微软雅黑" w:eastAsia="仿宋_GB2312"/>
          <w:sz w:val="32"/>
          <w:szCs w:val="32"/>
        </w:rPr>
        <w:t>（详见单位预算公开表4,5,6,7）</w:t>
      </w:r>
      <w:r>
        <w:rPr>
          <w:rFonts w:hint="eastAsia" w:ascii="仿宋_GB2312" w:hAnsi="仿宋" w:eastAsia="仿宋_GB2312"/>
          <w:sz w:val="32"/>
          <w:szCs w:val="32"/>
        </w:rPr>
        <w:t>：</w:t>
      </w:r>
    </w:p>
    <w:p>
      <w:pPr>
        <w:keepNext w:val="0"/>
        <w:keepLines w:val="0"/>
        <w:pageBreakBefore w:val="0"/>
        <w:kinsoku/>
        <w:overflowPunct/>
        <w:topLinePunct w:val="0"/>
        <w:autoSpaceDE/>
        <w:autoSpaceDN/>
        <w:bidi w:val="0"/>
        <w:spacing w:line="560" w:lineRule="exact"/>
        <w:ind w:left="0" w:leftChars="0" w:right="0" w:firstLine="420" w:firstLineChars="200"/>
        <w:contextualSpacing/>
        <w:jc w:val="both"/>
        <w:textAlignment w:val="auto"/>
        <w:rPr>
          <w:rFonts w:ascii="楷体_GB2312" w:hAnsi="楷体" w:eastAsia="楷体_GB2312" w:cs="宋体"/>
          <w:b/>
          <w:bCs/>
          <w:kern w:val="0"/>
          <w:sz w:val="32"/>
          <w:szCs w:val="32"/>
        </w:rPr>
      </w:pPr>
      <w:r>
        <w:drawing>
          <wp:anchor distT="0" distB="0" distL="114300" distR="114300" simplePos="0" relativeHeight="251659264" behindDoc="0" locked="0" layoutInCell="1" allowOverlap="1">
            <wp:simplePos x="0" y="0"/>
            <wp:positionH relativeFrom="column">
              <wp:posOffset>52070</wp:posOffset>
            </wp:positionH>
            <wp:positionV relativeFrom="paragraph">
              <wp:posOffset>84455</wp:posOffset>
            </wp:positionV>
            <wp:extent cx="5197475" cy="3086735"/>
            <wp:effectExtent l="4445" t="4445" r="17780" b="13970"/>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楷体_GB2312" w:hAnsi="楷体" w:eastAsia="楷体_GB2312" w:cs="宋体"/>
          <w:b/>
          <w:bCs/>
          <w:kern w:val="0"/>
          <w:sz w:val="32"/>
          <w:szCs w:val="32"/>
        </w:rPr>
        <w:t>（一）基本支出</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2024年基本支出</w:t>
      </w:r>
      <w:r>
        <w:rPr>
          <w:rFonts w:hint="eastAsia" w:ascii="仿宋_GB2312" w:hAnsi="仿宋_GB2312" w:eastAsia="仿宋_GB2312" w:cs="仿宋_GB2312"/>
          <w:sz w:val="32"/>
          <w:szCs w:val="32"/>
          <w:lang w:val="en-US" w:eastAsia="zh-CN"/>
        </w:rPr>
        <w:t>1599.2</w:t>
      </w:r>
      <w:r>
        <w:rPr>
          <w:rFonts w:hint="eastAsia" w:ascii="仿宋_GB2312" w:hAnsi="仿宋_GB2312" w:eastAsia="仿宋_GB2312" w:cs="仿宋_GB2312"/>
          <w:sz w:val="32"/>
          <w:szCs w:val="32"/>
        </w:rPr>
        <w:t>万元，比2023年预算</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187.91</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13.31</w:t>
      </w:r>
      <w:r>
        <w:rPr>
          <w:rFonts w:hint="eastAsia" w:ascii="仿宋_GB2312" w:hAnsi="仿宋_GB2312" w:eastAsia="仿宋_GB2312" w:cs="仿宋_GB2312"/>
          <w:sz w:val="32"/>
          <w:szCs w:val="32"/>
        </w:rPr>
        <w:t>%，增长的主要原因是</w:t>
      </w:r>
      <w:r>
        <w:rPr>
          <w:rFonts w:hint="eastAsia" w:ascii="仿宋_GB2312" w:hAnsi="仿宋_GB2312" w:eastAsia="仿宋_GB2312" w:cs="仿宋_GB2312"/>
          <w:sz w:val="32"/>
          <w:szCs w:val="32"/>
          <w:lang w:val="en-US" w:eastAsia="zh-CN"/>
        </w:rPr>
        <w:t>一是正常晋升及艰边补贴调整后人员工资增加，相应的</w:t>
      </w:r>
      <w:r>
        <w:rPr>
          <w:rFonts w:hint="eastAsia" w:ascii="仿宋_GB2312" w:hAnsi="仿宋_GB2312" w:eastAsia="仿宋_GB2312" w:cs="仿宋_GB2312"/>
          <w:sz w:val="32"/>
          <w:szCs w:val="32"/>
        </w:rPr>
        <w:t>养老保险、医疗保险</w:t>
      </w:r>
      <w:r>
        <w:rPr>
          <w:rFonts w:hint="eastAsia" w:ascii="仿宋_GB2312" w:hAnsi="仿宋_GB2312" w:eastAsia="仿宋_GB2312" w:cs="仿宋_GB2312"/>
          <w:sz w:val="32"/>
          <w:szCs w:val="32"/>
          <w:lang w:eastAsia="zh-CN"/>
        </w:rPr>
        <w:t>等保险</w:t>
      </w:r>
      <w:r>
        <w:rPr>
          <w:rFonts w:hint="eastAsia" w:ascii="仿宋_GB2312" w:hAnsi="仿宋_GB2312" w:eastAsia="仿宋_GB2312" w:cs="仿宋_GB2312"/>
          <w:sz w:val="32"/>
          <w:szCs w:val="32"/>
        </w:rPr>
        <w:t>缴费基数上</w:t>
      </w:r>
      <w:r>
        <w:rPr>
          <w:rFonts w:hint="eastAsia" w:ascii="仿宋_GB2312" w:hAnsi="仿宋_GB2312" w:eastAsia="仿宋_GB2312" w:cs="仿宋_GB2312"/>
          <w:sz w:val="32"/>
          <w:szCs w:val="32"/>
          <w:lang w:eastAsia="zh-CN"/>
        </w:rPr>
        <w:t>涨；二是执法队人员工资从</w:t>
      </w:r>
      <w:r>
        <w:rPr>
          <w:rFonts w:hint="eastAsia" w:ascii="仿宋_GB2312" w:hAnsi="仿宋_GB2312" w:eastAsia="仿宋_GB2312" w:cs="仿宋_GB2312"/>
          <w:sz w:val="32"/>
          <w:szCs w:val="32"/>
          <w:lang w:val="en-US" w:eastAsia="zh-CN"/>
        </w:rPr>
        <w:t>2023年的项目支出转移为基本支出，预算列支为其他交通费。</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其中：人员经费支出</w:t>
      </w:r>
      <w:r>
        <w:rPr>
          <w:rFonts w:hint="eastAsia" w:ascii="仿宋_GB2312" w:hAnsi="仿宋_GB2312" w:eastAsia="仿宋_GB2312" w:cs="仿宋_GB2312"/>
          <w:sz w:val="32"/>
          <w:szCs w:val="32"/>
          <w:lang w:val="en-US" w:eastAsia="zh-CN"/>
        </w:rPr>
        <w:t>1336.69</w:t>
      </w:r>
      <w:r>
        <w:rPr>
          <w:rFonts w:hint="eastAsia" w:ascii="仿宋_GB2312" w:hAnsi="仿宋_GB2312" w:eastAsia="仿宋_GB2312" w:cs="仿宋_GB2312"/>
          <w:sz w:val="32"/>
          <w:szCs w:val="32"/>
        </w:rPr>
        <w:t>万元，主要包括：基本工资、津贴补贴、奖金、绩效工资、机关事业单位基本养老保险缴费、职工基本医疗保险缴费、公务员医疗补助缴费、其他社会保障缴费、住房公积金、退休费、生活补助、其他对个人和家庭的补助等。</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_GB2312" w:eastAsia="仿宋_GB2312" w:cs="仿宋_GB2312"/>
          <w:sz w:val="32"/>
          <w:szCs w:val="32"/>
        </w:rPr>
        <w:t>公用经费支出</w:t>
      </w:r>
      <w:r>
        <w:rPr>
          <w:rFonts w:hint="eastAsia" w:ascii="仿宋_GB2312" w:hAnsi="仿宋_GB2312" w:eastAsia="仿宋_GB2312" w:cs="仿宋_GB2312"/>
          <w:sz w:val="32"/>
          <w:szCs w:val="32"/>
          <w:lang w:val="en-US" w:eastAsia="zh-CN"/>
        </w:rPr>
        <w:t>262.51</w:t>
      </w:r>
      <w:r>
        <w:rPr>
          <w:rFonts w:hint="eastAsia" w:ascii="仿宋_GB2312" w:hAnsi="仿宋_GB2312" w:eastAsia="仿宋_GB2312" w:cs="仿宋_GB2312"/>
          <w:sz w:val="32"/>
          <w:szCs w:val="32"/>
        </w:rPr>
        <w:t>万元，主要包括：办公费、印刷费、水费、电费、邮电费、取暖费、物业管理费、差旅费、维修（护）费、租赁费、会议费、培训费、劳务费、工会经费、福利费、公务用车运行维护费、其他交通费用、其他商品和服务支出等。</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（二）项目支出</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2024年一般公共预算财政拨款项目支出预算</w:t>
      </w:r>
      <w:r>
        <w:rPr>
          <w:rFonts w:hint="eastAsia" w:ascii="仿宋_GB2312" w:hAnsi="仿宋_GB2312" w:eastAsia="仿宋_GB2312" w:cs="仿宋_GB2312"/>
          <w:sz w:val="32"/>
          <w:szCs w:val="32"/>
          <w:lang w:val="en-US" w:eastAsia="zh-CN"/>
        </w:rPr>
        <w:t>2524.03</w:t>
      </w:r>
      <w:r>
        <w:rPr>
          <w:rFonts w:hint="eastAsia" w:ascii="仿宋_GB2312" w:hAnsi="仿宋_GB2312" w:eastAsia="仿宋_GB2312" w:cs="仿宋_GB2312"/>
          <w:sz w:val="32"/>
          <w:szCs w:val="32"/>
        </w:rPr>
        <w:t>万元，比2023年预算增加</w:t>
      </w:r>
      <w:r>
        <w:rPr>
          <w:rFonts w:hint="eastAsia" w:ascii="仿宋_GB2312" w:hAnsi="仿宋_GB2312" w:eastAsia="仿宋_GB2312" w:cs="仿宋_GB2312"/>
          <w:sz w:val="32"/>
          <w:szCs w:val="32"/>
          <w:lang w:val="en-US" w:eastAsia="zh-CN"/>
        </w:rPr>
        <w:t>1609.83</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176.09</w:t>
      </w:r>
      <w:r>
        <w:rPr>
          <w:rFonts w:hint="eastAsia" w:ascii="仿宋_GB2312" w:hAnsi="仿宋_GB2312" w:eastAsia="仿宋_GB2312" w:cs="仿宋_GB2312"/>
          <w:sz w:val="32"/>
          <w:szCs w:val="32"/>
        </w:rPr>
        <w:t xml:space="preserve"> %，增长的主要原因是</w:t>
      </w:r>
      <w:r>
        <w:rPr>
          <w:rFonts w:hint="eastAsia" w:ascii="仿宋_GB2312" w:hAnsi="仿宋_GB2312" w:eastAsia="仿宋_GB2312" w:cs="仿宋_GB2312"/>
          <w:sz w:val="32"/>
          <w:szCs w:val="32"/>
          <w:lang w:val="en-US" w:eastAsia="zh-CN"/>
        </w:rPr>
        <w:t>2024年预算增加兰州新区201线上川段环境综合整治项目1380.34万元、兰州新区景中高速上川段环境综合整治项目442.29万元。</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保障运转经费</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个，主要是</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lang w:val="en-US" w:eastAsia="zh-CN"/>
        </w:rPr>
        <w:t>024年上川镇交管站“两站一室”工作经费15万元；2024年上川镇网格员补助15万元；2024年上川镇村级办公经费及村干部补助356.4万元。</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其他项目</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个，主要是</w:t>
      </w:r>
      <w:r>
        <w:rPr>
          <w:rFonts w:hint="eastAsia" w:ascii="仿宋_GB2312" w:hAnsi="仿宋_GB2312" w:eastAsia="仿宋_GB2312" w:cs="仿宋_GB2312"/>
          <w:sz w:val="32"/>
          <w:szCs w:val="32"/>
          <w:lang w:val="en-US" w:eastAsia="zh-CN"/>
        </w:rPr>
        <w:t>2024年上川镇农村环境综合整治项目315万元；兰州新区201线上川段环境综合整治项目1380.34万元；兰州新区景中高速上川段环境综合整治项目442.29万元。</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（三）支出功能分类说明</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default" w:ascii="仿宋_GB2312" w:eastAsia="仿宋_GB2312"/>
          <w:color w:val="000000"/>
          <w:sz w:val="32"/>
          <w:szCs w:val="32"/>
          <w:lang w:val="en-US" w:eastAsia="zh-CN"/>
        </w:rPr>
      </w:pPr>
      <w:r>
        <w:rPr>
          <w:rFonts w:hint="eastAsia" w:ascii="仿宋_GB2312" w:hAnsi="TimesNewRomanPS-BoldMT" w:eastAsia="仿宋_GB2312"/>
          <w:bCs/>
          <w:color w:val="000000"/>
          <w:sz w:val="32"/>
          <w:szCs w:val="32"/>
        </w:rPr>
        <w:t>1.</w:t>
      </w:r>
      <w:r>
        <w:rPr>
          <w:rFonts w:hint="eastAsia" w:ascii="仿宋_GB2312" w:eastAsia="仿宋_GB2312"/>
          <w:color w:val="000000"/>
          <w:sz w:val="32"/>
          <w:szCs w:val="32"/>
        </w:rPr>
        <w:t xml:space="preserve">一般公共服务（ 类） </w:t>
      </w:r>
      <w:r>
        <w:rPr>
          <w:rFonts w:hint="eastAsia" w:ascii="仿宋_GB2312" w:eastAsia="仿宋_GB2312"/>
          <w:color w:val="000000"/>
          <w:sz w:val="32"/>
          <w:szCs w:val="32"/>
          <w:lang w:eastAsia="zh-CN"/>
        </w:rPr>
        <w:t>政府办公厅（室）及相关机构事务</w:t>
      </w:r>
      <w:r>
        <w:rPr>
          <w:rFonts w:hint="eastAsia" w:ascii="仿宋_GB2312" w:eastAsia="仿宋_GB2312"/>
          <w:color w:val="000000"/>
          <w:sz w:val="32"/>
          <w:szCs w:val="32"/>
        </w:rPr>
        <w:t xml:space="preserve">（ 款） </w:t>
      </w:r>
      <w:r>
        <w:rPr>
          <w:rFonts w:hint="eastAsia" w:ascii="仿宋_GB2312" w:eastAsia="仿宋_GB2312"/>
          <w:color w:val="000000"/>
          <w:sz w:val="32"/>
          <w:szCs w:val="32"/>
          <w:lang w:eastAsia="zh-CN"/>
        </w:rPr>
        <w:t>行政运行</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1061.36</w:t>
      </w:r>
      <w:r>
        <w:rPr>
          <w:rFonts w:hint="eastAsia" w:ascii="仿宋_GB2312" w:eastAsia="仿宋_GB2312"/>
          <w:color w:val="000000"/>
          <w:sz w:val="32"/>
          <w:szCs w:val="32"/>
        </w:rPr>
        <w:t xml:space="preserve">万元，比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630.21</w:t>
      </w:r>
      <w:r>
        <w:rPr>
          <w:rFonts w:hint="eastAsia" w:ascii="仿宋_GB2312" w:eastAsia="仿宋_GB2312"/>
          <w:color w:val="000000"/>
          <w:sz w:val="32"/>
          <w:szCs w:val="32"/>
        </w:rPr>
        <w:t>万元，主要原因是</w:t>
      </w:r>
      <w:r>
        <w:rPr>
          <w:rFonts w:hint="eastAsia" w:ascii="仿宋_GB2312" w:eastAsia="仿宋_GB2312"/>
          <w:color w:val="000000"/>
          <w:sz w:val="32"/>
          <w:szCs w:val="32"/>
          <w:lang w:val="en-US" w:eastAsia="zh-CN"/>
        </w:rPr>
        <w:t>2023年新区绩效拆分到各部门，2024年将新区绩效统一列支在行政运行科目下。</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rPr>
        <w:t xml:space="preserve">2.一般公共服务（类） </w:t>
      </w:r>
      <w:r>
        <w:rPr>
          <w:rFonts w:hint="eastAsia" w:ascii="仿宋_GB2312" w:eastAsia="仿宋_GB2312"/>
          <w:color w:val="000000"/>
          <w:sz w:val="32"/>
          <w:szCs w:val="32"/>
          <w:lang w:eastAsia="zh-CN"/>
        </w:rPr>
        <w:t>政府办公厅（室）及相关机构事务</w:t>
      </w:r>
      <w:r>
        <w:rPr>
          <w:rFonts w:hint="eastAsia" w:ascii="仿宋_GB2312" w:eastAsia="仿宋_GB2312"/>
          <w:color w:val="000000"/>
          <w:sz w:val="32"/>
          <w:szCs w:val="32"/>
        </w:rPr>
        <w:t xml:space="preserve">（ 款） </w:t>
      </w:r>
      <w:r>
        <w:rPr>
          <w:rFonts w:hint="eastAsia" w:ascii="仿宋_GB2312" w:eastAsia="仿宋_GB2312"/>
          <w:color w:val="000000"/>
          <w:sz w:val="32"/>
          <w:szCs w:val="32"/>
          <w:lang w:eastAsia="zh-CN"/>
        </w:rPr>
        <w:t>一般行政管理事务</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50</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50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增加了项目支出预算公开，主要包括网格员补助</w:t>
      </w:r>
      <w:r>
        <w:rPr>
          <w:rFonts w:hint="eastAsia" w:ascii="仿宋_GB2312" w:eastAsia="仿宋_GB2312"/>
          <w:color w:val="000000"/>
          <w:sz w:val="32"/>
          <w:szCs w:val="32"/>
          <w:lang w:val="en-US" w:eastAsia="zh-CN"/>
        </w:rPr>
        <w:t>15万</w:t>
      </w:r>
      <w:r>
        <w:rPr>
          <w:rFonts w:hint="eastAsia" w:ascii="仿宋_GB2312" w:eastAsia="仿宋_GB2312"/>
          <w:color w:val="000000"/>
          <w:sz w:val="32"/>
          <w:szCs w:val="32"/>
          <w:lang w:eastAsia="zh-CN"/>
        </w:rPr>
        <w:t>、“两站一室”工作经费</w:t>
      </w:r>
      <w:r>
        <w:rPr>
          <w:rFonts w:hint="eastAsia" w:ascii="仿宋_GB2312" w:eastAsia="仿宋_GB2312"/>
          <w:color w:val="000000"/>
          <w:sz w:val="32"/>
          <w:szCs w:val="32"/>
          <w:lang w:val="en-US" w:eastAsia="zh-CN"/>
        </w:rPr>
        <w:t>15万</w:t>
      </w:r>
      <w:r>
        <w:rPr>
          <w:rFonts w:hint="eastAsia" w:ascii="仿宋_GB2312" w:eastAsia="仿宋_GB2312"/>
          <w:color w:val="000000"/>
          <w:sz w:val="32"/>
          <w:szCs w:val="32"/>
          <w:lang w:eastAsia="zh-CN"/>
        </w:rPr>
        <w:t>及</w:t>
      </w:r>
      <w:r>
        <w:rPr>
          <w:rFonts w:hint="eastAsia" w:ascii="仿宋_GB2312" w:eastAsia="仿宋_GB2312"/>
          <w:color w:val="000000"/>
          <w:sz w:val="32"/>
          <w:szCs w:val="32"/>
          <w:lang w:val="en-US" w:eastAsia="zh-CN"/>
        </w:rPr>
        <w:t>201线环境综合整治项目经费20万。</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 xml:space="preserve">.一般公共服务（ 类） </w:t>
      </w:r>
      <w:r>
        <w:rPr>
          <w:rFonts w:hint="eastAsia" w:ascii="仿宋_GB2312" w:eastAsia="仿宋_GB2312"/>
          <w:color w:val="000000"/>
          <w:sz w:val="32"/>
          <w:szCs w:val="32"/>
          <w:lang w:eastAsia="zh-CN"/>
        </w:rPr>
        <w:t>财政事务</w:t>
      </w:r>
      <w:r>
        <w:rPr>
          <w:rFonts w:hint="eastAsia" w:ascii="仿宋_GB2312" w:eastAsia="仿宋_GB2312"/>
          <w:color w:val="000000"/>
          <w:sz w:val="32"/>
          <w:szCs w:val="32"/>
        </w:rPr>
        <w:t xml:space="preserve">（ 款） </w:t>
      </w:r>
      <w:r>
        <w:rPr>
          <w:rFonts w:hint="eastAsia" w:ascii="仿宋_GB2312" w:eastAsia="仿宋_GB2312"/>
          <w:color w:val="000000"/>
          <w:sz w:val="32"/>
          <w:szCs w:val="32"/>
          <w:lang w:eastAsia="zh-CN"/>
        </w:rPr>
        <w:t>事业运行</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46.15</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56.24</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r>
        <w:rPr>
          <w:rFonts w:hint="eastAsia" w:ascii="仿宋_GB2312" w:eastAsia="仿宋_GB2312"/>
          <w:color w:val="000000"/>
          <w:sz w:val="32"/>
          <w:szCs w:val="32"/>
          <w:lang w:eastAsia="zh-CN"/>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w:t>
      </w:r>
      <w:r>
        <w:rPr>
          <w:rFonts w:hint="eastAsia" w:ascii="仿宋_GB2312" w:eastAsia="仿宋_GB2312"/>
          <w:color w:val="000000"/>
          <w:sz w:val="32"/>
          <w:szCs w:val="32"/>
          <w:lang w:eastAsia="zh-CN"/>
        </w:rPr>
        <w:t>公共安全支出</w:t>
      </w:r>
      <w:r>
        <w:rPr>
          <w:rFonts w:hint="eastAsia" w:ascii="仿宋_GB2312" w:eastAsia="仿宋_GB2312"/>
          <w:color w:val="000000"/>
          <w:sz w:val="32"/>
          <w:szCs w:val="32"/>
        </w:rPr>
        <w:t>（ 类）</w:t>
      </w:r>
      <w:r>
        <w:rPr>
          <w:rFonts w:hint="eastAsia" w:ascii="仿宋_GB2312" w:eastAsia="仿宋_GB2312"/>
          <w:color w:val="000000"/>
          <w:sz w:val="32"/>
          <w:szCs w:val="32"/>
          <w:lang w:eastAsia="zh-CN"/>
        </w:rPr>
        <w:t>司法事务</w:t>
      </w:r>
      <w:r>
        <w:rPr>
          <w:rFonts w:hint="eastAsia" w:ascii="仿宋_GB2312" w:eastAsia="仿宋_GB2312"/>
          <w:color w:val="000000"/>
          <w:sz w:val="32"/>
          <w:szCs w:val="32"/>
        </w:rPr>
        <w:t xml:space="preserve">（ 款） </w:t>
      </w:r>
      <w:r>
        <w:rPr>
          <w:rFonts w:hint="eastAsia" w:ascii="仿宋_GB2312" w:eastAsia="仿宋_GB2312"/>
          <w:color w:val="000000"/>
          <w:sz w:val="32"/>
          <w:szCs w:val="32"/>
          <w:lang w:eastAsia="zh-CN"/>
        </w:rPr>
        <w:t>事业运行</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30.85</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37.57</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r>
        <w:rPr>
          <w:rFonts w:hint="eastAsia" w:ascii="仿宋_GB2312" w:eastAsia="仿宋_GB2312"/>
          <w:color w:val="000000"/>
          <w:sz w:val="32"/>
          <w:szCs w:val="32"/>
          <w:lang w:eastAsia="zh-CN"/>
        </w:rPr>
        <w:t>；</w:t>
      </w:r>
    </w:p>
    <w:p>
      <w:pPr>
        <w:keepNext w:val="0"/>
        <w:keepLines w:val="0"/>
        <w:pageBreakBefore w:val="0"/>
        <w:widowControl/>
        <w:kinsoku/>
        <w:overflowPunct/>
        <w:topLinePunct w:val="0"/>
        <w:autoSpaceDE/>
        <w:autoSpaceDN/>
        <w:bidi w:val="0"/>
        <w:adjustRightInd w:val="0"/>
        <w:snapToGrid w:val="0"/>
        <w:spacing w:line="560" w:lineRule="exact"/>
        <w:ind w:right="0"/>
        <w:contextualSpacing/>
        <w:jc w:val="both"/>
        <w:textAlignment w:val="auto"/>
        <w:rPr>
          <w:rFonts w:hint="eastAsia" w:ascii="仿宋_GB2312" w:eastAsia="仿宋_GB2312"/>
          <w:color w:val="000000"/>
          <w:sz w:val="32"/>
          <w:szCs w:val="32"/>
          <w:lang w:eastAsia="zh-CN"/>
        </w:rPr>
      </w:pP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w:t>
      </w:r>
      <w:r>
        <w:rPr>
          <w:rFonts w:hint="eastAsia" w:ascii="仿宋_GB2312" w:eastAsia="仿宋_GB2312"/>
          <w:color w:val="000000"/>
          <w:sz w:val="32"/>
          <w:szCs w:val="32"/>
          <w:lang w:eastAsia="zh-CN"/>
        </w:rPr>
        <w:t>社会保障和就业支出</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行政事业单位养老支出</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行政单位离退休</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6.35</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0.3</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2023年退休工资小幅度上涨</w:t>
      </w:r>
      <w:r>
        <w:rPr>
          <w:rFonts w:hint="eastAsia" w:ascii="仿宋_GB2312" w:eastAsia="仿宋_GB2312"/>
          <w:color w:val="000000"/>
          <w:sz w:val="32"/>
          <w:szCs w:val="32"/>
          <w:lang w:eastAsia="zh-CN"/>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w:t>
      </w:r>
      <w:r>
        <w:rPr>
          <w:rFonts w:hint="eastAsia" w:ascii="仿宋_GB2312" w:eastAsia="仿宋_GB2312"/>
          <w:color w:val="000000"/>
          <w:sz w:val="32"/>
          <w:szCs w:val="32"/>
          <w:lang w:eastAsia="zh-CN"/>
        </w:rPr>
        <w:t>社会保障和就业支出</w:t>
      </w:r>
      <w:r>
        <w:rPr>
          <w:rFonts w:hint="eastAsia" w:ascii="仿宋_GB2312" w:eastAsia="仿宋_GB2312"/>
          <w:color w:val="000000"/>
          <w:sz w:val="32"/>
          <w:szCs w:val="32"/>
        </w:rPr>
        <w:t>（ 类）</w:t>
      </w:r>
      <w:r>
        <w:rPr>
          <w:rFonts w:hint="eastAsia" w:ascii="仿宋_GB2312" w:eastAsia="仿宋_GB2312"/>
          <w:color w:val="000000"/>
          <w:sz w:val="32"/>
          <w:szCs w:val="32"/>
          <w:lang w:eastAsia="zh-CN"/>
        </w:rPr>
        <w:t>行政事业单位养老支出</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机关事业单位基本养老保险缴费支出</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66.19</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1.75</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2023年人员调出，2023年按实际缴存基数测算，2024年公务员缴存基数按3.0系统公式测算，公式测算时将公务员基本工资之和未列入缴存基数之内，导致测算数据比实际缴存基数小；</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w:t>
      </w:r>
      <w:r>
        <w:rPr>
          <w:rFonts w:hint="eastAsia" w:ascii="仿宋_GB2312" w:eastAsia="仿宋_GB2312"/>
          <w:color w:val="000000"/>
          <w:sz w:val="32"/>
          <w:szCs w:val="32"/>
          <w:lang w:eastAsia="zh-CN"/>
        </w:rPr>
        <w:t>社会保障和就业支出</w:t>
      </w:r>
      <w:r>
        <w:rPr>
          <w:rFonts w:hint="eastAsia" w:ascii="仿宋_GB2312" w:eastAsia="仿宋_GB2312"/>
          <w:color w:val="000000"/>
          <w:sz w:val="32"/>
          <w:szCs w:val="32"/>
        </w:rPr>
        <w:t>（ 类）</w:t>
      </w:r>
      <w:r>
        <w:rPr>
          <w:rFonts w:hint="eastAsia" w:ascii="仿宋_GB2312" w:eastAsia="仿宋_GB2312"/>
          <w:color w:val="000000"/>
          <w:sz w:val="32"/>
          <w:szCs w:val="32"/>
          <w:lang w:eastAsia="zh-CN"/>
        </w:rPr>
        <w:t>其他社会保障和就业支出</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其他社会保障和就业支出</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2.87</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0.03</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主要原因是主要原因是</w:t>
      </w:r>
      <w:r>
        <w:rPr>
          <w:rFonts w:hint="eastAsia" w:ascii="仿宋_GB2312" w:eastAsia="仿宋_GB2312"/>
          <w:color w:val="000000"/>
          <w:sz w:val="32"/>
          <w:szCs w:val="32"/>
          <w:lang w:val="en-US" w:eastAsia="zh-CN"/>
        </w:rPr>
        <w:t>2023年人员调出，2023年按实际缴存基数测算，2024年公务员缴存基数按3.0系统公式测算，公式测算时将公务员基本工资之和未列入缴存基数之内，导致测算数据比实际缴存基数小</w:t>
      </w:r>
      <w:r>
        <w:rPr>
          <w:rFonts w:hint="eastAsia" w:ascii="仿宋_GB2312" w:eastAsia="仿宋_GB2312"/>
          <w:color w:val="000000"/>
          <w:sz w:val="32"/>
          <w:szCs w:val="32"/>
          <w:lang w:eastAsia="zh-CN"/>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w:t>
      </w:r>
      <w:r>
        <w:rPr>
          <w:rFonts w:hint="eastAsia" w:ascii="仿宋_GB2312" w:eastAsia="仿宋_GB2312"/>
          <w:color w:val="000000"/>
          <w:sz w:val="32"/>
          <w:szCs w:val="32"/>
          <w:lang w:eastAsia="zh-CN"/>
        </w:rPr>
        <w:t>卫生健康支出</w:t>
      </w:r>
      <w:r>
        <w:rPr>
          <w:rFonts w:hint="eastAsia" w:ascii="仿宋_GB2312" w:eastAsia="仿宋_GB2312"/>
          <w:color w:val="000000"/>
          <w:sz w:val="32"/>
          <w:szCs w:val="32"/>
        </w:rPr>
        <w:t>（ 类）</w:t>
      </w:r>
      <w:r>
        <w:rPr>
          <w:rFonts w:hint="eastAsia" w:ascii="仿宋_GB2312" w:eastAsia="仿宋_GB2312"/>
          <w:color w:val="000000"/>
          <w:sz w:val="32"/>
          <w:szCs w:val="32"/>
          <w:highlight w:val="none"/>
          <w:lang w:eastAsia="zh-CN"/>
        </w:rPr>
        <w:t>行政事业单位医疗</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行政单位医疗</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34.54</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0.91</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2023年人员调出，2023年按实际缴存基数测算，2024年公务员缴存基数按3.0系统公式测算，公式测算时将公务员基本工资之和未列入缴存基数之内，导致测算数据比实际缴存基数小</w:t>
      </w:r>
      <w:r>
        <w:rPr>
          <w:rFonts w:hint="eastAsia" w:ascii="仿宋_GB2312" w:eastAsia="仿宋_GB2312"/>
          <w:color w:val="000000"/>
          <w:sz w:val="32"/>
          <w:szCs w:val="32"/>
          <w:lang w:eastAsia="zh-CN"/>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w:t>
      </w:r>
      <w:r>
        <w:rPr>
          <w:rFonts w:hint="eastAsia" w:ascii="仿宋_GB2312" w:eastAsia="仿宋_GB2312"/>
          <w:color w:val="000000"/>
          <w:sz w:val="32"/>
          <w:szCs w:val="32"/>
          <w:lang w:eastAsia="zh-CN"/>
        </w:rPr>
        <w:t>卫生健康支出</w:t>
      </w:r>
      <w:r>
        <w:rPr>
          <w:rFonts w:hint="eastAsia" w:ascii="仿宋_GB2312" w:eastAsia="仿宋_GB2312"/>
          <w:color w:val="000000"/>
          <w:sz w:val="32"/>
          <w:szCs w:val="32"/>
        </w:rPr>
        <w:t>（ 类）</w:t>
      </w:r>
      <w:r>
        <w:rPr>
          <w:rFonts w:hint="eastAsia" w:ascii="仿宋_GB2312" w:eastAsia="仿宋_GB2312"/>
          <w:color w:val="000000"/>
          <w:sz w:val="32"/>
          <w:szCs w:val="32"/>
          <w:highlight w:val="none"/>
          <w:lang w:eastAsia="zh-CN"/>
        </w:rPr>
        <w:t>行政事业单位医疗</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公务员医疗补助</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22.05</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16.21</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2023年正常晋升及艰边补贴调整后工资小幅度上涨，工资缴存基数上调，2023年只预算了公务员医疗补助，2024年增加了事业干部及退休干部医疗补助；</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w:t>
      </w:r>
      <w:r>
        <w:rPr>
          <w:rFonts w:hint="eastAsia" w:ascii="仿宋_GB2312" w:eastAsia="仿宋_GB2312"/>
          <w:color w:val="000000"/>
          <w:sz w:val="32"/>
          <w:szCs w:val="32"/>
          <w:lang w:eastAsia="zh-CN"/>
        </w:rPr>
        <w:t>卫生健康支出</w:t>
      </w:r>
      <w:r>
        <w:rPr>
          <w:rFonts w:hint="eastAsia" w:ascii="仿宋_GB2312" w:eastAsia="仿宋_GB2312"/>
          <w:color w:val="000000"/>
          <w:sz w:val="32"/>
          <w:szCs w:val="32"/>
        </w:rPr>
        <w:t>（ 类）</w:t>
      </w:r>
      <w:r>
        <w:rPr>
          <w:rFonts w:hint="eastAsia" w:ascii="仿宋_GB2312" w:eastAsia="仿宋_GB2312"/>
          <w:color w:val="auto"/>
          <w:sz w:val="32"/>
          <w:szCs w:val="32"/>
          <w:highlight w:val="none"/>
          <w:lang w:eastAsia="zh-CN"/>
        </w:rPr>
        <w:t>计划生育事务</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计划生育机构</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98.27</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118.56</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w:t>
      </w:r>
      <w:r>
        <w:rPr>
          <w:rFonts w:hint="eastAsia" w:ascii="仿宋_GB2312" w:eastAsia="仿宋_GB2312"/>
          <w:color w:val="000000"/>
          <w:sz w:val="32"/>
          <w:szCs w:val="32"/>
          <w:lang w:eastAsia="zh-CN"/>
        </w:rPr>
        <w:t>城乡社区支出</w:t>
      </w:r>
      <w:r>
        <w:rPr>
          <w:rFonts w:hint="eastAsia" w:ascii="仿宋_GB2312" w:eastAsia="仿宋_GB2312"/>
          <w:color w:val="000000"/>
          <w:sz w:val="32"/>
          <w:szCs w:val="32"/>
        </w:rPr>
        <w:t>（ 类）</w:t>
      </w:r>
      <w:r>
        <w:rPr>
          <w:rFonts w:hint="eastAsia" w:ascii="仿宋_GB2312" w:eastAsia="仿宋_GB2312"/>
          <w:color w:val="auto"/>
          <w:sz w:val="32"/>
          <w:szCs w:val="32"/>
          <w:highlight w:val="none"/>
          <w:lang w:eastAsia="zh-CN"/>
        </w:rPr>
        <w:t>城乡社区管理事务</w:t>
      </w:r>
      <w:r>
        <w:rPr>
          <w:rFonts w:hint="eastAsia" w:ascii="仿宋_GB2312" w:eastAsia="仿宋_GB2312"/>
          <w:color w:val="000000"/>
          <w:sz w:val="32"/>
          <w:szCs w:val="32"/>
        </w:rPr>
        <w:t>（ 款）</w:t>
      </w:r>
      <w:r>
        <w:rPr>
          <w:rFonts w:hint="eastAsia" w:ascii="仿宋_GB2312" w:eastAsia="仿宋_GB2312"/>
          <w:color w:val="000000"/>
          <w:sz w:val="32"/>
          <w:szCs w:val="32"/>
          <w:lang w:eastAsia="zh-CN"/>
        </w:rPr>
        <w:t>城管执法</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60.56</w:t>
      </w:r>
      <w:r>
        <w:rPr>
          <w:rFonts w:hint="eastAsia" w:ascii="仿宋_GB2312" w:eastAsia="仿宋_GB2312"/>
          <w:color w:val="000000"/>
          <w:sz w:val="32"/>
          <w:szCs w:val="32"/>
        </w:rPr>
        <w:t xml:space="preserve">万元，比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78.18</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11</w:t>
      </w:r>
      <w:r>
        <w:rPr>
          <w:rFonts w:hint="eastAsia" w:ascii="仿宋_GB2312" w:eastAsia="仿宋_GB2312"/>
          <w:color w:val="000000"/>
          <w:sz w:val="32"/>
          <w:szCs w:val="32"/>
        </w:rPr>
        <w:t>.</w:t>
      </w:r>
      <w:r>
        <w:rPr>
          <w:rFonts w:hint="eastAsia" w:ascii="仿宋_GB2312" w:eastAsia="仿宋_GB2312"/>
          <w:color w:val="000000"/>
          <w:sz w:val="32"/>
          <w:szCs w:val="32"/>
          <w:lang w:eastAsia="zh-CN"/>
        </w:rPr>
        <w:t>农林水支出</w:t>
      </w:r>
      <w:r>
        <w:rPr>
          <w:rFonts w:hint="eastAsia" w:ascii="仿宋_GB2312" w:eastAsia="仿宋_GB2312"/>
          <w:color w:val="000000"/>
          <w:sz w:val="32"/>
          <w:szCs w:val="32"/>
        </w:rPr>
        <w:t>（类）</w:t>
      </w:r>
      <w:r>
        <w:rPr>
          <w:rFonts w:hint="eastAsia" w:ascii="仿宋_GB2312" w:eastAsia="仿宋_GB2312"/>
          <w:color w:val="auto"/>
          <w:sz w:val="32"/>
          <w:szCs w:val="32"/>
          <w:highlight w:val="none"/>
          <w:lang w:eastAsia="zh-CN"/>
        </w:rPr>
        <w:t>农业农村</w:t>
      </w:r>
      <w:r>
        <w:rPr>
          <w:rFonts w:hint="eastAsia" w:ascii="仿宋_GB2312" w:eastAsia="仿宋_GB2312"/>
          <w:color w:val="000000"/>
          <w:sz w:val="32"/>
          <w:szCs w:val="32"/>
        </w:rPr>
        <w:t>（款）</w:t>
      </w:r>
      <w:r>
        <w:rPr>
          <w:rFonts w:hint="eastAsia" w:ascii="仿宋_GB2312" w:eastAsia="仿宋_GB2312"/>
          <w:color w:val="000000"/>
          <w:sz w:val="32"/>
          <w:szCs w:val="32"/>
          <w:lang w:eastAsia="zh-CN"/>
        </w:rPr>
        <w:t>事业运行</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83.24</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115.32</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12</w:t>
      </w:r>
      <w:r>
        <w:rPr>
          <w:rFonts w:hint="eastAsia" w:ascii="仿宋_GB2312" w:eastAsia="仿宋_GB2312"/>
          <w:color w:val="000000"/>
          <w:sz w:val="32"/>
          <w:szCs w:val="32"/>
        </w:rPr>
        <w:t>.</w:t>
      </w:r>
      <w:r>
        <w:rPr>
          <w:rFonts w:hint="eastAsia" w:ascii="仿宋_GB2312" w:eastAsia="仿宋_GB2312"/>
          <w:color w:val="000000"/>
          <w:sz w:val="32"/>
          <w:szCs w:val="32"/>
          <w:lang w:eastAsia="zh-CN"/>
        </w:rPr>
        <w:t>农林水支出</w:t>
      </w:r>
      <w:r>
        <w:rPr>
          <w:rFonts w:hint="eastAsia" w:ascii="仿宋_GB2312" w:eastAsia="仿宋_GB2312"/>
          <w:color w:val="000000"/>
          <w:sz w:val="32"/>
          <w:szCs w:val="32"/>
        </w:rPr>
        <w:t>（类）</w:t>
      </w:r>
      <w:r>
        <w:rPr>
          <w:rFonts w:hint="eastAsia" w:ascii="仿宋_GB2312" w:eastAsia="仿宋_GB2312"/>
          <w:color w:val="auto"/>
          <w:sz w:val="32"/>
          <w:szCs w:val="32"/>
          <w:highlight w:val="none"/>
          <w:lang w:eastAsia="zh-CN"/>
        </w:rPr>
        <w:t>农业农村</w:t>
      </w:r>
      <w:r>
        <w:rPr>
          <w:rFonts w:hint="eastAsia" w:ascii="仿宋_GB2312" w:eastAsia="仿宋_GB2312"/>
          <w:color w:val="000000"/>
          <w:sz w:val="32"/>
          <w:szCs w:val="32"/>
        </w:rPr>
        <w:t>（款）</w:t>
      </w:r>
      <w:r>
        <w:rPr>
          <w:rFonts w:hint="eastAsia" w:ascii="仿宋_GB2312" w:eastAsia="仿宋_GB2312"/>
          <w:color w:val="000000"/>
          <w:sz w:val="32"/>
          <w:szCs w:val="32"/>
          <w:lang w:eastAsia="zh-CN"/>
        </w:rPr>
        <w:t>其他农业农村支出</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2117.63</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年预算增加</w:t>
      </w:r>
      <w:r>
        <w:rPr>
          <w:rFonts w:hint="eastAsia" w:ascii="仿宋_GB2312" w:eastAsia="仿宋_GB2312"/>
          <w:color w:val="000000"/>
          <w:sz w:val="32"/>
          <w:szCs w:val="32"/>
          <w:lang w:val="en-US" w:eastAsia="zh-CN"/>
        </w:rPr>
        <w:t>2117.63</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2023年项目支出除村社干部工资由本单位公开外，其余项目均由秦川园区公开，2024年所有项目支出由本单位公开；</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13</w:t>
      </w:r>
      <w:r>
        <w:rPr>
          <w:rFonts w:hint="eastAsia" w:ascii="仿宋_GB2312" w:eastAsia="仿宋_GB2312"/>
          <w:color w:val="000000"/>
          <w:sz w:val="32"/>
          <w:szCs w:val="32"/>
        </w:rPr>
        <w:t>.</w:t>
      </w:r>
      <w:r>
        <w:rPr>
          <w:rFonts w:hint="eastAsia" w:ascii="仿宋_GB2312" w:eastAsia="仿宋_GB2312"/>
          <w:color w:val="000000"/>
          <w:sz w:val="32"/>
          <w:szCs w:val="32"/>
          <w:lang w:eastAsia="zh-CN"/>
        </w:rPr>
        <w:t>农林水支出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213</w:t>
      </w:r>
      <w:r>
        <w:rPr>
          <w:rFonts w:hint="eastAsia" w:ascii="仿宋_GB2312" w:eastAsia="仿宋_GB2312"/>
          <w:color w:val="000000"/>
          <w:sz w:val="32"/>
          <w:szCs w:val="32"/>
        </w:rPr>
        <w:t>类）</w:t>
      </w:r>
      <w:r>
        <w:rPr>
          <w:rFonts w:hint="eastAsia" w:ascii="仿宋_GB2312" w:eastAsia="仿宋_GB2312"/>
          <w:color w:val="auto"/>
          <w:sz w:val="32"/>
          <w:szCs w:val="32"/>
          <w:highlight w:val="none"/>
          <w:lang w:eastAsia="zh-CN"/>
        </w:rPr>
        <w:t>农村综合改革</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07</w:t>
      </w:r>
      <w:r>
        <w:rPr>
          <w:rFonts w:hint="eastAsia" w:ascii="仿宋_GB2312" w:eastAsia="仿宋_GB2312"/>
          <w:color w:val="000000"/>
          <w:sz w:val="32"/>
          <w:szCs w:val="32"/>
        </w:rPr>
        <w:t>款）</w:t>
      </w:r>
      <w:r>
        <w:rPr>
          <w:rFonts w:hint="eastAsia" w:ascii="仿宋_GB2312" w:eastAsia="仿宋_GB2312"/>
          <w:color w:val="000000"/>
          <w:sz w:val="32"/>
          <w:szCs w:val="32"/>
          <w:lang w:eastAsia="zh-CN"/>
        </w:rPr>
        <w:t>对村民委员会和村党支部的补助</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05</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356.40</w:t>
      </w:r>
      <w:r>
        <w:rPr>
          <w:rFonts w:hint="eastAsia" w:ascii="仿宋_GB2312" w:eastAsia="仿宋_GB2312"/>
          <w:color w:val="000000"/>
          <w:sz w:val="32"/>
          <w:szCs w:val="32"/>
        </w:rPr>
        <w:t xml:space="preserve">万元， </w:t>
      </w:r>
      <w:r>
        <w:rPr>
          <w:rFonts w:hint="eastAsia" w:ascii="仿宋_GB2312" w:eastAsia="仿宋_GB2312"/>
          <w:color w:val="000000"/>
          <w:sz w:val="32"/>
          <w:szCs w:val="32"/>
          <w:lang w:eastAsia="zh-CN"/>
        </w:rPr>
        <w:t>与</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保持一致，</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2024年村社干部人员和工资无变动；</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w:t>
      </w:r>
      <w:r>
        <w:rPr>
          <w:rFonts w:hint="eastAsia" w:ascii="仿宋_GB2312" w:eastAsia="仿宋_GB2312"/>
          <w:color w:val="000000"/>
          <w:sz w:val="32"/>
          <w:szCs w:val="32"/>
          <w:lang w:eastAsia="zh-CN"/>
        </w:rPr>
        <w:t>住房保障支出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221</w:t>
      </w:r>
      <w:r>
        <w:rPr>
          <w:rFonts w:hint="eastAsia" w:ascii="仿宋_GB2312" w:eastAsia="仿宋_GB2312"/>
          <w:color w:val="000000"/>
          <w:sz w:val="32"/>
          <w:szCs w:val="32"/>
        </w:rPr>
        <w:t xml:space="preserve"> 类）</w:t>
      </w:r>
      <w:r>
        <w:rPr>
          <w:rFonts w:hint="eastAsia" w:ascii="仿宋_GB2312" w:eastAsia="仿宋_GB2312"/>
          <w:color w:val="auto"/>
          <w:sz w:val="32"/>
          <w:szCs w:val="32"/>
          <w:highlight w:val="none"/>
          <w:lang w:eastAsia="zh-CN"/>
        </w:rPr>
        <w:t>住房改革支出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02</w:t>
      </w:r>
      <w:r>
        <w:rPr>
          <w:rFonts w:hint="eastAsia" w:ascii="仿宋_GB2312" w:eastAsia="仿宋_GB2312"/>
          <w:color w:val="000000"/>
          <w:sz w:val="32"/>
          <w:szCs w:val="32"/>
        </w:rPr>
        <w:t xml:space="preserve"> 款）</w:t>
      </w:r>
      <w:r>
        <w:rPr>
          <w:rFonts w:hint="eastAsia" w:ascii="仿宋_GB2312" w:eastAsia="仿宋_GB2312"/>
          <w:color w:val="000000"/>
          <w:sz w:val="32"/>
          <w:szCs w:val="32"/>
          <w:lang w:eastAsia="zh-CN"/>
        </w:rPr>
        <w:t>住房公积金</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01</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49.64</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1.31</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2023年人员调出，2023年按实际缴存基数测算，2024年公务员缴存基数按3.0系统公式测算，公式测算时将公务员基本工资之和未列入缴存基数之内，导致测算数据比实际缴存基数小；</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15</w:t>
      </w:r>
      <w:r>
        <w:rPr>
          <w:rFonts w:hint="eastAsia" w:ascii="仿宋_GB2312" w:eastAsia="仿宋_GB2312"/>
          <w:color w:val="000000"/>
          <w:sz w:val="32"/>
          <w:szCs w:val="32"/>
        </w:rPr>
        <w:t>.</w:t>
      </w:r>
      <w:r>
        <w:rPr>
          <w:rFonts w:hint="eastAsia" w:ascii="仿宋_GB2312" w:eastAsia="仿宋_GB2312"/>
          <w:color w:val="000000"/>
          <w:sz w:val="32"/>
          <w:szCs w:val="32"/>
          <w:lang w:eastAsia="zh-CN"/>
        </w:rPr>
        <w:t>灾害防治及应急管理支出</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224</w:t>
      </w:r>
      <w:r>
        <w:rPr>
          <w:rFonts w:hint="eastAsia" w:ascii="仿宋_GB2312" w:eastAsia="仿宋_GB2312"/>
          <w:color w:val="000000"/>
          <w:sz w:val="32"/>
          <w:szCs w:val="32"/>
        </w:rPr>
        <w:t xml:space="preserve"> 类）</w:t>
      </w:r>
      <w:r>
        <w:rPr>
          <w:rFonts w:hint="eastAsia" w:ascii="仿宋_GB2312" w:eastAsia="仿宋_GB2312"/>
          <w:color w:val="auto"/>
          <w:sz w:val="32"/>
          <w:szCs w:val="32"/>
          <w:highlight w:val="none"/>
          <w:lang w:eastAsia="zh-CN"/>
        </w:rPr>
        <w:t>应急</w:t>
      </w:r>
      <w:r>
        <w:rPr>
          <w:rFonts w:hint="eastAsia" w:ascii="仿宋_GB2312" w:eastAsia="仿宋_GB2312"/>
          <w:color w:val="auto"/>
          <w:sz w:val="32"/>
          <w:szCs w:val="32"/>
          <w:highlight w:val="none"/>
          <w:lang w:val="en-US" w:eastAsia="zh-CN"/>
        </w:rPr>
        <w:t>管理事务</w:t>
      </w: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01</w:t>
      </w:r>
      <w:r>
        <w:rPr>
          <w:rFonts w:hint="eastAsia" w:ascii="仿宋_GB2312" w:eastAsia="仿宋_GB2312"/>
          <w:color w:val="000000"/>
          <w:sz w:val="32"/>
          <w:szCs w:val="32"/>
        </w:rPr>
        <w:t>款）</w:t>
      </w:r>
      <w:r>
        <w:rPr>
          <w:rFonts w:hint="eastAsia" w:ascii="仿宋_GB2312" w:eastAsia="仿宋_GB2312"/>
          <w:color w:val="000000"/>
          <w:sz w:val="32"/>
          <w:szCs w:val="32"/>
          <w:lang w:eastAsia="zh-CN"/>
        </w:rPr>
        <w:t>事业运行</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50</w:t>
      </w:r>
      <w:r>
        <w:rPr>
          <w:rFonts w:hint="eastAsia" w:ascii="仿宋_GB2312" w:eastAsia="仿宋_GB2312"/>
          <w:color w:val="000000"/>
          <w:sz w:val="32"/>
          <w:szCs w:val="32"/>
        </w:rPr>
        <w:t>项）</w:t>
      </w:r>
      <w:r>
        <w:rPr>
          <w:rFonts w:hint="eastAsia" w:ascii="仿宋_GB2312" w:hAnsi="TimesNewRomanPSMT" w:eastAsia="仿宋_GB2312"/>
          <w:color w:val="000000"/>
          <w:sz w:val="32"/>
          <w:szCs w:val="32"/>
        </w:rPr>
        <w:t xml:space="preserve">2024 </w:t>
      </w:r>
      <w:r>
        <w:rPr>
          <w:rFonts w:hint="eastAsia" w:ascii="仿宋_GB2312" w:eastAsia="仿宋_GB2312"/>
          <w:color w:val="000000"/>
          <w:sz w:val="32"/>
          <w:szCs w:val="32"/>
        </w:rPr>
        <w:t>年预算数为</w:t>
      </w:r>
      <w:r>
        <w:rPr>
          <w:rFonts w:hint="eastAsia" w:ascii="仿宋_GB2312" w:hAnsi="TimesNewRomanPSMT" w:eastAsia="仿宋_GB2312"/>
          <w:color w:val="000000"/>
          <w:sz w:val="32"/>
          <w:szCs w:val="32"/>
          <w:lang w:val="en-US" w:eastAsia="zh-CN"/>
        </w:rPr>
        <w:t>37.13</w:t>
      </w:r>
      <w:r>
        <w:rPr>
          <w:rFonts w:hint="eastAsia" w:ascii="仿宋_GB2312" w:eastAsia="仿宋_GB2312"/>
          <w:color w:val="000000"/>
          <w:sz w:val="32"/>
          <w:szCs w:val="32"/>
        </w:rPr>
        <w:t xml:space="preserve">万元， 比 </w:t>
      </w:r>
      <w:r>
        <w:rPr>
          <w:rFonts w:hint="eastAsia" w:ascii="仿宋_GB2312" w:hAnsi="TimesNewRomanPSMT" w:eastAsia="仿宋_GB2312"/>
          <w:color w:val="000000"/>
          <w:sz w:val="32"/>
          <w:szCs w:val="32"/>
        </w:rPr>
        <w:t xml:space="preserve">2023 </w:t>
      </w:r>
      <w:r>
        <w:rPr>
          <w:rFonts w:hint="eastAsia" w:ascii="仿宋_GB2312" w:eastAsia="仿宋_GB2312"/>
          <w:color w:val="000000"/>
          <w:sz w:val="32"/>
          <w:szCs w:val="32"/>
        </w:rPr>
        <w:t>年预算</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50.99</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2023年新区绩效拆分到各部门，2024年将新区绩效统一列支在行政运行科目下，减少了新区绩效支出；</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五、部门（单位）一般公共预算财政拨款“三公”经费、培训费、会议费等情况</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（一）“三公”经费情况说明</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default" w:ascii="仿宋_GB2312" w:hAnsi="仿宋" w:eastAsia="仿宋_GB2312" w:cs="宋体"/>
          <w:b/>
          <w:kern w:val="0"/>
          <w:sz w:val="32"/>
          <w:szCs w:val="32"/>
          <w:lang w:val="en-US" w:eastAsia="zh-CN"/>
        </w:rPr>
      </w:pPr>
      <w:r>
        <w:rPr>
          <w:rFonts w:hint="eastAsia" w:ascii="仿宋_GB2312" w:hAnsi="仿宋" w:eastAsia="仿宋_GB2312"/>
          <w:sz w:val="32"/>
          <w:szCs w:val="32"/>
        </w:rPr>
        <w:t>“三公”经费预算</w:t>
      </w:r>
      <w:r>
        <w:rPr>
          <w:rFonts w:hint="eastAsia" w:ascii="仿宋_GB2312" w:hAnsi="仿宋" w:eastAsia="仿宋_GB2312"/>
          <w:sz w:val="32"/>
          <w:szCs w:val="32"/>
          <w:lang w:val="en-US" w:eastAsia="zh-CN"/>
        </w:rPr>
        <w:t>10.5</w:t>
      </w:r>
      <w:r>
        <w:rPr>
          <w:rFonts w:hint="eastAsia" w:ascii="仿宋_GB2312" w:hAnsi="仿宋" w:eastAsia="仿宋_GB2312"/>
          <w:sz w:val="32"/>
          <w:szCs w:val="32"/>
        </w:rPr>
        <w:t>万元，</w:t>
      </w:r>
      <w:r>
        <w:rPr>
          <w:rFonts w:hint="eastAsia" w:ascii="仿宋_GB2312" w:hAnsi="仿宋" w:eastAsia="仿宋_GB2312"/>
          <w:sz w:val="32"/>
          <w:szCs w:val="32"/>
          <w:lang w:eastAsia="zh-CN"/>
        </w:rPr>
        <w:t>与</w:t>
      </w:r>
      <w:r>
        <w:rPr>
          <w:rFonts w:hint="eastAsia" w:ascii="仿宋_GB2312" w:hAnsi="仿宋" w:eastAsia="仿宋_GB2312"/>
          <w:sz w:val="32"/>
          <w:szCs w:val="32"/>
          <w:lang w:val="en-US" w:eastAsia="zh-CN"/>
        </w:rPr>
        <w:t>2023年持平。</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1.因公出国（境）费用</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 w:eastAsia="仿宋_GB2312"/>
          <w:sz w:val="32"/>
          <w:szCs w:val="32"/>
        </w:rPr>
      </w:pPr>
      <w:r>
        <w:rPr>
          <w:rFonts w:hint="eastAsia" w:ascii="仿宋_GB2312" w:hAnsi="仿宋" w:eastAsia="仿宋_GB2312"/>
          <w:sz w:val="32"/>
          <w:szCs w:val="32"/>
        </w:rPr>
        <w:t>2.公务接待费</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 w:eastAsia="仿宋_GB2312"/>
          <w:sz w:val="32"/>
          <w:szCs w:val="32"/>
        </w:rPr>
      </w:pPr>
      <w:r>
        <w:rPr>
          <w:rFonts w:hint="eastAsia" w:ascii="仿宋_GB2312" w:hAnsi="仿宋" w:eastAsia="仿宋_GB2312"/>
          <w:sz w:val="32"/>
          <w:szCs w:val="32"/>
        </w:rPr>
        <w:t>3.公务用车购置及运行维护费</w:t>
      </w:r>
      <w:r>
        <w:rPr>
          <w:rFonts w:hint="eastAsia" w:ascii="仿宋_GB2312" w:hAnsi="仿宋" w:eastAsia="仿宋_GB2312"/>
          <w:sz w:val="32"/>
          <w:szCs w:val="32"/>
          <w:lang w:val="en-US" w:eastAsia="zh-CN"/>
        </w:rPr>
        <w:t>10.5</w:t>
      </w:r>
      <w:r>
        <w:rPr>
          <w:rFonts w:hint="eastAsia" w:ascii="仿宋_GB2312" w:hAnsi="仿宋" w:eastAsia="仿宋_GB2312"/>
          <w:sz w:val="32"/>
          <w:szCs w:val="32"/>
        </w:rPr>
        <w:t>万元（其中：公务</w:t>
      </w:r>
    </w:p>
    <w:p>
      <w:pPr>
        <w:keepNext w:val="0"/>
        <w:keepLines w:val="0"/>
        <w:pageBreakBefore w:val="0"/>
        <w:widowControl/>
        <w:kinsoku/>
        <w:wordWrap/>
        <w:overflowPunct/>
        <w:topLinePunct w:val="0"/>
        <w:autoSpaceDE/>
        <w:autoSpaceDN/>
        <w:bidi w:val="0"/>
        <w:adjustRightInd w:val="0"/>
        <w:snapToGrid w:val="0"/>
        <w:spacing w:line="560" w:lineRule="exact"/>
        <w:ind w:right="0"/>
        <w:contextualSpacing/>
        <w:jc w:val="both"/>
        <w:textAlignment w:val="auto"/>
        <w:rPr>
          <w:rFonts w:ascii="仿宋_GB2312" w:hAnsi="仿宋" w:eastAsia="仿宋_GB2312"/>
          <w:sz w:val="32"/>
          <w:szCs w:val="32"/>
        </w:rPr>
      </w:pPr>
      <w:r>
        <w:rPr>
          <w:rFonts w:hint="eastAsia" w:ascii="仿宋_GB2312" w:hAnsi="仿宋" w:eastAsia="仿宋_GB2312"/>
          <w:sz w:val="32"/>
          <w:szCs w:val="32"/>
        </w:rPr>
        <w:t>用车购置</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万元，公务用车运行维护费</w:t>
      </w:r>
      <w:r>
        <w:rPr>
          <w:rFonts w:hint="eastAsia" w:ascii="仿宋_GB2312" w:hAnsi="仿宋" w:eastAsia="仿宋_GB2312"/>
          <w:sz w:val="32"/>
          <w:szCs w:val="32"/>
          <w:lang w:val="en-US" w:eastAsia="zh-CN"/>
        </w:rPr>
        <w:t>10.5</w:t>
      </w:r>
      <w:r>
        <w:rPr>
          <w:rFonts w:hint="eastAsia" w:ascii="仿宋_GB2312" w:hAnsi="仿宋" w:eastAsia="仿宋_GB2312"/>
          <w:sz w:val="32"/>
          <w:szCs w:val="32"/>
        </w:rPr>
        <w:t>万元），</w:t>
      </w:r>
      <w:r>
        <w:rPr>
          <w:rFonts w:hint="eastAsia" w:ascii="仿宋_GB2312" w:hAnsi="仿宋" w:eastAsia="仿宋_GB2312"/>
          <w:sz w:val="32"/>
          <w:szCs w:val="32"/>
          <w:lang w:eastAsia="zh-CN"/>
        </w:rPr>
        <w:t>与</w:t>
      </w:r>
      <w:r>
        <w:rPr>
          <w:rFonts w:hint="eastAsia" w:ascii="仿宋_GB2312" w:hAnsi="仿宋" w:eastAsia="仿宋_GB2312"/>
          <w:sz w:val="32"/>
          <w:szCs w:val="32"/>
          <w:lang w:val="en-US" w:eastAsia="zh-CN"/>
        </w:rPr>
        <w:t>2023年持平</w:t>
      </w:r>
      <w:r>
        <w:rPr>
          <w:rFonts w:hint="eastAsia" w:ascii="仿宋_GB2312" w:hAnsi="仿宋" w:eastAsia="仿宋_GB2312"/>
          <w:sz w:val="32"/>
          <w:szCs w:val="32"/>
        </w:rPr>
        <w:t>。</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（二）培训费预算情况说明</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4.培训费</w:t>
      </w:r>
      <w:r>
        <w:rPr>
          <w:rFonts w:hint="eastAsia" w:ascii="仿宋_GB2312" w:hAnsi="仿宋" w:eastAsia="仿宋_GB2312"/>
          <w:sz w:val="32"/>
          <w:szCs w:val="32"/>
          <w:lang w:val="en-US" w:eastAsia="zh-CN"/>
        </w:rPr>
        <w:t>4.12</w:t>
      </w:r>
      <w:r>
        <w:rPr>
          <w:rFonts w:hint="eastAsia" w:ascii="仿宋_GB2312" w:hAnsi="仿宋" w:eastAsia="仿宋_GB2312"/>
          <w:sz w:val="32"/>
          <w:szCs w:val="32"/>
        </w:rPr>
        <w:t>万元，较2023年预算增加</w:t>
      </w:r>
      <w:r>
        <w:rPr>
          <w:rFonts w:hint="eastAsia" w:ascii="仿宋_GB2312" w:hAnsi="仿宋" w:eastAsia="仿宋_GB2312"/>
          <w:sz w:val="32"/>
          <w:szCs w:val="32"/>
          <w:lang w:val="en-US" w:eastAsia="zh-CN"/>
        </w:rPr>
        <w:t>0.56</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15.73</w:t>
      </w:r>
      <w:r>
        <w:rPr>
          <w:rFonts w:hint="eastAsia" w:ascii="仿宋_GB2312" w:hAnsi="仿宋" w:eastAsia="仿宋_GB2312"/>
          <w:sz w:val="32"/>
          <w:szCs w:val="32"/>
        </w:rPr>
        <w:t xml:space="preserve"> %，增长的主要原因是</w:t>
      </w:r>
      <w:r>
        <w:rPr>
          <w:rFonts w:hint="eastAsia" w:ascii="仿宋_GB2312" w:hAnsi="仿宋" w:eastAsia="仿宋_GB2312"/>
          <w:sz w:val="32"/>
          <w:szCs w:val="32"/>
          <w:lang w:eastAsia="zh-CN"/>
        </w:rPr>
        <w:t>工资标准提高相应的基数增加</w:t>
      </w:r>
      <w:r>
        <w:rPr>
          <w:rFonts w:hint="eastAsia" w:ascii="仿宋_GB2312" w:hAnsi="仿宋" w:eastAsia="仿宋_GB2312"/>
          <w:sz w:val="32"/>
          <w:szCs w:val="32"/>
        </w:rPr>
        <w:t>。</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（三）会议费预算情况说明</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5.会议费</w:t>
      </w:r>
      <w:r>
        <w:rPr>
          <w:rFonts w:hint="eastAsia" w:ascii="仿宋_GB2312" w:hAnsi="仿宋" w:eastAsia="仿宋_GB2312"/>
          <w:sz w:val="32"/>
          <w:szCs w:val="32"/>
          <w:lang w:val="en-US" w:eastAsia="zh-CN"/>
        </w:rPr>
        <w:t>5</w:t>
      </w:r>
      <w:r>
        <w:rPr>
          <w:rFonts w:hint="eastAsia" w:ascii="仿宋_GB2312" w:hAnsi="仿宋" w:eastAsia="仿宋_GB2312"/>
          <w:sz w:val="32"/>
          <w:szCs w:val="32"/>
        </w:rPr>
        <w:t>万元，</w:t>
      </w:r>
      <w:r>
        <w:rPr>
          <w:rFonts w:hint="eastAsia" w:ascii="仿宋_GB2312" w:hAnsi="仿宋" w:eastAsia="仿宋_GB2312"/>
          <w:sz w:val="32"/>
          <w:szCs w:val="32"/>
          <w:lang w:eastAsia="zh-CN"/>
        </w:rPr>
        <w:t>与</w:t>
      </w:r>
      <w:r>
        <w:rPr>
          <w:rFonts w:hint="eastAsia" w:ascii="仿宋_GB2312" w:hAnsi="仿宋" w:eastAsia="仿宋_GB2312"/>
          <w:sz w:val="32"/>
          <w:szCs w:val="32"/>
          <w:lang w:val="en-US" w:eastAsia="zh-CN"/>
        </w:rPr>
        <w:t>2023年持平</w:t>
      </w:r>
      <w:r>
        <w:rPr>
          <w:rFonts w:hint="eastAsia" w:ascii="仿宋_GB2312" w:hAnsi="仿宋" w:eastAsia="仿宋_GB2312"/>
          <w:sz w:val="32"/>
          <w:szCs w:val="32"/>
        </w:rPr>
        <w:t>。</w:t>
      </w:r>
    </w:p>
    <w:tbl>
      <w:tblPr>
        <w:tblStyle w:val="8"/>
        <w:tblW w:w="8840" w:type="dxa"/>
        <w:tblInd w:w="0" w:type="dxa"/>
        <w:tblLayout w:type="autofit"/>
        <w:tblCellMar>
          <w:top w:w="0" w:type="dxa"/>
          <w:left w:w="108" w:type="dxa"/>
          <w:bottom w:w="0" w:type="dxa"/>
          <w:right w:w="108" w:type="dxa"/>
        </w:tblCellMar>
      </w:tblPr>
      <w:tblGrid>
        <w:gridCol w:w="8840"/>
      </w:tblGrid>
      <w:tr>
        <w:tblPrEx>
          <w:tblCellMar>
            <w:top w:w="0" w:type="dxa"/>
            <w:left w:w="108" w:type="dxa"/>
            <w:bottom w:w="0" w:type="dxa"/>
            <w:right w:w="108" w:type="dxa"/>
          </w:tblCellMar>
        </w:tblPrEx>
        <w:trPr>
          <w:trHeight w:val="5241" w:hRule="atLeast"/>
        </w:trPr>
        <w:tc>
          <w:tcPr>
            <w:tcW w:w="8840" w:type="dxa"/>
            <w:shd w:val="clear" w:color="auto" w:fill="auto"/>
          </w:tcPr>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b/>
                <w:sz w:val="32"/>
                <w:szCs w:val="32"/>
              </w:rPr>
            </w:pPr>
            <w:r>
              <w:drawing>
                <wp:anchor distT="0" distB="0" distL="114300" distR="114300" simplePos="0" relativeHeight="251661312" behindDoc="0" locked="0" layoutInCell="1" allowOverlap="1">
                  <wp:simplePos x="0" y="0"/>
                  <wp:positionH relativeFrom="column">
                    <wp:posOffset>0</wp:posOffset>
                  </wp:positionH>
                  <wp:positionV relativeFrom="paragraph">
                    <wp:posOffset>-2001520</wp:posOffset>
                  </wp:positionV>
                  <wp:extent cx="5567680" cy="3286125"/>
                  <wp:effectExtent l="0" t="0" r="13970" b="9525"/>
                  <wp:wrapSquare wrapText="bothSides"/>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tc>
      </w:tr>
    </w:tbl>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六、一般公共预算财政拨款机关运行经费情况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 w:eastAsia="仿宋_GB2312"/>
          <w:sz w:val="32"/>
          <w:szCs w:val="32"/>
          <w:lang w:eastAsia="zh-CN"/>
        </w:rPr>
      </w:pPr>
      <w:r>
        <w:rPr>
          <w:rFonts w:hint="eastAsia" w:ascii="仿宋_GB2312" w:hAnsi="仿宋" w:eastAsia="仿宋_GB2312"/>
          <w:sz w:val="32"/>
          <w:szCs w:val="32"/>
        </w:rPr>
        <w:t>机关运行经费</w:t>
      </w:r>
      <w:r>
        <w:rPr>
          <w:rFonts w:hint="eastAsia" w:ascii="仿宋_GB2312" w:hAnsi="仿宋" w:eastAsia="仿宋_GB2312"/>
          <w:sz w:val="32"/>
          <w:szCs w:val="32"/>
          <w:lang w:val="en-US" w:eastAsia="zh-CN"/>
        </w:rPr>
        <w:t>262.51</w:t>
      </w:r>
      <w:r>
        <w:rPr>
          <w:rFonts w:hint="eastAsia" w:ascii="仿宋_GB2312" w:hAnsi="仿宋" w:eastAsia="仿宋_GB2312"/>
          <w:sz w:val="32"/>
          <w:szCs w:val="32"/>
        </w:rPr>
        <w:t>万元，较2023年预算增加</w:t>
      </w:r>
      <w:r>
        <w:rPr>
          <w:rFonts w:hint="eastAsia" w:ascii="仿宋_GB2312" w:hAnsi="仿宋" w:eastAsia="仿宋_GB2312"/>
          <w:sz w:val="32"/>
          <w:szCs w:val="32"/>
          <w:lang w:val="en-US" w:eastAsia="zh-CN"/>
        </w:rPr>
        <w:t>113.65</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76.35</w:t>
      </w:r>
      <w:r>
        <w:rPr>
          <w:rFonts w:hint="eastAsia" w:ascii="仿宋_GB2312" w:hAnsi="仿宋" w:eastAsia="仿宋_GB2312"/>
          <w:sz w:val="32"/>
          <w:szCs w:val="32"/>
        </w:rPr>
        <w:t>%，增长的主要原因是</w:t>
      </w:r>
      <w:r>
        <w:rPr>
          <w:rFonts w:hint="eastAsia" w:ascii="仿宋_GB2312" w:hAnsi="仿宋" w:eastAsia="仿宋_GB2312"/>
          <w:sz w:val="32"/>
          <w:szCs w:val="32"/>
          <w:lang w:eastAsia="zh-CN"/>
        </w:rPr>
        <w:t>基本支出增加了执法队人员工资</w:t>
      </w:r>
      <w:r>
        <w:rPr>
          <w:rFonts w:hint="eastAsia" w:ascii="仿宋_GB2312" w:hAnsi="仿宋" w:eastAsia="仿宋_GB2312"/>
          <w:sz w:val="32"/>
          <w:szCs w:val="32"/>
          <w:lang w:val="en-US" w:eastAsia="zh-CN"/>
        </w:rPr>
        <w:t>。</w:t>
      </w:r>
    </w:p>
    <w:p>
      <w:pPr>
        <w:keepNext w:val="0"/>
        <w:keepLines w:val="0"/>
        <w:pageBreakBefore w:val="0"/>
        <w:numPr>
          <w:ilvl w:val="0"/>
          <w:numId w:val="1"/>
        </w:numPr>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黑体" w:hAnsi="黑体" w:eastAsia="黑体" w:cs="宋体"/>
          <w:kern w:val="0"/>
          <w:sz w:val="32"/>
          <w:szCs w:val="32"/>
          <w:lang w:val="en-US" w:eastAsia="zh-CN"/>
        </w:rPr>
      </w:pPr>
      <w:r>
        <w:rPr>
          <w:rFonts w:hint="eastAsia" w:ascii="黑体" w:hAnsi="黑体" w:eastAsia="黑体" w:cs="宋体"/>
          <w:kern w:val="0"/>
          <w:sz w:val="32"/>
          <w:szCs w:val="32"/>
        </w:rPr>
        <w:t>政府采购安排情况</w:t>
      </w:r>
      <w:r>
        <w:rPr>
          <w:rFonts w:hint="eastAsia" w:ascii="黑体" w:hAnsi="黑体" w:eastAsia="黑体" w:cs="宋体"/>
          <w:kern w:val="0"/>
          <w:sz w:val="32"/>
          <w:szCs w:val="32"/>
          <w:lang w:val="en-US" w:eastAsia="zh-CN"/>
        </w:rPr>
        <w:t xml:space="preserve">                        </w:t>
      </w:r>
    </w:p>
    <w:p>
      <w:pPr>
        <w:keepNext w:val="0"/>
        <w:keepLines w:val="0"/>
        <w:pageBreakBefore w:val="0"/>
        <w:numPr>
          <w:numId w:val="0"/>
        </w:numPr>
        <w:kinsoku/>
        <w:overflowPunct/>
        <w:topLinePunct w:val="0"/>
        <w:autoSpaceDE/>
        <w:autoSpaceDN/>
        <w:bidi w:val="0"/>
        <w:adjustRightInd w:val="0"/>
        <w:snapToGrid w:val="0"/>
        <w:spacing w:line="560" w:lineRule="exact"/>
        <w:ind w:right="0" w:rightChars="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2024年，单位政府采购预算总额</w:t>
      </w:r>
      <w:r>
        <w:rPr>
          <w:rFonts w:hint="eastAsia" w:ascii="仿宋_GB2312" w:hAnsi="仿宋" w:eastAsia="仿宋_GB2312"/>
          <w:sz w:val="32"/>
          <w:szCs w:val="32"/>
          <w:lang w:val="en-US" w:eastAsia="zh-CN"/>
        </w:rPr>
        <w:t>4.18</w:t>
      </w:r>
      <w:r>
        <w:rPr>
          <w:rFonts w:hint="eastAsia" w:ascii="仿宋_GB2312" w:hAnsi="仿宋" w:eastAsia="仿宋_GB2312"/>
          <w:sz w:val="32"/>
          <w:szCs w:val="32"/>
        </w:rPr>
        <w:t>万元，其中：政府采购货物预算</w:t>
      </w:r>
      <w:r>
        <w:rPr>
          <w:rFonts w:hint="eastAsia" w:ascii="仿宋_GB2312" w:hAnsi="仿宋" w:eastAsia="仿宋_GB2312"/>
          <w:sz w:val="32"/>
          <w:szCs w:val="32"/>
          <w:lang w:val="en-US" w:eastAsia="zh-CN"/>
        </w:rPr>
        <w:t>4.18</w:t>
      </w:r>
      <w:r>
        <w:rPr>
          <w:rFonts w:hint="eastAsia" w:ascii="仿宋_GB2312" w:hAnsi="仿宋" w:eastAsia="仿宋_GB2312"/>
          <w:sz w:val="32"/>
          <w:szCs w:val="32"/>
        </w:rPr>
        <w:t>万元，政府采购工程预算</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万元，政府采购服务预算</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 xml:space="preserve">2024年，单位面向中小企业预留政府采购项目预算金额 </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万元，小微企业预留政府采购项目预算金额</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八、国有资产占用情况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上年末固定资产金额为</w:t>
      </w:r>
      <w:r>
        <w:rPr>
          <w:rFonts w:hint="eastAsia" w:ascii="仿宋_GB2312" w:hAnsi="仿宋" w:eastAsia="仿宋_GB2312"/>
          <w:sz w:val="32"/>
          <w:szCs w:val="32"/>
          <w:lang w:val="en-US" w:eastAsia="zh-CN"/>
        </w:rPr>
        <w:t>425.39</w:t>
      </w:r>
      <w:r>
        <w:rPr>
          <w:rFonts w:hint="eastAsia" w:ascii="仿宋_GB2312" w:hAnsi="仿宋" w:eastAsia="仿宋_GB2312"/>
          <w:sz w:val="32"/>
          <w:szCs w:val="32"/>
        </w:rPr>
        <w:t>万元。其中：办公用房</w:t>
      </w:r>
      <w:r>
        <w:rPr>
          <w:rFonts w:hint="eastAsia" w:ascii="仿宋_GB2312" w:hAnsi="仿宋" w:eastAsia="仿宋_GB2312"/>
          <w:sz w:val="32"/>
          <w:szCs w:val="32"/>
          <w:lang w:val="en-US" w:eastAsia="zh-CN"/>
        </w:rPr>
        <w:t>655</w:t>
      </w:r>
      <w:r>
        <w:rPr>
          <w:rFonts w:hint="eastAsia" w:ascii="仿宋_GB2312" w:hAnsi="仿宋" w:eastAsia="仿宋_GB2312"/>
          <w:sz w:val="32"/>
          <w:szCs w:val="32"/>
        </w:rPr>
        <w:t>平方米，价值</w:t>
      </w:r>
      <w:r>
        <w:rPr>
          <w:rFonts w:hint="eastAsia" w:ascii="仿宋_GB2312" w:hAnsi="仿宋" w:eastAsia="仿宋_GB2312"/>
          <w:sz w:val="32"/>
          <w:szCs w:val="32"/>
          <w:lang w:val="en-US" w:eastAsia="zh-CN"/>
        </w:rPr>
        <w:t>51.95</w:t>
      </w:r>
      <w:r>
        <w:rPr>
          <w:rFonts w:hint="eastAsia" w:ascii="仿宋_GB2312" w:hAnsi="仿宋" w:eastAsia="仿宋_GB2312"/>
          <w:sz w:val="32"/>
          <w:szCs w:val="32"/>
        </w:rPr>
        <w:t>万元。单位共有公务用车</w:t>
      </w:r>
      <w:r>
        <w:rPr>
          <w:rFonts w:hint="eastAsia" w:ascii="仿宋_GB2312" w:hAnsi="仿宋" w:eastAsia="仿宋_GB2312"/>
          <w:sz w:val="32"/>
          <w:szCs w:val="32"/>
          <w:lang w:val="en-US" w:eastAsia="zh-CN"/>
        </w:rPr>
        <w:t>4</w:t>
      </w:r>
      <w:r>
        <w:rPr>
          <w:rFonts w:hint="eastAsia" w:ascii="仿宋_GB2312" w:hAnsi="仿宋" w:eastAsia="仿宋_GB2312"/>
          <w:sz w:val="32"/>
          <w:szCs w:val="32"/>
        </w:rPr>
        <w:t>辆，价值</w:t>
      </w:r>
      <w:r>
        <w:rPr>
          <w:rFonts w:hint="eastAsia" w:ascii="仿宋_GB2312" w:hAnsi="仿宋" w:eastAsia="仿宋_GB2312"/>
          <w:sz w:val="32"/>
          <w:szCs w:val="32"/>
          <w:lang w:val="en-US" w:eastAsia="zh-CN"/>
        </w:rPr>
        <w:t>24.54</w:t>
      </w:r>
      <w:r>
        <w:rPr>
          <w:rFonts w:hint="eastAsia" w:ascii="仿宋_GB2312" w:hAnsi="仿宋" w:eastAsia="仿宋_GB2312"/>
          <w:sz w:val="32"/>
          <w:szCs w:val="32"/>
        </w:rPr>
        <w:t>万元。单价20万元以上的设备价值</w:t>
      </w:r>
      <w:r>
        <w:rPr>
          <w:rFonts w:hint="eastAsia" w:ascii="仿宋_GB2312" w:hAnsi="仿宋" w:eastAsia="仿宋_GB2312"/>
          <w:sz w:val="32"/>
          <w:szCs w:val="32"/>
          <w:lang w:val="en-US" w:eastAsia="zh-CN"/>
        </w:rPr>
        <w:t>21.67</w:t>
      </w:r>
      <w:r>
        <w:rPr>
          <w:rFonts w:hint="eastAsia" w:ascii="仿宋_GB2312" w:hAnsi="仿宋" w:eastAsia="仿宋_GB2312"/>
          <w:sz w:val="32"/>
          <w:szCs w:val="32"/>
        </w:rPr>
        <w:t>万元。2024年拟采购固定资产约</w:t>
      </w:r>
      <w:r>
        <w:rPr>
          <w:rFonts w:hint="eastAsia" w:ascii="仿宋_GB2312" w:hAnsi="仿宋" w:eastAsia="仿宋_GB2312"/>
          <w:sz w:val="32"/>
          <w:szCs w:val="32"/>
          <w:lang w:val="en-US" w:eastAsia="zh-CN"/>
        </w:rPr>
        <w:t>11</w:t>
      </w:r>
      <w:r>
        <w:rPr>
          <w:rFonts w:hint="eastAsia" w:ascii="仿宋_GB2312" w:hAnsi="仿宋" w:eastAsia="仿宋_GB2312"/>
          <w:sz w:val="32"/>
          <w:szCs w:val="32"/>
        </w:rPr>
        <w:t>万元。</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九、其他重要事项情况说明</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（一）政府性基金预算支出情况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2024年未安排预算，政府性基金预算支出情况表为空表。</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（二）非税收入情况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rPr>
        <w:t>2024年本单位涉及非税收入，2024年计划征收</w:t>
      </w:r>
      <w:r>
        <w:rPr>
          <w:rFonts w:hint="eastAsia" w:ascii="仿宋_GB2312" w:hAnsi="仿宋" w:eastAsia="仿宋_GB2312"/>
          <w:sz w:val="32"/>
          <w:szCs w:val="32"/>
          <w:lang w:val="en-US" w:eastAsia="zh-CN"/>
        </w:rPr>
        <w:t>2</w:t>
      </w:r>
      <w:r>
        <w:rPr>
          <w:rFonts w:hint="eastAsia" w:ascii="仿宋_GB2312" w:hAnsi="仿宋" w:eastAsia="仿宋_GB2312"/>
          <w:sz w:val="32"/>
          <w:szCs w:val="32"/>
        </w:rPr>
        <w:t>万元。</w:t>
      </w:r>
      <w:r>
        <w:rPr>
          <w:rFonts w:hint="eastAsia" w:ascii="仿宋_GB2312" w:hAnsi="仿宋" w:eastAsia="仿宋_GB2312"/>
          <w:sz w:val="32"/>
          <w:szCs w:val="32"/>
          <w:lang w:eastAsia="zh-CN"/>
        </w:rPr>
        <w:t>主要为罚没收入</w:t>
      </w:r>
      <w:r>
        <w:rPr>
          <w:rFonts w:hint="eastAsia" w:ascii="仿宋_GB2312" w:hAnsi="仿宋" w:eastAsia="仿宋_GB2312"/>
          <w:sz w:val="32"/>
          <w:szCs w:val="32"/>
        </w:rPr>
        <w:t>计划征收</w:t>
      </w:r>
      <w:r>
        <w:rPr>
          <w:rFonts w:hint="eastAsia" w:ascii="仿宋_GB2312" w:hAnsi="仿宋" w:eastAsia="仿宋_GB2312"/>
          <w:sz w:val="32"/>
          <w:szCs w:val="32"/>
          <w:lang w:val="en-US" w:eastAsia="zh-CN"/>
        </w:rPr>
        <w:t>2</w:t>
      </w:r>
      <w:r>
        <w:rPr>
          <w:rFonts w:hint="eastAsia" w:ascii="仿宋_GB2312" w:hAnsi="仿宋" w:eastAsia="仿宋_GB2312"/>
          <w:sz w:val="32"/>
          <w:szCs w:val="32"/>
        </w:rPr>
        <w:t>万元。</w:t>
      </w:r>
      <w:r>
        <w:rPr>
          <w:rFonts w:hint="eastAsia" w:ascii="仿宋_GB2312" w:hAnsi="仿宋" w:eastAsia="仿宋_GB2312"/>
          <w:sz w:val="32"/>
          <w:szCs w:val="32"/>
          <w:lang w:eastAsia="zh-CN"/>
        </w:rPr>
        <w:t>单位利息收入预计</w:t>
      </w:r>
      <w:r>
        <w:rPr>
          <w:rFonts w:hint="eastAsia" w:ascii="仿宋_GB2312" w:hAnsi="仿宋" w:eastAsia="仿宋_GB2312"/>
          <w:sz w:val="32"/>
          <w:szCs w:val="32"/>
          <w:lang w:val="en-US" w:eastAsia="zh-CN"/>
        </w:rPr>
        <w:t>6万元。</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（三）重点项目情况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320" w:firstLineChars="100"/>
        <w:contextualSpacing/>
        <w:jc w:val="both"/>
        <w:textAlignment w:val="auto"/>
        <w:rPr>
          <w:rFonts w:hint="eastAsia" w:ascii="仿宋_GB2312" w:hAnsi="仿宋" w:eastAsia="仿宋_GB2312"/>
          <w:sz w:val="32"/>
          <w:szCs w:val="32"/>
        </w:rPr>
      </w:pPr>
      <w:r>
        <w:rPr>
          <w:rFonts w:hint="eastAsia" w:ascii="仿宋_GB2312" w:hAnsi="仿宋" w:eastAsia="仿宋_GB2312"/>
          <w:sz w:val="32"/>
          <w:szCs w:val="32"/>
        </w:rPr>
        <w:t>2024年单位预算安排其他类项目3个，其中兰州新区省道201线上川段环境综合整治项目具体信息公开如下：</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项目名称：兰州新区省道201线上川段环境综合整治项目</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1、项目概况：项目为兰州新区省道201线上川段环境综合整治项目，道路总长约13公里，整治内容主要包括沿线绿化、沿线环境整治两大部分。具体包括：沿线绿化，沿道路两侧各设置2.9米宽绿化带，总长15200米，种植树种为国槐，河北杨，旱柳，杏树等；对道路沿线零散闲置用地进行乔木密植绿化，总面积80848平方米；对北端及G341交叉路口场地进行绿化；对沿线部分非农田区域存在沙坑及不适宜建设用地，进行土方平整缓坡处理，整治总面积为340000平方米；对沿线进行垃圾清理，清理长度约18236米；对沿线村庄住宅及商户前的场地进行硬化，硬化面积为52656.81平方米；对道路沿线涉及2处企业水池，进行整理；对烽火台遗址沿底边石坡做削坡平整，整体形状改造为梯形，长度约为110米，高约8米；在北端烽火台遗址处，设立欢迎牌，字体为“兰州新区欢迎您”。对农村房屋倒塌、墙体破损，变形严重、丧失正常使用功能，无人居住的废旧房屋，没有房顶、缺门少窗，无法恢复的残垣断壁，有碍村容村貌的乱搭乱建、户外旱厕、废弃棚舍等进行拆除；北端及G341交叉路口场地进行喷灌设计；</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2、立项依据：《关于兰州新区省道201线上川段环境综合整治项目实施方案的批复》（新经发审批〔2023〕71号）</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3、实施主体：皋兰县上川镇人民政府</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4、实施周期：项目实施进度计划 2023年9月至2024年12月，时间为15个月。</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5、实施计划：按实施方案安排施工进度。</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6、年度预算安排：2024年预算安排项目资金1380.34万元。</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7、预期总体目标：城镇道路绿化，是城镇园林绿地系统的重要组成部分，也是城镇文明的重要标志之一。道路绿化美化街景、净化空气、减弱噪音、减尘、改善小气候、防风、防火，保护路面、组织城镇交通、维护交通等；良好的人居环境也是大力发展循环经济、建设节约型社会环境、友好型社会的重要途径。通过城镇道路绿化的建设，改善城镇环境，促进城镇社会经济的可持续发展；通过道路绿地的建设，提高城市绿化覆盖率，改善人居环境。该项目的绿化规划设计体现现代城市风貌和生态文化之韵，为上川镇营造一个优美的道路环境。</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（四）部门管理转移支付情况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2024 年单位管理转移支付未安排预算，单位管理转移支付表为空表。</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（五）国有资本经营预算支出情况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楷体" w:eastAsia="仿宋_GB2312"/>
          <w:sz w:val="32"/>
          <w:szCs w:val="32"/>
        </w:rPr>
      </w:pPr>
      <w:r>
        <w:rPr>
          <w:rFonts w:hint="eastAsia" w:ascii="仿宋_GB2312" w:hAnsi="楷体" w:eastAsia="仿宋_GB2312"/>
          <w:sz w:val="32"/>
          <w:szCs w:val="32"/>
          <w:lang w:eastAsia="zh-CN"/>
        </w:rPr>
        <w:t>单位</w:t>
      </w:r>
      <w:r>
        <w:rPr>
          <w:rFonts w:hint="eastAsia" w:ascii="仿宋_GB2312" w:hAnsi="楷体" w:eastAsia="仿宋_GB2312"/>
          <w:sz w:val="32"/>
          <w:szCs w:val="32"/>
        </w:rPr>
        <w:t>2024 年未安排国有资本经营预算支出</w:t>
      </w:r>
      <w:r>
        <w:rPr>
          <w:rFonts w:hint="eastAsia" w:ascii="仿宋_GB2312" w:hAnsi="楷体" w:eastAsia="仿宋_GB2312"/>
          <w:sz w:val="32"/>
          <w:szCs w:val="32"/>
          <w:lang w:eastAsia="zh-CN"/>
        </w:rPr>
        <w:t>，</w:t>
      </w:r>
      <w:r>
        <w:rPr>
          <w:rFonts w:hint="eastAsia" w:ascii="仿宋_GB2312" w:hAnsi="楷体" w:eastAsia="仿宋_GB2312"/>
          <w:sz w:val="32"/>
          <w:szCs w:val="32"/>
        </w:rPr>
        <w:t>国有资本经营预算支出情况表为空表。</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黑体" w:hAnsi="黑体" w:eastAsia="黑体" w:cs="宋体"/>
          <w:kern w:val="0"/>
          <w:sz w:val="32"/>
          <w:szCs w:val="32"/>
        </w:rPr>
      </w:pPr>
      <w:r>
        <w:rPr>
          <w:rFonts w:hint="eastAsia" w:ascii="黑体" w:hAnsi="黑体" w:eastAsia="黑体" w:cs="宋体"/>
          <w:kern w:val="0"/>
          <w:sz w:val="32"/>
          <w:szCs w:val="32"/>
        </w:rPr>
        <w:t>十、预算绩效管理情况</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（一）2023年预算绩效管理工作情况。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按照《中共中央 国务院关于全面实施预算绩效管理的意见》《中共甘肃省委 甘肃省人民政府关于全面实施预算绩效管理的实施意见》《</w:t>
      </w:r>
      <w:r>
        <w:rPr>
          <w:rFonts w:hint="eastAsia" w:ascii="仿宋_GB2312" w:hAnsi="仿宋" w:eastAsia="仿宋_GB2312"/>
          <w:sz w:val="32"/>
          <w:szCs w:val="32"/>
          <w:lang w:eastAsia="zh-CN"/>
        </w:rPr>
        <w:t>兰州新区</w:t>
      </w:r>
      <w:r>
        <w:rPr>
          <w:rFonts w:hint="eastAsia" w:ascii="仿宋_GB2312" w:hAnsi="仿宋" w:eastAsia="仿宋_GB2312"/>
          <w:sz w:val="32"/>
          <w:szCs w:val="32"/>
        </w:rPr>
        <w:t>全面</w:t>
      </w:r>
      <w:r>
        <w:rPr>
          <w:rFonts w:hint="eastAsia" w:ascii="仿宋_GB2312" w:hAnsi="仿宋" w:eastAsia="仿宋_GB2312"/>
          <w:sz w:val="32"/>
          <w:szCs w:val="32"/>
          <w:lang w:eastAsia="zh-CN"/>
        </w:rPr>
        <w:t>推进</w:t>
      </w:r>
      <w:r>
        <w:rPr>
          <w:rFonts w:hint="eastAsia" w:ascii="仿宋_GB2312" w:hAnsi="仿宋" w:eastAsia="仿宋_GB2312"/>
          <w:sz w:val="32"/>
          <w:szCs w:val="32"/>
        </w:rPr>
        <w:t>预算绩效管理</w:t>
      </w:r>
      <w:r>
        <w:rPr>
          <w:rFonts w:hint="eastAsia" w:ascii="仿宋_GB2312" w:hAnsi="仿宋" w:eastAsia="仿宋_GB2312"/>
          <w:sz w:val="32"/>
          <w:szCs w:val="32"/>
          <w:lang w:eastAsia="zh-CN"/>
        </w:rPr>
        <w:t>实施办法（试行）</w:t>
      </w:r>
      <w:r>
        <w:rPr>
          <w:rFonts w:hint="eastAsia" w:ascii="仿宋_GB2312" w:hAnsi="仿宋" w:eastAsia="仿宋_GB2312"/>
          <w:sz w:val="32"/>
          <w:szCs w:val="32"/>
        </w:rPr>
        <w:t>》等相关要求，我们将绩效理念和方法融入预算编制、执行、决算和监督全过程认真开展各项工作。</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仿宋_GB2312" w:hAnsi="仿宋" w:eastAsia="仿宋_GB2312"/>
          <w:sz w:val="32"/>
          <w:szCs w:val="32"/>
        </w:rPr>
      </w:pPr>
      <w:r>
        <w:rPr>
          <w:rFonts w:hint="eastAsia" w:ascii="仿宋_GB2312" w:hAnsi="仿宋" w:eastAsia="仿宋_GB2312"/>
          <w:b/>
          <w:sz w:val="32"/>
          <w:szCs w:val="32"/>
        </w:rPr>
        <w:t>1.绩效目标管理情况。</w:t>
      </w:r>
      <w:r>
        <w:rPr>
          <w:rFonts w:hint="eastAsia" w:ascii="仿宋_GB2312" w:hAnsi="仿宋" w:eastAsia="仿宋_GB2312"/>
          <w:sz w:val="32"/>
          <w:szCs w:val="32"/>
        </w:rPr>
        <w:t>2023年度，按照“谁申请资金，谁设置目标”的原则，纳入部门预算管理的</w:t>
      </w:r>
      <w:r>
        <w:rPr>
          <w:rFonts w:hint="eastAsia" w:ascii="仿宋_GB2312" w:hAnsi="CIDFont+F6" w:eastAsia="仿宋_GB2312"/>
          <w:color w:val="000000"/>
          <w:sz w:val="32"/>
          <w:szCs w:val="32"/>
        </w:rPr>
        <w:t>单位</w:t>
      </w:r>
      <w:r>
        <w:rPr>
          <w:rFonts w:hint="eastAsia" w:ascii="仿宋_GB2312" w:hAnsi="仿宋" w:eastAsia="仿宋_GB2312"/>
          <w:sz w:val="32"/>
          <w:szCs w:val="32"/>
        </w:rPr>
        <w:t>整体支出和项目绩效目标</w:t>
      </w:r>
      <w:r>
        <w:rPr>
          <w:rFonts w:hint="eastAsia" w:ascii="仿宋_GB2312" w:hAnsi="仿宋" w:eastAsia="仿宋_GB2312"/>
          <w:sz w:val="32"/>
          <w:szCs w:val="32"/>
          <w:lang w:val="en-US" w:eastAsia="zh-CN"/>
        </w:rPr>
        <w:t>9</w:t>
      </w:r>
      <w:r>
        <w:rPr>
          <w:rFonts w:hint="eastAsia" w:ascii="仿宋_GB2312" w:hAnsi="仿宋" w:eastAsia="仿宋_GB2312"/>
          <w:sz w:val="32"/>
          <w:szCs w:val="32"/>
        </w:rPr>
        <w:t>个，按规定随年度预算一并公开项目</w:t>
      </w:r>
      <w:r>
        <w:rPr>
          <w:rFonts w:hint="eastAsia" w:ascii="仿宋_GB2312" w:hAnsi="仿宋" w:eastAsia="仿宋_GB2312"/>
          <w:sz w:val="32"/>
          <w:szCs w:val="32"/>
          <w:lang w:val="en-US" w:eastAsia="zh-CN"/>
        </w:rPr>
        <w:t>9</w:t>
      </w:r>
      <w:r>
        <w:rPr>
          <w:rFonts w:hint="eastAsia" w:ascii="仿宋_GB2312" w:hAnsi="仿宋" w:eastAsia="仿宋_GB2312"/>
          <w:sz w:val="32"/>
          <w:szCs w:val="32"/>
        </w:rPr>
        <w:t>个，公开率为</w:t>
      </w:r>
      <w:r>
        <w:rPr>
          <w:rFonts w:hint="eastAsia" w:ascii="仿宋_GB2312" w:hAnsi="仿宋" w:eastAsia="仿宋_GB2312"/>
          <w:sz w:val="32"/>
          <w:szCs w:val="32"/>
          <w:lang w:val="en-US" w:eastAsia="zh-CN"/>
        </w:rPr>
        <w:t>100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仿宋" w:eastAsia="仿宋_GB2312"/>
          <w:sz w:val="32"/>
          <w:szCs w:val="32"/>
        </w:rPr>
      </w:pPr>
      <w:r>
        <w:rPr>
          <w:rFonts w:hint="eastAsia" w:ascii="仿宋_GB2312" w:hAnsi="仿宋" w:eastAsia="仿宋_GB2312"/>
          <w:b/>
          <w:sz w:val="32"/>
          <w:szCs w:val="32"/>
        </w:rPr>
        <w:t>2.绩效运行监控情况。</w:t>
      </w:r>
      <w:r>
        <w:rPr>
          <w:rFonts w:hint="eastAsia" w:ascii="仿宋_GB2312" w:hAnsi="仿宋" w:eastAsia="仿宋_GB2312"/>
          <w:sz w:val="32"/>
          <w:szCs w:val="32"/>
        </w:rPr>
        <w:t>2023年7月，组织开展1-6月绩效运行监控项目</w:t>
      </w:r>
      <w:r>
        <w:rPr>
          <w:rFonts w:hint="eastAsia" w:ascii="仿宋_GB2312" w:hAnsi="仿宋" w:eastAsia="仿宋_GB2312"/>
          <w:sz w:val="32"/>
          <w:szCs w:val="32"/>
          <w:lang w:val="en-US" w:eastAsia="zh-CN"/>
        </w:rPr>
        <w:t>8</w:t>
      </w:r>
      <w:r>
        <w:rPr>
          <w:rFonts w:hint="eastAsia" w:ascii="仿宋_GB2312" w:hAnsi="仿宋" w:eastAsia="仿宋_GB2312"/>
          <w:sz w:val="32"/>
          <w:szCs w:val="32"/>
        </w:rPr>
        <w:t>个，占本</w:t>
      </w:r>
      <w:r>
        <w:rPr>
          <w:rFonts w:hint="eastAsia" w:ascii="仿宋_GB2312" w:hAnsi="CIDFont+F6" w:eastAsia="仿宋_GB2312"/>
          <w:color w:val="000000"/>
          <w:sz w:val="32"/>
          <w:szCs w:val="32"/>
        </w:rPr>
        <w:t>单位</w:t>
      </w:r>
      <w:r>
        <w:rPr>
          <w:rFonts w:hint="eastAsia" w:ascii="仿宋_GB2312" w:hAnsi="仿宋" w:eastAsia="仿宋_GB2312"/>
          <w:sz w:val="32"/>
          <w:szCs w:val="32"/>
        </w:rPr>
        <w:t>项目的</w:t>
      </w:r>
      <w:r>
        <w:rPr>
          <w:rFonts w:hint="eastAsia" w:ascii="仿宋_GB2312" w:hAnsi="仿宋" w:eastAsia="仿宋_GB2312"/>
          <w:sz w:val="32"/>
          <w:szCs w:val="32"/>
          <w:lang w:val="en-US" w:eastAsia="zh-CN"/>
        </w:rPr>
        <w:t>100</w:t>
      </w:r>
      <w:r>
        <w:rPr>
          <w:rFonts w:hint="eastAsia" w:ascii="仿宋_GB2312" w:hAnsi="仿宋" w:eastAsia="仿宋_GB2312"/>
          <w:sz w:val="32"/>
          <w:szCs w:val="32"/>
        </w:rPr>
        <w:t>%。截至7月底，如期完成预算执行和绩效目标指标值的项目</w:t>
      </w:r>
      <w:r>
        <w:rPr>
          <w:rFonts w:hint="eastAsia" w:ascii="仿宋_GB2312" w:hAnsi="仿宋" w:eastAsia="仿宋_GB2312"/>
          <w:sz w:val="32"/>
          <w:szCs w:val="32"/>
          <w:lang w:val="en-US" w:eastAsia="zh-CN"/>
        </w:rPr>
        <w:t>7</w:t>
      </w:r>
      <w:r>
        <w:rPr>
          <w:rFonts w:hint="eastAsia" w:ascii="仿宋_GB2312" w:hAnsi="仿宋" w:eastAsia="仿宋_GB2312"/>
          <w:sz w:val="32"/>
          <w:szCs w:val="32"/>
        </w:rPr>
        <w:t>个，完成率为</w:t>
      </w:r>
      <w:r>
        <w:rPr>
          <w:rFonts w:hint="eastAsia" w:ascii="仿宋_GB2312" w:hAnsi="仿宋" w:eastAsia="仿宋_GB2312"/>
          <w:sz w:val="32"/>
          <w:szCs w:val="32"/>
          <w:lang w:val="en-US" w:eastAsia="zh-CN"/>
        </w:rPr>
        <w:t>87.5</w:t>
      </w:r>
      <w:r>
        <w:rPr>
          <w:rFonts w:hint="eastAsia" w:ascii="仿宋_GB2312" w:hAnsi="仿宋" w:eastAsia="仿宋_GB2312"/>
          <w:sz w:val="32"/>
          <w:szCs w:val="32"/>
        </w:rPr>
        <w:t>%。“双监控”发现存在的问题和主要原因是：</w:t>
      </w:r>
      <w:r>
        <w:rPr>
          <w:rFonts w:hint="eastAsia" w:ascii="仿宋_GB2312" w:hAnsi="仿宋" w:eastAsia="仿宋_GB2312"/>
          <w:sz w:val="32"/>
          <w:szCs w:val="32"/>
          <w:lang w:eastAsia="zh-CN"/>
        </w:rPr>
        <w:t>年初预算指标的设置有待进一步完善，主要原因是中期根据工作实际会有微小调整</w:t>
      </w:r>
      <w:r>
        <w:rPr>
          <w:rFonts w:hint="eastAsia" w:ascii="仿宋_GB2312" w:hAnsi="仿宋" w:eastAsia="仿宋_GB2312"/>
          <w:sz w:val="32"/>
          <w:szCs w:val="32"/>
        </w:rPr>
        <w:t>。截至10月底，如期完成预算执行和绩效目标指标值的项目</w:t>
      </w:r>
      <w:r>
        <w:rPr>
          <w:rFonts w:hint="eastAsia" w:ascii="仿宋_GB2312" w:hAnsi="仿宋" w:eastAsia="仿宋_GB2312"/>
          <w:sz w:val="32"/>
          <w:szCs w:val="32"/>
          <w:lang w:val="en-US" w:eastAsia="zh-CN"/>
        </w:rPr>
        <w:t>8</w:t>
      </w:r>
      <w:r>
        <w:rPr>
          <w:rFonts w:hint="eastAsia" w:ascii="仿宋_GB2312" w:hAnsi="仿宋" w:eastAsia="仿宋_GB2312"/>
          <w:sz w:val="32"/>
          <w:szCs w:val="32"/>
        </w:rPr>
        <w:t>个，完成率为</w:t>
      </w:r>
      <w:r>
        <w:rPr>
          <w:rFonts w:hint="eastAsia" w:ascii="仿宋_GB2312" w:hAnsi="仿宋" w:eastAsia="仿宋_GB2312"/>
          <w:sz w:val="32"/>
          <w:szCs w:val="32"/>
          <w:lang w:val="en-US" w:eastAsia="zh-CN"/>
        </w:rPr>
        <w:t>100</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仿宋_GB2312" w:hAnsi="仿宋" w:eastAsia="仿宋_GB2312"/>
          <w:sz w:val="32"/>
          <w:szCs w:val="32"/>
        </w:rPr>
      </w:pPr>
      <w:r>
        <w:rPr>
          <w:rFonts w:hint="eastAsia" w:ascii="仿宋_GB2312" w:hAnsi="仿宋" w:eastAsia="仿宋_GB2312"/>
          <w:b/>
          <w:sz w:val="32"/>
          <w:szCs w:val="32"/>
        </w:rPr>
        <w:t>3.绩效自评开展情况。</w:t>
      </w:r>
      <w:r>
        <w:rPr>
          <w:rFonts w:hint="eastAsia" w:ascii="仿宋_GB2312" w:hAnsi="仿宋" w:eastAsia="仿宋_GB2312"/>
          <w:sz w:val="32"/>
          <w:szCs w:val="32"/>
        </w:rPr>
        <w:t>2023年度，组织开展绩效自评项目共</w:t>
      </w:r>
      <w:r>
        <w:rPr>
          <w:rFonts w:hint="eastAsia" w:ascii="仿宋_GB2312" w:hAnsi="仿宋" w:eastAsia="仿宋_GB2312"/>
          <w:sz w:val="32"/>
          <w:szCs w:val="32"/>
          <w:lang w:val="en-US" w:eastAsia="zh-CN"/>
        </w:rPr>
        <w:t>8</w:t>
      </w:r>
      <w:r>
        <w:rPr>
          <w:rFonts w:hint="eastAsia" w:ascii="仿宋_GB2312" w:hAnsi="仿宋" w:eastAsia="仿宋_GB2312"/>
          <w:sz w:val="32"/>
          <w:szCs w:val="32"/>
        </w:rPr>
        <w:t>个，其中，单位整体支出</w:t>
      </w:r>
      <w:r>
        <w:rPr>
          <w:rFonts w:hint="eastAsia" w:ascii="仿宋_GB2312" w:hAnsi="仿宋" w:eastAsia="仿宋_GB2312"/>
          <w:sz w:val="32"/>
          <w:szCs w:val="32"/>
          <w:lang w:val="en-US" w:eastAsia="zh-CN"/>
        </w:rPr>
        <w:t>1</w:t>
      </w:r>
      <w:r>
        <w:rPr>
          <w:rFonts w:hint="eastAsia" w:ascii="仿宋_GB2312" w:hAnsi="仿宋" w:eastAsia="仿宋_GB2312"/>
          <w:sz w:val="32"/>
          <w:szCs w:val="32"/>
        </w:rPr>
        <w:t>个，项目支出</w:t>
      </w:r>
      <w:r>
        <w:rPr>
          <w:rFonts w:hint="eastAsia" w:ascii="仿宋_GB2312" w:hAnsi="仿宋" w:eastAsia="仿宋_GB2312"/>
          <w:sz w:val="32"/>
          <w:szCs w:val="32"/>
          <w:lang w:val="en-US" w:eastAsia="zh-CN"/>
        </w:rPr>
        <w:t>8</w:t>
      </w:r>
      <w:r>
        <w:rPr>
          <w:rFonts w:hint="eastAsia" w:ascii="仿宋_GB2312" w:hAnsi="仿宋" w:eastAsia="仿宋_GB2312"/>
          <w:sz w:val="32"/>
          <w:szCs w:val="32"/>
        </w:rPr>
        <w:t>个，绩效自评覆盖率为</w:t>
      </w:r>
      <w:r>
        <w:rPr>
          <w:rFonts w:hint="eastAsia" w:ascii="仿宋_GB2312" w:hAnsi="仿宋" w:eastAsia="仿宋_GB2312"/>
          <w:sz w:val="32"/>
          <w:szCs w:val="32"/>
          <w:lang w:val="en-US" w:eastAsia="zh-CN"/>
        </w:rPr>
        <w:t>100</w:t>
      </w:r>
      <w:r>
        <w:rPr>
          <w:rFonts w:hint="eastAsia" w:ascii="仿宋_GB2312" w:hAnsi="仿宋" w:eastAsia="仿宋_GB2312"/>
          <w:sz w:val="32"/>
          <w:szCs w:val="32"/>
        </w:rPr>
        <w:t>%。绩效自评结果随部门决算报送财政和随决算公开情况：</w:t>
      </w:r>
      <w:r>
        <w:rPr>
          <w:rFonts w:hint="eastAsia" w:ascii="仿宋_GB2312" w:hAnsi="仿宋" w:eastAsia="仿宋_GB2312"/>
          <w:sz w:val="32"/>
          <w:szCs w:val="32"/>
          <w:lang w:eastAsia="zh-CN"/>
        </w:rPr>
        <w:t>绩效自评结果将于</w:t>
      </w:r>
      <w:r>
        <w:rPr>
          <w:rFonts w:hint="eastAsia" w:ascii="仿宋_GB2312" w:hAnsi="仿宋" w:eastAsia="仿宋_GB2312"/>
          <w:sz w:val="32"/>
          <w:szCs w:val="32"/>
          <w:lang w:val="en-US" w:eastAsia="zh-CN"/>
        </w:rPr>
        <w:t>3月中旬上报，决算公开待通知后及时按程序公开</w:t>
      </w:r>
      <w:r>
        <w:rPr>
          <w:rFonts w:hint="eastAsia" w:ascii="仿宋_GB2312" w:hAnsi="仿宋" w:eastAsia="仿宋_GB2312"/>
          <w:sz w:val="32"/>
          <w:szCs w:val="32"/>
        </w:rPr>
        <w:t>。</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仿宋_GB2312" w:hAnsi="仿宋" w:eastAsia="仿宋_GB2312"/>
          <w:sz w:val="32"/>
          <w:szCs w:val="32"/>
        </w:rPr>
      </w:pPr>
      <w:r>
        <w:rPr>
          <w:rFonts w:hint="eastAsia" w:ascii="仿宋_GB2312" w:hAnsi="仿宋" w:eastAsia="仿宋_GB2312"/>
          <w:b/>
          <w:sz w:val="32"/>
          <w:szCs w:val="32"/>
        </w:rPr>
        <w:t>4.绩效结果应用情况。</w:t>
      </w:r>
      <w:r>
        <w:rPr>
          <w:rFonts w:hint="eastAsia" w:ascii="仿宋_GB2312" w:hAnsi="仿宋" w:eastAsia="仿宋_GB2312"/>
          <w:sz w:val="32"/>
          <w:szCs w:val="32"/>
        </w:rPr>
        <w:t>根据2023年度绩效运行监控、绩效自评等情况，当年盘活财政资金</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万元，2024年度</w:t>
      </w:r>
      <w:r>
        <w:rPr>
          <w:rFonts w:hint="eastAsia" w:ascii="仿宋_GB2312" w:hAnsi="仿宋" w:eastAsia="仿宋_GB2312"/>
          <w:sz w:val="32"/>
          <w:szCs w:val="32"/>
          <w:lang w:eastAsia="zh-CN"/>
        </w:rPr>
        <w:t>减少</w:t>
      </w:r>
      <w:r>
        <w:rPr>
          <w:rFonts w:hint="eastAsia" w:ascii="仿宋_GB2312" w:hAnsi="仿宋" w:eastAsia="仿宋_GB2312"/>
          <w:sz w:val="32"/>
          <w:szCs w:val="32"/>
        </w:rPr>
        <w:t>部门预算项目</w:t>
      </w:r>
      <w:r>
        <w:rPr>
          <w:rFonts w:hint="eastAsia" w:ascii="仿宋_GB2312" w:hAnsi="仿宋" w:eastAsia="仿宋_GB2312"/>
          <w:sz w:val="32"/>
          <w:szCs w:val="32"/>
          <w:lang w:val="en-US" w:eastAsia="zh-CN"/>
        </w:rPr>
        <w:t>2</w:t>
      </w:r>
      <w:r>
        <w:rPr>
          <w:rFonts w:hint="eastAsia" w:ascii="仿宋_GB2312" w:hAnsi="仿宋" w:eastAsia="仿宋_GB2312"/>
          <w:sz w:val="32"/>
          <w:szCs w:val="32"/>
        </w:rPr>
        <w:t>个，压减率</w:t>
      </w:r>
      <w:r>
        <w:rPr>
          <w:rFonts w:hint="eastAsia" w:ascii="仿宋_GB2312" w:hAnsi="仿宋" w:eastAsia="仿宋_GB2312"/>
          <w:sz w:val="32"/>
          <w:szCs w:val="32"/>
          <w:lang w:val="en-US" w:eastAsia="zh-CN"/>
        </w:rPr>
        <w:t>25</w:t>
      </w:r>
      <w:r>
        <w:rPr>
          <w:rFonts w:hint="eastAsia" w:ascii="仿宋_GB2312" w:hAnsi="仿宋" w:eastAsia="仿宋_GB2312"/>
          <w:sz w:val="32"/>
          <w:szCs w:val="32"/>
        </w:rPr>
        <w:t>%。同时对政策和项目资金管理作出调整的</w:t>
      </w:r>
      <w:r>
        <w:rPr>
          <w:rFonts w:hint="eastAsia" w:ascii="仿宋_GB2312" w:hAnsi="仿宋" w:eastAsia="仿宋_GB2312"/>
          <w:sz w:val="32"/>
          <w:szCs w:val="32"/>
          <w:lang w:val="en-US" w:eastAsia="zh-CN"/>
        </w:rPr>
        <w:t>0</w:t>
      </w:r>
      <w:r>
        <w:rPr>
          <w:rFonts w:hint="eastAsia" w:ascii="仿宋_GB2312" w:hAnsi="仿宋" w:eastAsia="仿宋_GB2312"/>
          <w:sz w:val="32"/>
          <w:szCs w:val="32"/>
        </w:rPr>
        <w:t>个。</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（二）2024年绩效目标编制情况</w:t>
      </w:r>
    </w:p>
    <w:p>
      <w:pPr>
        <w:keepNext w:val="0"/>
        <w:keepLines w:val="0"/>
        <w:pageBreakBefore w:val="0"/>
        <w:widowControl/>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ascii="仿宋_GB2312" w:hAnsi="仿宋" w:eastAsia="仿宋_GB2312"/>
          <w:sz w:val="32"/>
          <w:szCs w:val="32"/>
        </w:rPr>
      </w:pPr>
      <w:r>
        <w:rPr>
          <w:rFonts w:hint="eastAsia" w:ascii="仿宋_GB2312" w:hAnsi="仿宋" w:eastAsia="仿宋_GB2312"/>
          <w:sz w:val="32"/>
          <w:szCs w:val="32"/>
        </w:rPr>
        <w:t>2024年，纳入单位预算绩效目标管理的项目</w:t>
      </w:r>
      <w:r>
        <w:rPr>
          <w:rFonts w:hint="eastAsia" w:ascii="仿宋_GB2312" w:hAnsi="仿宋" w:eastAsia="仿宋_GB2312"/>
          <w:sz w:val="32"/>
          <w:szCs w:val="32"/>
          <w:lang w:val="en-US" w:eastAsia="zh-CN"/>
        </w:rPr>
        <w:t>7</w:t>
      </w:r>
      <w:r>
        <w:rPr>
          <w:rFonts w:hint="eastAsia" w:ascii="仿宋_GB2312" w:hAnsi="仿宋" w:eastAsia="仿宋_GB2312"/>
          <w:sz w:val="32"/>
          <w:szCs w:val="32"/>
        </w:rPr>
        <w:t>个。其中，部门整体支出绩效目标围绕部门管理、履职效果、能力建设三个维度，设置二级指标</w:t>
      </w:r>
      <w:r>
        <w:rPr>
          <w:rFonts w:hint="eastAsia" w:ascii="仿宋_GB2312" w:hAnsi="仿宋" w:eastAsia="仿宋_GB2312"/>
          <w:sz w:val="32"/>
          <w:szCs w:val="32"/>
          <w:lang w:val="en-US" w:eastAsia="zh-CN"/>
        </w:rPr>
        <w:t>13</w:t>
      </w:r>
      <w:r>
        <w:rPr>
          <w:rFonts w:hint="eastAsia" w:ascii="仿宋_GB2312" w:hAnsi="仿宋" w:eastAsia="仿宋_GB2312"/>
          <w:sz w:val="32"/>
          <w:szCs w:val="32"/>
        </w:rPr>
        <w:t>个、三级指标</w:t>
      </w:r>
      <w:r>
        <w:rPr>
          <w:rFonts w:hint="eastAsia" w:ascii="仿宋_GB2312" w:hAnsi="仿宋" w:eastAsia="仿宋_GB2312"/>
          <w:sz w:val="32"/>
          <w:szCs w:val="32"/>
          <w:lang w:val="en-US" w:eastAsia="zh-CN"/>
        </w:rPr>
        <w:t>23</w:t>
      </w:r>
      <w:r>
        <w:rPr>
          <w:rFonts w:hint="eastAsia" w:ascii="仿宋_GB2312" w:hAnsi="仿宋" w:eastAsia="仿宋_GB2312"/>
          <w:sz w:val="32"/>
          <w:szCs w:val="32"/>
        </w:rPr>
        <w:t>个；项目支出绩效目标围绕成本指标、产出指标、效益指标、满意度指标四个维度，设置二级指标</w:t>
      </w:r>
      <w:r>
        <w:rPr>
          <w:rFonts w:hint="eastAsia" w:ascii="仿宋_GB2312" w:hAnsi="仿宋" w:eastAsia="仿宋_GB2312"/>
          <w:sz w:val="32"/>
          <w:szCs w:val="32"/>
          <w:lang w:val="en-US" w:eastAsia="zh-CN"/>
        </w:rPr>
        <w:t>47</w:t>
      </w:r>
      <w:r>
        <w:rPr>
          <w:rFonts w:hint="eastAsia" w:ascii="仿宋_GB2312" w:hAnsi="仿宋" w:eastAsia="仿宋_GB2312"/>
          <w:sz w:val="32"/>
          <w:szCs w:val="32"/>
        </w:rPr>
        <w:t>个、三级指标</w:t>
      </w:r>
      <w:r>
        <w:rPr>
          <w:rFonts w:hint="eastAsia" w:ascii="仿宋_GB2312" w:hAnsi="仿宋" w:eastAsia="仿宋_GB2312"/>
          <w:sz w:val="32"/>
          <w:szCs w:val="32"/>
          <w:lang w:val="en-US" w:eastAsia="zh-CN"/>
        </w:rPr>
        <w:t>100</w:t>
      </w:r>
      <w:r>
        <w:rPr>
          <w:rFonts w:hint="eastAsia" w:ascii="仿宋_GB2312" w:hAnsi="仿宋" w:eastAsia="仿宋_GB2312"/>
          <w:sz w:val="32"/>
          <w:szCs w:val="32"/>
        </w:rPr>
        <w:t>个。各项绩效目标内容指向明确、细化量化、合理可行，符合规定的格式要求。</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ascii="楷体_GB2312" w:hAnsi="楷体" w:eastAsia="楷体_GB2312" w:cs="宋体"/>
          <w:b/>
          <w:bCs/>
          <w:kern w:val="0"/>
          <w:sz w:val="32"/>
          <w:szCs w:val="32"/>
        </w:rPr>
      </w:pPr>
      <w:r>
        <w:rPr>
          <w:rFonts w:hint="eastAsia" w:ascii="楷体_GB2312" w:hAnsi="楷体" w:eastAsia="楷体_GB2312" w:cs="宋体"/>
          <w:b/>
          <w:bCs/>
          <w:kern w:val="0"/>
          <w:sz w:val="32"/>
          <w:szCs w:val="32"/>
        </w:rPr>
        <w:t>十一、名词解释</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1、财政拨款:</w:t>
      </w:r>
      <w:r>
        <w:rPr>
          <w:rFonts w:hint="eastAsia" w:ascii="仿宋_GB2312" w:hAnsi="CIDFont+F6" w:eastAsia="仿宋_GB2312"/>
          <w:color w:val="000000"/>
          <w:sz w:val="32"/>
          <w:szCs w:val="32"/>
        </w:rPr>
        <w:t>指由一般公共预算、政府性基金预算、国有资本经营预算安排的财政拨款数。</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2、一般公共预算:</w:t>
      </w:r>
      <w:r>
        <w:rPr>
          <w:rFonts w:hint="eastAsia" w:ascii="仿宋_GB2312" w:hAnsi="CIDFont+F6" w:eastAsia="仿宋_GB2312"/>
          <w:color w:val="000000"/>
          <w:sz w:val="32"/>
          <w:szCs w:val="32"/>
        </w:rPr>
        <w:t>包括公共财政拨款（补助）资金、专项收入。</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3、财政专户管理资金:</w:t>
      </w:r>
      <w:r>
        <w:rPr>
          <w:rFonts w:hint="eastAsia" w:ascii="仿宋_GB2312" w:hAnsi="CIDFont+F6" w:eastAsia="仿宋_GB2312"/>
          <w:color w:val="000000"/>
          <w:sz w:val="32"/>
          <w:szCs w:val="32"/>
        </w:rPr>
        <w:t>包括专户管理行政事业性收费（主要是教育收费）、其他非税收入。</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4、其他资金:</w:t>
      </w:r>
      <w:r>
        <w:rPr>
          <w:rFonts w:hint="eastAsia" w:ascii="仿宋_GB2312" w:hAnsi="CIDFont+F6" w:eastAsia="仿宋_GB2312"/>
          <w:color w:val="000000"/>
          <w:sz w:val="32"/>
          <w:szCs w:val="32"/>
        </w:rPr>
        <w:t>包括事业收入、事业经营收入、其他收入等。</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5、基本支出:</w:t>
      </w:r>
      <w:r>
        <w:rPr>
          <w:rFonts w:hint="eastAsia" w:ascii="仿宋_GB2312" w:hAnsi="CIDFont+F6" w:eastAsia="仿宋_GB2312"/>
          <w:color w:val="000000"/>
          <w:sz w:val="32"/>
          <w:szCs w:val="32"/>
        </w:rPr>
        <w:t>包括人员经费、公用经费（定额）。其中，人员经费包括工资福利支出、对个人和家庭的补助。</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6、项目支出:</w:t>
      </w:r>
      <w:r>
        <w:rPr>
          <w:rFonts w:hint="eastAsia" w:ascii="仿宋_GB2312" w:hAnsi="CIDFont+F6" w:eastAsia="仿宋_GB2312"/>
          <w:color w:val="000000"/>
          <w:sz w:val="32"/>
          <w:szCs w:val="32"/>
        </w:rPr>
        <w:t>部门（单位）支出预算的组成部分，是各部门（单位）为完成其特定的行政任务或事业发展目标，在基本支出预算之外编制的年度项目支出计划。</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_GB2312" w:hAnsi="CIDFont+F6" w:eastAsia="仿宋_GB2312"/>
          <w:color w:val="000000"/>
          <w:sz w:val="32"/>
          <w:szCs w:val="32"/>
        </w:rPr>
      </w:pPr>
      <w:r>
        <w:rPr>
          <w:rFonts w:hint="eastAsia" w:ascii="仿宋_GB2312" w:hAnsi="CIDFont+F4" w:eastAsia="仿宋_GB2312"/>
          <w:b/>
          <w:color w:val="000000"/>
          <w:sz w:val="32"/>
          <w:szCs w:val="32"/>
        </w:rPr>
        <w:t>7、“三公”经费:</w:t>
      </w:r>
      <w:r>
        <w:rPr>
          <w:rFonts w:hint="eastAsia" w:ascii="仿宋_GB2312" w:hAnsi="CIDFont+F6" w:eastAsia="仿宋_GB2312"/>
          <w:color w:val="000000"/>
          <w:sz w:val="32"/>
          <w:szCs w:val="32"/>
        </w:rPr>
        <w:t>指因公出国（境）费、公务用车购置及运行维护费和公务接待费。其中，因公出国（境）费反映单位公务出国（境）的国际旅费、国外城市间交通费、住宿费、伙食费、培训费、公杂费等支出；公务用车运行维护费反映单位按规定保留的公务用车租用费、燃料费、维修费、过路过桥费、保险费、安全奖励费用等支出；公务接待费反映单位按规定开支的各类公务接待（含外宾接待）支出。</w:t>
      </w:r>
    </w:p>
    <w:p>
      <w:pPr>
        <w:keepNext w:val="0"/>
        <w:keepLines w:val="0"/>
        <w:pageBreakBefore w:val="0"/>
        <w:kinsoku/>
        <w:overflowPunct/>
        <w:topLinePunct w:val="0"/>
        <w:autoSpaceDE/>
        <w:autoSpaceDN/>
        <w:bidi w:val="0"/>
        <w:adjustRightInd w:val="0"/>
        <w:snapToGrid w:val="0"/>
        <w:spacing w:line="560" w:lineRule="exact"/>
        <w:ind w:left="0" w:leftChars="0" w:right="0" w:firstLine="643" w:firstLineChars="200"/>
        <w:contextualSpacing/>
        <w:jc w:val="both"/>
        <w:textAlignment w:val="auto"/>
        <w:rPr>
          <w:rFonts w:hint="eastAsia" w:ascii="仿宋" w:hAnsi="仿宋" w:eastAsia="仿宋" w:cs="仿宋"/>
          <w:sz w:val="32"/>
          <w:szCs w:val="32"/>
        </w:rPr>
      </w:pPr>
      <w:r>
        <w:rPr>
          <w:rFonts w:hint="eastAsia" w:ascii="仿宋_GB2312" w:hAnsi="CIDFont+F4" w:eastAsia="仿宋_GB2312"/>
          <w:b/>
          <w:color w:val="000000"/>
          <w:sz w:val="32"/>
          <w:szCs w:val="32"/>
        </w:rPr>
        <w:t>8、机关运行经费:</w:t>
      </w:r>
      <w:r>
        <w:rPr>
          <w:rFonts w:hint="eastAsia" w:ascii="仿宋_GB2312" w:hAnsi="CIDFont+F6" w:eastAsia="仿宋_GB2312"/>
          <w:color w:val="000000"/>
          <w:sz w:val="32"/>
          <w:szCs w:val="32"/>
        </w:rPr>
        <w:t>为保障行政单位（包括实行公务员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9、</w:t>
      </w:r>
      <w:r>
        <w:rPr>
          <w:rFonts w:hint="eastAsia" w:ascii="仿宋_GB2312" w:hAnsi="仿宋_GB2312" w:eastAsia="仿宋_GB2312" w:cs="仿宋_GB2312"/>
          <w:b/>
          <w:bCs/>
          <w:sz w:val="32"/>
          <w:szCs w:val="32"/>
        </w:rPr>
        <w:t>一般公共服务支出（类）</w:t>
      </w:r>
      <w:r>
        <w:rPr>
          <w:rFonts w:hint="eastAsia" w:ascii="仿宋_GB2312" w:hAnsi="仿宋_GB2312" w:eastAsia="仿宋_GB2312" w:cs="仿宋_GB2312"/>
          <w:sz w:val="32"/>
          <w:szCs w:val="32"/>
        </w:rPr>
        <w:t>：反映</w:t>
      </w:r>
      <w:r>
        <w:rPr>
          <w:rFonts w:hint="eastAsia" w:ascii="仿宋_GB2312" w:hAnsi="仿宋_GB2312" w:eastAsia="仿宋_GB2312" w:cs="仿宋_GB2312"/>
          <w:sz w:val="32"/>
          <w:szCs w:val="32"/>
          <w:lang w:eastAsia="zh-CN"/>
        </w:rPr>
        <w:t>政府提供一般公共服务的</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eastAsia="zh-CN"/>
        </w:rPr>
        <w:t>政府办公厅（室）及相关机构事务（款）：反映各级政府办公厅（室）</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及相关机构的支出。</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行政运行（项）：反映行政单位（包括实行公务员管理的事业单位）的基本支出。</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一般行政管理事务（项）：反映行政单位（包括实行公务员管理的事业单位）未单独设置项级科目的其他项目支出。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财务事务（款）：反映财政事务方面的支出。事业运行（项）：反映</w:t>
      </w:r>
      <w:r>
        <w:rPr>
          <w:rFonts w:hint="eastAsia" w:ascii="仿宋_GB2312" w:hAnsi="仿宋_GB2312" w:eastAsia="仿宋_GB2312" w:cs="仿宋_GB2312"/>
          <w:sz w:val="32"/>
          <w:szCs w:val="32"/>
          <w:lang w:eastAsia="zh-CN"/>
        </w:rPr>
        <w:t>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lang w:eastAsia="zh-CN"/>
        </w:rPr>
        <w:t>公共安全支出（类）司法（款）事业运行（项）</w:t>
      </w:r>
      <w:r>
        <w:rPr>
          <w:rFonts w:hint="eastAsia" w:ascii="仿宋_GB2312" w:hAnsi="仿宋_GB2312" w:eastAsia="仿宋_GB2312" w:cs="仿宋_GB2312"/>
          <w:sz w:val="32"/>
          <w:szCs w:val="32"/>
          <w:lang w:eastAsia="zh-CN"/>
        </w:rPr>
        <w:t>：反映政府维护社会公共安全方面的支出；反映事业单位的基本支出，不包括行政单位（包括实行公务员管理的事业单位）后勤服务中心、医务室等附属事业单位。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社会保障和就业支出（类）</w:t>
      </w:r>
      <w:r>
        <w:rPr>
          <w:rFonts w:hint="eastAsia" w:ascii="仿宋_GB2312" w:hAnsi="仿宋_GB2312" w:eastAsia="仿宋_GB2312" w:cs="仿宋_GB2312"/>
          <w:sz w:val="32"/>
          <w:szCs w:val="32"/>
        </w:rPr>
        <w:t>：反映政府在社会保障与就业方面的支出</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行政事业单位养老支出（款）：反映用于行政事业单位养老方面的支出；</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行政单位离退休（项）：反映行政单位（包括实行公务员管理的事业单位）开支的离退休经费；</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机关事业单位基本养老保险缴费支出（项）：反映机关事业单位实施养老保险制度由单位缴纳的基本养老保险费支出；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firstLine="960" w:firstLineChars="3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其他社会保障和就业支出（款）：反映除上述项目以外其他用于社会保障和就业方面的支出。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lang w:eastAsia="zh-CN"/>
        </w:rPr>
        <w:t>卫生健康</w:t>
      </w:r>
      <w:r>
        <w:rPr>
          <w:rFonts w:hint="eastAsia" w:ascii="仿宋_GB2312" w:hAnsi="仿宋_GB2312" w:eastAsia="仿宋_GB2312" w:cs="仿宋_GB2312"/>
          <w:b/>
          <w:bCs/>
          <w:sz w:val="32"/>
          <w:szCs w:val="32"/>
        </w:rPr>
        <w:t>支出（类）：</w:t>
      </w:r>
      <w:r>
        <w:rPr>
          <w:rFonts w:hint="eastAsia" w:ascii="仿宋_GB2312" w:hAnsi="仿宋_GB2312" w:eastAsia="仿宋_GB2312" w:cs="仿宋_GB2312"/>
          <w:sz w:val="32"/>
          <w:szCs w:val="32"/>
        </w:rPr>
        <w:t>反映政府</w:t>
      </w:r>
      <w:r>
        <w:rPr>
          <w:rFonts w:hint="eastAsia" w:ascii="仿宋_GB2312" w:hAnsi="仿宋_GB2312" w:eastAsia="仿宋_GB2312" w:cs="仿宋_GB2312"/>
          <w:sz w:val="32"/>
          <w:szCs w:val="32"/>
          <w:lang w:eastAsia="zh-CN"/>
        </w:rPr>
        <w:t>卫生健康方面</w:t>
      </w:r>
      <w:r>
        <w:rPr>
          <w:rFonts w:hint="eastAsia" w:ascii="仿宋_GB2312" w:hAnsi="仿宋_GB2312" w:eastAsia="仿宋_GB2312" w:cs="仿宋_GB2312"/>
          <w:sz w:val="32"/>
          <w:szCs w:val="32"/>
        </w:rPr>
        <w:t>的支出。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960" w:firstLineChars="3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行政事业单位医疗（款）：反映行政事业单位医疗方面的支出。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单位医疗（项）：反映财政安排的</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（包括实行公务员管理的事业单位，下同）</w:t>
      </w:r>
      <w:r>
        <w:rPr>
          <w:rFonts w:hint="eastAsia" w:ascii="仿宋_GB2312" w:hAnsi="仿宋_GB2312" w:eastAsia="仿宋_GB2312" w:cs="仿宋_GB2312"/>
          <w:sz w:val="32"/>
          <w:szCs w:val="32"/>
        </w:rPr>
        <w:t>基本医疗保险缴费经费，未参加医疗保险的</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单位的公费医疗经费</w:t>
      </w:r>
      <w:r>
        <w:rPr>
          <w:rFonts w:hint="eastAsia" w:ascii="仿宋_GB2312" w:hAnsi="仿宋_GB2312" w:eastAsia="仿宋_GB2312" w:cs="仿宋_GB2312"/>
          <w:sz w:val="32"/>
          <w:szCs w:val="32"/>
          <w:lang w:eastAsia="zh-CN"/>
        </w:rPr>
        <w:t>，按国家规定享受离休人员、红军老战士待遇人员的医疗经费；</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公务员医疗补助（项）：反映财政部门安排的公务员医疗补助经费</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计划生育事务（款）：反映计划生育方面的支出。</w:t>
      </w:r>
      <w:r>
        <w:rPr>
          <w:rFonts w:hint="eastAsia" w:ascii="仿宋_GB2312" w:hAnsi="仿宋_GB2312" w:eastAsia="仿宋_GB2312" w:cs="仿宋_GB2312"/>
          <w:sz w:val="32"/>
          <w:szCs w:val="32"/>
          <w:lang w:eastAsia="zh-CN"/>
        </w:rPr>
        <w:t>计划生育机构（项）：反映卫生健康部门所属计划生育机构的支出；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13、</w:t>
      </w:r>
      <w:r>
        <w:rPr>
          <w:rFonts w:hint="eastAsia" w:ascii="仿宋_GB2312" w:hAnsi="仿宋_GB2312" w:eastAsia="仿宋_GB2312" w:cs="仿宋_GB2312"/>
          <w:b/>
          <w:bCs/>
          <w:sz w:val="32"/>
          <w:szCs w:val="32"/>
          <w:lang w:eastAsia="zh-CN"/>
        </w:rPr>
        <w:t>城乡社区支出（类）</w:t>
      </w:r>
      <w:r>
        <w:rPr>
          <w:rFonts w:hint="eastAsia" w:ascii="仿宋_GB2312" w:hAnsi="仿宋_GB2312" w:eastAsia="仿宋_GB2312" w:cs="仿宋_GB2312"/>
          <w:sz w:val="32"/>
          <w:szCs w:val="32"/>
          <w:lang w:eastAsia="zh-CN"/>
        </w:rPr>
        <w:t>：反映政府城乡社区事务支出；城乡社区管理事务（款）：反映城乡社区管理事务支出；城管执法（项）：反映城市管理综合行政执法、加强城市市容和环境卫生管理科等方面的支出。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14、</w:t>
      </w:r>
      <w:r>
        <w:rPr>
          <w:rFonts w:hint="eastAsia" w:ascii="仿宋_GB2312" w:hAnsi="仿宋_GB2312" w:eastAsia="仿宋_GB2312" w:cs="仿宋_GB2312"/>
          <w:b/>
          <w:bCs/>
          <w:sz w:val="32"/>
          <w:szCs w:val="32"/>
          <w:lang w:eastAsia="zh-CN"/>
        </w:rPr>
        <w:t>农林水支出（类）</w:t>
      </w:r>
      <w:r>
        <w:rPr>
          <w:rFonts w:hint="eastAsia" w:ascii="仿宋_GB2312" w:hAnsi="仿宋_GB2312" w:eastAsia="仿宋_GB2312" w:cs="仿宋_GB2312"/>
          <w:sz w:val="32"/>
          <w:szCs w:val="32"/>
          <w:lang w:eastAsia="zh-CN"/>
        </w:rPr>
        <w:t>：反映政府农林水事务支出。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firstLine="960" w:firstLineChars="3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农业农村（款）：反映种植业、畜牧业、渔业、种业、兽医、农机、农垦、农场、农村产业、农村社会事业等方面的支出；</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事业运行（项）：反映用于农业事业单位基本支出，事业单位设施、系统运行与资产维护等方面的支出；</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其他农业农村支出（项）：反映除上述项目以外其他用于农业农村方面的支出；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农村综合改革（款）：反映农村综合改革方面的支出。对村民委员会和村党支部的补助（项）：反映各级财政对村民委员会和村党支部的补助支出，以及支持建立县级基本财力保障机制安排的村级组织运转奖补资金。</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15、</w:t>
      </w:r>
      <w:r>
        <w:rPr>
          <w:rFonts w:hint="eastAsia" w:ascii="仿宋_GB2312" w:hAnsi="仿宋_GB2312" w:eastAsia="仿宋_GB2312" w:cs="仿宋_GB2312"/>
          <w:b/>
          <w:bCs/>
          <w:sz w:val="32"/>
          <w:szCs w:val="32"/>
        </w:rPr>
        <w:t>灾害防治及应急管理支出</w:t>
      </w:r>
      <w:r>
        <w:rPr>
          <w:rFonts w:hint="eastAsia" w:ascii="仿宋_GB2312" w:hAnsi="仿宋_GB2312" w:eastAsia="仿宋_GB2312" w:cs="仿宋_GB2312"/>
          <w:b/>
          <w:bCs/>
          <w:sz w:val="32"/>
          <w:szCs w:val="32"/>
          <w:lang w:eastAsia="zh-CN"/>
        </w:rPr>
        <w:t>（类）</w:t>
      </w:r>
      <w:r>
        <w:rPr>
          <w:rFonts w:hint="eastAsia" w:ascii="仿宋_GB2312" w:hAnsi="仿宋_GB2312" w:eastAsia="仿宋_GB2312" w:cs="仿宋_GB2312"/>
          <w:sz w:val="32"/>
          <w:szCs w:val="32"/>
          <w:lang w:eastAsia="zh-CN"/>
        </w:rPr>
        <w:t>：反映政府用于自然灾害防治、安全生产监管及应急管理等方面的支出。应急管理事务（款）：反映应急管理事务的支出。事业运行（项）：反映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16、</w:t>
      </w:r>
      <w:r>
        <w:rPr>
          <w:rFonts w:hint="eastAsia" w:ascii="仿宋_GB2312" w:hAnsi="仿宋_GB2312" w:eastAsia="仿宋_GB2312" w:cs="仿宋_GB2312"/>
          <w:b/>
          <w:bCs/>
          <w:sz w:val="32"/>
          <w:szCs w:val="32"/>
        </w:rPr>
        <w:t>住房保障支出（类）住房改革支出（款）住房公积金（项）：</w:t>
      </w:r>
      <w:r>
        <w:rPr>
          <w:rFonts w:hint="eastAsia" w:ascii="仿宋_GB2312" w:hAnsi="仿宋_GB2312" w:eastAsia="仿宋_GB2312" w:cs="仿宋_GB2312"/>
          <w:sz w:val="32"/>
          <w:szCs w:val="32"/>
        </w:rPr>
        <w:t>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4480" w:firstLineChars="14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4480" w:firstLineChars="14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4480" w:firstLineChars="14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4480" w:firstLineChars="14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firstLine="4480" w:firstLineChars="14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上川镇人民政府</w:t>
      </w:r>
    </w:p>
    <w:p>
      <w:pPr>
        <w:keepNext w:val="0"/>
        <w:keepLines w:val="0"/>
        <w:pageBreakBefore w:val="0"/>
        <w:kinsoku/>
        <w:overflowPunct/>
        <w:topLinePunct w:val="0"/>
        <w:autoSpaceDE/>
        <w:autoSpaceDN/>
        <w:bidi w:val="0"/>
        <w:adjustRightInd w:val="0"/>
        <w:snapToGrid w:val="0"/>
        <w:spacing w:line="560" w:lineRule="exact"/>
        <w:ind w:left="0" w:leftChars="0" w:right="0" w:firstLine="4480" w:firstLineChars="1400"/>
        <w:contextualSpacing/>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日</w:t>
      </w: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_GB2312" w:eastAsia="仿宋_GB2312" w:cs="仿宋_GB2312"/>
          <w:kern w:val="0"/>
          <w:sz w:val="32"/>
          <w:szCs w:val="32"/>
        </w:rPr>
      </w:pPr>
    </w:p>
    <w:p>
      <w:pPr>
        <w:keepNext w:val="0"/>
        <w:keepLines w:val="0"/>
        <w:pageBreakBefore w:val="0"/>
        <w:kinsoku/>
        <w:overflowPunct/>
        <w:topLinePunct w:val="0"/>
        <w:autoSpaceDE/>
        <w:autoSpaceDN/>
        <w:bidi w:val="0"/>
        <w:adjustRightInd w:val="0"/>
        <w:snapToGrid w:val="0"/>
        <w:spacing w:line="560" w:lineRule="exact"/>
        <w:ind w:left="0" w:leftChars="0" w:right="0" w:firstLine="640" w:firstLineChars="200"/>
        <w:contextualSpacing/>
        <w:jc w:val="both"/>
        <w:textAlignment w:val="auto"/>
        <w:rPr>
          <w:rFonts w:hint="eastAsia" w:ascii="仿宋_GB2312" w:hAnsi="仿宋_GB2312" w:eastAsia="仿宋_GB2312" w:cs="仿宋_GB2312"/>
          <w:spacing w:val="-20"/>
          <w:kern w:val="0"/>
          <w:sz w:val="32"/>
          <w:szCs w:val="32"/>
        </w:rPr>
      </w:pPr>
      <w:r>
        <w:rPr>
          <w:rFonts w:hint="eastAsia" w:ascii="仿宋_GB2312" w:hAnsi="仿宋_GB2312" w:eastAsia="仿宋_GB2312" w:cs="仿宋_GB2312"/>
          <w:kern w:val="0"/>
          <w:sz w:val="32"/>
          <w:szCs w:val="32"/>
        </w:rPr>
        <w:t>附件：</w:t>
      </w:r>
      <w:r>
        <w:rPr>
          <w:rFonts w:hint="eastAsia" w:ascii="仿宋_GB2312" w:hAnsi="仿宋_GB2312" w:eastAsia="仿宋_GB2312" w:cs="仿宋_GB2312"/>
          <w:spacing w:val="-20"/>
          <w:kern w:val="0"/>
          <w:sz w:val="32"/>
          <w:szCs w:val="32"/>
        </w:rPr>
        <w:t>1.</w:t>
      </w:r>
      <w:r>
        <w:rPr>
          <w:rFonts w:hint="eastAsia" w:ascii="仿宋_GB2312" w:hAnsi="仿宋_GB2312" w:eastAsia="仿宋_GB2312" w:cs="仿宋_GB2312"/>
          <w:spacing w:val="-20"/>
          <w:kern w:val="0"/>
          <w:sz w:val="32"/>
          <w:szCs w:val="32"/>
          <w:lang w:eastAsia="zh-CN"/>
        </w:rPr>
        <w:t>上川镇人民政府</w:t>
      </w:r>
      <w:r>
        <w:rPr>
          <w:rFonts w:hint="eastAsia" w:ascii="仿宋_GB2312" w:hAnsi="仿宋_GB2312" w:eastAsia="仿宋_GB2312" w:cs="仿宋_GB2312"/>
          <w:spacing w:val="-20"/>
          <w:kern w:val="0"/>
          <w:sz w:val="32"/>
          <w:szCs w:val="32"/>
        </w:rPr>
        <w:t>2024年</w:t>
      </w: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spacing w:val="-20"/>
          <w:kern w:val="0"/>
          <w:sz w:val="32"/>
          <w:szCs w:val="32"/>
        </w:rPr>
        <w:t>预算公开表</w:t>
      </w:r>
    </w:p>
    <w:p>
      <w:pPr>
        <w:keepNext w:val="0"/>
        <w:keepLines w:val="0"/>
        <w:pageBreakBefore w:val="0"/>
        <w:kinsoku/>
        <w:overflowPunct/>
        <w:topLinePunct w:val="0"/>
        <w:autoSpaceDE/>
        <w:autoSpaceDN/>
        <w:bidi w:val="0"/>
        <w:adjustRightInd w:val="0"/>
        <w:snapToGrid w:val="0"/>
        <w:spacing w:line="560" w:lineRule="exact"/>
        <w:ind w:left="1876" w:leftChars="760" w:right="0" w:hanging="280" w:hangingChars="100"/>
        <w:contextualSpacing/>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pacing w:val="-20"/>
          <w:kern w:val="0"/>
          <w:sz w:val="32"/>
          <w:szCs w:val="32"/>
        </w:rPr>
        <w:t>2.</w:t>
      </w:r>
      <w:r>
        <w:rPr>
          <w:rFonts w:hint="eastAsia" w:ascii="仿宋_GB2312" w:hAnsi="仿宋_GB2312" w:eastAsia="仿宋_GB2312" w:cs="仿宋_GB2312"/>
          <w:spacing w:val="-20"/>
          <w:kern w:val="0"/>
          <w:sz w:val="32"/>
          <w:szCs w:val="32"/>
          <w:lang w:eastAsia="zh-CN"/>
        </w:rPr>
        <w:t>上川镇人民政府</w:t>
      </w:r>
      <w:r>
        <w:rPr>
          <w:rFonts w:hint="eastAsia" w:ascii="仿宋_GB2312" w:hAnsi="仿宋_GB2312" w:eastAsia="仿宋_GB2312" w:cs="仿宋_GB2312"/>
          <w:spacing w:val="-20"/>
          <w:kern w:val="0"/>
          <w:sz w:val="32"/>
          <w:szCs w:val="32"/>
        </w:rPr>
        <w:t>2024年</w:t>
      </w:r>
      <w:r>
        <w:rPr>
          <w:rFonts w:hint="eastAsia" w:ascii="仿宋_GB2312" w:hAnsi="仿宋_GB2312" w:eastAsia="仿宋_GB2312" w:cs="仿宋_GB2312"/>
          <w:color w:val="000000"/>
          <w:sz w:val="32"/>
          <w:szCs w:val="32"/>
        </w:rPr>
        <w:t>单位整体支出绩效目标及预算项目绩效目标表</w:t>
      </w:r>
    </w:p>
    <w:p>
      <w:pPr>
        <w:keepNext w:val="0"/>
        <w:keepLines w:val="0"/>
        <w:pageBreakBefore w:val="0"/>
        <w:kinsoku/>
        <w:overflowPunct/>
        <w:topLinePunct w:val="0"/>
        <w:autoSpaceDE/>
        <w:autoSpaceDN/>
        <w:bidi w:val="0"/>
        <w:adjustRightInd w:val="0"/>
        <w:snapToGrid w:val="0"/>
        <w:spacing w:line="560" w:lineRule="exact"/>
        <w:ind w:left="0" w:leftChars="0" w:right="0"/>
        <w:contextualSpacing/>
        <w:jc w:val="both"/>
        <w:textAlignment w:val="auto"/>
        <w:rPr>
          <w:rFonts w:ascii="宋体" w:hAnsi="宋体"/>
          <w:b/>
        </w:rPr>
      </w:pPr>
      <w:r>
        <w:rPr>
          <w:rFonts w:hint="eastAsia" w:ascii="仿宋_GB2312" w:hAnsi="仿宋_GB2312" w:eastAsia="仿宋_GB2312" w:cs="仿宋_GB2312"/>
          <w:sz w:val="32"/>
          <w:szCs w:val="32"/>
        </w:rPr>
        <w:br w:type="page"/>
      </w:r>
      <w:r>
        <w:rPr>
          <w:rFonts w:hint="eastAsia" w:ascii="黑体" w:eastAsia="黑体"/>
          <w:sz w:val="30"/>
          <w:szCs w:val="30"/>
        </w:rPr>
        <w:t>附件1</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表一、</w:t>
      </w:r>
      <w:r>
        <w:rPr>
          <w:rFonts w:hint="eastAsia" w:ascii="仿宋_GB2312" w:hAnsi="CIDFont+F6" w:eastAsia="仿宋_GB2312"/>
          <w:color w:val="000000"/>
          <w:sz w:val="32"/>
          <w:szCs w:val="32"/>
        </w:rPr>
        <w:t>部门/单位</w:t>
      </w:r>
      <w:r>
        <w:rPr>
          <w:rFonts w:hint="eastAsia" w:ascii="仿宋_GB2312" w:hAnsi="宋体" w:eastAsia="仿宋_GB2312" w:cs="宋体"/>
          <w:kern w:val="0"/>
          <w:sz w:val="32"/>
          <w:szCs w:val="32"/>
        </w:rPr>
        <w:t>收支总体情况表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单位：万元</w:t>
      </w:r>
    </w:p>
    <w:tbl>
      <w:tblPr>
        <w:tblStyle w:val="8"/>
        <w:tblW w:w="9616" w:type="dxa"/>
        <w:jc w:val="center"/>
        <w:tblLayout w:type="autofit"/>
        <w:tblCellMar>
          <w:top w:w="0" w:type="dxa"/>
          <w:left w:w="108" w:type="dxa"/>
          <w:bottom w:w="0" w:type="dxa"/>
          <w:right w:w="108" w:type="dxa"/>
        </w:tblCellMar>
      </w:tblPr>
      <w:tblGrid>
        <w:gridCol w:w="3368"/>
        <w:gridCol w:w="1600"/>
        <w:gridCol w:w="3236"/>
        <w:gridCol w:w="1412"/>
      </w:tblGrid>
      <w:tr>
        <w:tblPrEx>
          <w:tblCellMar>
            <w:top w:w="0" w:type="dxa"/>
            <w:left w:w="108" w:type="dxa"/>
            <w:bottom w:w="0" w:type="dxa"/>
            <w:right w:w="108" w:type="dxa"/>
          </w:tblCellMar>
        </w:tblPrEx>
        <w:trPr>
          <w:trHeight w:val="20" w:hRule="atLeast"/>
          <w:jc w:val="center"/>
        </w:trPr>
        <w:tc>
          <w:tcPr>
            <w:tcW w:w="4968"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收     入</w:t>
            </w:r>
          </w:p>
        </w:tc>
        <w:tc>
          <w:tcPr>
            <w:tcW w:w="4648" w:type="dxa"/>
            <w:gridSpan w:val="2"/>
            <w:tcBorders>
              <w:top w:val="single" w:color="auto" w:sz="4" w:space="0"/>
              <w:left w:val="nil"/>
              <w:bottom w:val="single" w:color="auto"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支     出</w:t>
            </w: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1600"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预算数</w:t>
            </w: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1412"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预算数</w:t>
            </w: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一、一般公共预算财政拨款收入</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一、一般公共服务支出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二、政府性基金预算财政拨款收入</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二、外交支出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三、国有资本经营预算收入</w:t>
            </w:r>
          </w:p>
        </w:tc>
        <w:tc>
          <w:tcPr>
            <w:tcW w:w="1600" w:type="dxa"/>
            <w:tcBorders>
              <w:top w:val="nil"/>
              <w:left w:val="nil"/>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三、国防支出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四、教育专户核算</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四、公共安全支出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五、事业收入</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五、教育支出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六、上级补助收入</w:t>
            </w:r>
          </w:p>
        </w:tc>
        <w:tc>
          <w:tcPr>
            <w:tcW w:w="1600" w:type="dxa"/>
            <w:tcBorders>
              <w:top w:val="nil"/>
              <w:left w:val="nil"/>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六、科学技术支出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七、附属单位上缴收入</w:t>
            </w:r>
          </w:p>
        </w:tc>
        <w:tc>
          <w:tcPr>
            <w:tcW w:w="1600" w:type="dxa"/>
            <w:tcBorders>
              <w:top w:val="nil"/>
              <w:left w:val="nil"/>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七、文化旅游体育与传媒支出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八、经营收入</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八、社会保障和就业支出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九、其他收入</w:t>
            </w:r>
          </w:p>
        </w:tc>
        <w:tc>
          <w:tcPr>
            <w:tcW w:w="1600" w:type="dxa"/>
            <w:tcBorders>
              <w:top w:val="nil"/>
              <w:left w:val="single" w:color="000000" w:sz="4" w:space="0"/>
              <w:bottom w:val="single" w:color="auto" w:sz="4" w:space="0"/>
              <w:right w:val="single" w:color="000000"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olor w:val="00000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九、社会保险基金支出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十、卫生健康支出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十一、节能环保支出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十二、城乡社区支出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十三、农林水支出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十四、交通运输支出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十五、资源勘探工业信息等支出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十六、商业服务业等支出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十七、金融支出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十八、援助其他地区支出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十九、自然资源海洋气象等支出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二十、住房保障支出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二十一、粮油物资储备支出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二十二、国有资本经营预算支出</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二十三、灾害防治及应急管理支出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二十四、预备费</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二十五、其他支出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二十六、转移性支出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二十七、债务还本支出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二十八、债务付息支出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二十九、债务发行费用支出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三十、抗疫特别国债还本支出</w:t>
            </w:r>
          </w:p>
        </w:tc>
        <w:tc>
          <w:tcPr>
            <w:tcW w:w="1412" w:type="dxa"/>
            <w:tcBorders>
              <w:top w:val="nil"/>
              <w:left w:val="nil"/>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82"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412" w:type="dxa"/>
            <w:tcBorders>
              <w:top w:val="nil"/>
              <w:left w:val="nil"/>
              <w:bottom w:val="single" w:color="auto" w:sz="4" w:space="0"/>
              <w:right w:val="nil"/>
            </w:tcBorders>
            <w:shd w:val="clear" w:color="auto" w:fill="auto"/>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本年收入合计</w:t>
            </w:r>
          </w:p>
        </w:tc>
        <w:tc>
          <w:tcPr>
            <w:tcW w:w="1600" w:type="dxa"/>
            <w:tcBorders>
              <w:top w:val="nil"/>
              <w:left w:val="single" w:color="000000" w:sz="4" w:space="0"/>
              <w:bottom w:val="single" w:color="auto" w:sz="4" w:space="0"/>
              <w:right w:val="single" w:color="000000" w:sz="4" w:space="0"/>
            </w:tcBorders>
            <w:shd w:val="clear" w:color="CCCC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本年支出合计</w:t>
            </w:r>
          </w:p>
        </w:tc>
        <w:tc>
          <w:tcPr>
            <w:tcW w:w="1412" w:type="dxa"/>
            <w:tcBorders>
              <w:top w:val="nil"/>
              <w:left w:val="nil"/>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412" w:type="dxa"/>
            <w:tcBorders>
              <w:top w:val="nil"/>
              <w:left w:val="nil"/>
              <w:bottom w:val="single" w:color="auto" w:sz="4" w:space="0"/>
              <w:right w:val="nil"/>
            </w:tcBorders>
            <w:shd w:val="clear" w:color="auto" w:fill="auto"/>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十、上年结转</w:t>
            </w:r>
          </w:p>
        </w:tc>
        <w:tc>
          <w:tcPr>
            <w:tcW w:w="1600" w:type="dxa"/>
            <w:tcBorders>
              <w:top w:val="nil"/>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三十一、结转下年</w:t>
            </w:r>
          </w:p>
        </w:tc>
        <w:tc>
          <w:tcPr>
            <w:tcW w:w="1412" w:type="dxa"/>
            <w:tcBorders>
              <w:top w:val="nil"/>
              <w:left w:val="nil"/>
              <w:bottom w:val="single" w:color="auto" w:sz="4" w:space="0"/>
              <w:right w:val="nil"/>
            </w:tcBorders>
            <w:shd w:val="clear" w:color="CCCCFF"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十一、上年结余</w:t>
            </w:r>
          </w:p>
        </w:tc>
        <w:tc>
          <w:tcPr>
            <w:tcW w:w="1600" w:type="dxa"/>
            <w:tcBorders>
              <w:top w:val="nil"/>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412" w:type="dxa"/>
            <w:tcBorders>
              <w:top w:val="nil"/>
              <w:left w:val="nil"/>
              <w:bottom w:val="single" w:color="auto" w:sz="4" w:space="0"/>
              <w:right w:val="nil"/>
            </w:tcBorders>
            <w:shd w:val="clear" w:color="auto" w:fill="auto"/>
            <w:noWrap/>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single" w:color="auto" w:sz="4" w:space="0"/>
              <w:left w:val="nil"/>
              <w:bottom w:val="single" w:color="auto" w:sz="4" w:space="0"/>
              <w:right w:val="nil"/>
            </w:tcBorders>
            <w:shd w:val="clear" w:color="auto" w:fill="auto"/>
            <w:noWrap/>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6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236" w:type="dxa"/>
            <w:tcBorders>
              <w:top w:val="nil"/>
              <w:left w:val="nil"/>
              <w:bottom w:val="single" w:color="auto" w:sz="4" w:space="0"/>
              <w:right w:val="single" w:color="000000" w:sz="4" w:space="0"/>
            </w:tcBorders>
            <w:shd w:val="clear" w:color="auto" w:fill="auto"/>
            <w:noWrap/>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412" w:type="dxa"/>
            <w:tcBorders>
              <w:top w:val="nil"/>
              <w:left w:val="nil"/>
              <w:bottom w:val="single" w:color="auto" w:sz="4" w:space="0"/>
              <w:right w:val="nil"/>
            </w:tcBorders>
            <w:shd w:val="clear" w:color="auto" w:fill="auto"/>
            <w:noWrap/>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jc w:val="center"/>
        </w:trPr>
        <w:tc>
          <w:tcPr>
            <w:tcW w:w="3368"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收入总计</w:t>
            </w:r>
          </w:p>
        </w:tc>
        <w:tc>
          <w:tcPr>
            <w:tcW w:w="1600" w:type="dxa"/>
            <w:tcBorders>
              <w:top w:val="nil"/>
              <w:left w:val="single" w:color="000000" w:sz="4" w:space="0"/>
              <w:bottom w:val="single" w:color="auto" w:sz="4" w:space="0"/>
              <w:right w:val="single" w:color="000000" w:sz="4" w:space="0"/>
            </w:tcBorders>
            <w:shd w:val="clear" w:color="CCCC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3236" w:type="dxa"/>
            <w:tcBorders>
              <w:top w:val="nil"/>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支出总计</w:t>
            </w:r>
          </w:p>
        </w:tc>
        <w:tc>
          <w:tcPr>
            <w:tcW w:w="1412" w:type="dxa"/>
            <w:tcBorders>
              <w:top w:val="nil"/>
              <w:left w:val="single" w:color="000000" w:sz="4" w:space="0"/>
              <w:bottom w:val="single" w:color="auto" w:sz="4" w:space="0"/>
              <w:right w:val="nil"/>
            </w:tcBorders>
            <w:shd w:val="clear" w:color="CCCCFF"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仿宋_GB2312" w:hAnsi="微软雅黑" w:eastAsia="仿宋_GB2312"/>
          <w:sz w:val="18"/>
          <w:szCs w:val="18"/>
        </w:rPr>
        <w:sectPr>
          <w:pgSz w:w="11906" w:h="16838"/>
          <w:pgMar w:top="1440" w:right="1803" w:bottom="1440" w:left="1803" w:header="851" w:footer="992" w:gutter="0"/>
          <w:cols w:space="425" w:num="1"/>
          <w:docGrid w:type="lines" w:linePitch="312" w:charSpace="0"/>
        </w:sectPr>
      </w:pPr>
      <w:r>
        <w:rPr>
          <w:rFonts w:hint="eastAsia" w:ascii="仿宋_GB2312" w:hAnsi="微软雅黑" w:eastAsia="仿宋_GB2312"/>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表二、</w:t>
      </w:r>
      <w:r>
        <w:rPr>
          <w:rFonts w:hint="eastAsia" w:ascii="仿宋_GB2312" w:hAnsi="CIDFont+F6" w:eastAsia="仿宋_GB2312"/>
          <w:color w:val="000000"/>
          <w:sz w:val="32"/>
          <w:szCs w:val="32"/>
        </w:rPr>
        <w:t>部门/单位</w:t>
      </w:r>
      <w:r>
        <w:rPr>
          <w:rFonts w:hint="eastAsia" w:ascii="仿宋_GB2312" w:hAnsi="宋体" w:eastAsia="仿宋_GB2312" w:cs="宋体"/>
          <w:kern w:val="0"/>
          <w:sz w:val="32"/>
          <w:szCs w:val="32"/>
        </w:rPr>
        <w:t>收入总体情况表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单位：万元</w:t>
      </w:r>
    </w:p>
    <w:tbl>
      <w:tblPr>
        <w:tblStyle w:val="8"/>
        <w:tblW w:w="9588" w:type="dxa"/>
        <w:jc w:val="center"/>
        <w:tblLayout w:type="autofit"/>
        <w:tblCellMar>
          <w:top w:w="0" w:type="dxa"/>
          <w:left w:w="108" w:type="dxa"/>
          <w:bottom w:w="0" w:type="dxa"/>
          <w:right w:w="108" w:type="dxa"/>
        </w:tblCellMar>
      </w:tblPr>
      <w:tblGrid>
        <w:gridCol w:w="6612"/>
        <w:gridCol w:w="2976"/>
      </w:tblGrid>
      <w:tr>
        <w:tblPrEx>
          <w:tblCellMar>
            <w:top w:w="0" w:type="dxa"/>
            <w:left w:w="108" w:type="dxa"/>
            <w:bottom w:w="0" w:type="dxa"/>
            <w:right w:w="108" w:type="dxa"/>
          </w:tblCellMar>
        </w:tblPrEx>
        <w:trPr>
          <w:trHeight w:val="20" w:hRule="atLeast"/>
          <w:tblHeader/>
          <w:jc w:val="center"/>
        </w:trPr>
        <w:tc>
          <w:tcPr>
            <w:tcW w:w="6612"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2976" w:type="dxa"/>
            <w:tcBorders>
              <w:top w:val="single" w:color="auto" w:sz="4" w:space="0"/>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预算数</w:t>
            </w:r>
          </w:p>
        </w:tc>
      </w:tr>
      <w:tr>
        <w:tblPrEx>
          <w:tblCellMar>
            <w:top w:w="0" w:type="dxa"/>
            <w:left w:w="108" w:type="dxa"/>
            <w:bottom w:w="0" w:type="dxa"/>
            <w:right w:w="108" w:type="dxa"/>
          </w:tblCellMar>
        </w:tblPrEx>
        <w:trPr>
          <w:trHeight w:val="20" w:hRule="atLeast"/>
          <w:tblHeader/>
          <w:jc w:val="center"/>
        </w:trPr>
        <w:tc>
          <w:tcPr>
            <w:tcW w:w="6612"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2976" w:type="dxa"/>
            <w:tcBorders>
              <w:top w:val="single" w:color="auto" w:sz="4" w:space="0"/>
              <w:left w:val="nil"/>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一、一般公共预算财政拨款收入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b/>
                <w:color w:val="000000"/>
                <w:sz w:val="18"/>
                <w:szCs w:val="18"/>
              </w:rPr>
              <w:t>二、政府性基金预算财政拨款收入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三、国有资本经营预算收入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b/>
                <w:color w:val="000000"/>
                <w:sz w:val="18"/>
                <w:szCs w:val="18"/>
              </w:rPr>
            </w:pPr>
            <w:r>
              <w:rPr>
                <w:rFonts w:hint="eastAsia" w:ascii="宋体" w:hAnsi="宋体"/>
                <w:b/>
                <w:color w:val="000000"/>
                <w:sz w:val="18"/>
                <w:szCs w:val="18"/>
              </w:rPr>
              <w:t>四、教育专户核算</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b/>
                <w:color w:val="000000"/>
                <w:sz w:val="18"/>
                <w:szCs w:val="18"/>
              </w:rPr>
              <w:t>五、事业收入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b/>
                <w:color w:val="000000"/>
                <w:sz w:val="18"/>
                <w:szCs w:val="18"/>
              </w:rPr>
              <w:t>六、上级补助收入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b/>
                <w:color w:val="000000"/>
                <w:sz w:val="18"/>
                <w:szCs w:val="18"/>
              </w:rPr>
              <w:t>七、附属单位上缴收入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b/>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b/>
                <w:color w:val="000000"/>
                <w:sz w:val="18"/>
                <w:szCs w:val="18"/>
              </w:rPr>
              <w:t>八、经营收入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九、其他收入</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b/>
                <w:color w:val="00000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 xml:space="preserve">        本年收入合计</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十、上年结转</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十一、上年结余</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jc w:val="center"/>
        </w:trPr>
        <w:tc>
          <w:tcPr>
            <w:tcW w:w="6612" w:type="dxa"/>
            <w:tcBorders>
              <w:top w:val="nil"/>
              <w:left w:val="nil"/>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b/>
                <w:color w:val="000000"/>
                <w:sz w:val="18"/>
                <w:szCs w:val="18"/>
              </w:rPr>
              <w:t xml:space="preserve">        收入合计</w:t>
            </w:r>
          </w:p>
        </w:tc>
        <w:tc>
          <w:tcPr>
            <w:tcW w:w="2976" w:type="dxa"/>
            <w:tcBorders>
              <w:top w:val="nil"/>
              <w:left w:val="single" w:color="000000" w:sz="4" w:space="0"/>
              <w:bottom w:val="single" w:color="auto"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bCs/>
          <w:color w:val="000000"/>
          <w:sz w:val="18"/>
          <w:szCs w:val="18"/>
        </w:rPr>
      </w:pPr>
      <w:r>
        <w:rPr>
          <w:rFonts w:hint="eastAsia" w:ascii="宋体" w:hAnsi="宋体"/>
          <w:bCs/>
          <w:color w:val="000000"/>
          <w:sz w:val="18"/>
          <w:szCs w:val="18"/>
        </w:rPr>
        <w:t>备注：无内容应公开空表并说明情况。</w:t>
      </w:r>
    </w:p>
    <w:p>
      <w:pPr>
        <w:keepNext w:val="0"/>
        <w:keepLines w:val="0"/>
        <w:pageBreakBefore w:val="0"/>
        <w:tabs>
          <w:tab w:val="left" w:pos="127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r>
        <w:rPr>
          <w:rFonts w:ascii="仿宋_GB2312" w:hAnsi="微软雅黑" w:eastAsia="仿宋_GB2312"/>
          <w:sz w:val="18"/>
          <w:szCs w:val="18"/>
        </w:rPr>
        <w:tab/>
      </w:r>
    </w:p>
    <w:p>
      <w:pPr>
        <w:keepNext w:val="0"/>
        <w:keepLines w:val="0"/>
        <w:pageBreakBefore w:val="0"/>
        <w:tabs>
          <w:tab w:val="left" w:pos="127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表三、</w:t>
      </w:r>
      <w:r>
        <w:rPr>
          <w:rFonts w:hint="eastAsia" w:ascii="仿宋_GB2312" w:hAnsi="CIDFont+F6" w:eastAsia="仿宋_GB2312"/>
          <w:color w:val="000000"/>
          <w:sz w:val="32"/>
          <w:szCs w:val="32"/>
        </w:rPr>
        <w:t>部门/单位</w:t>
      </w:r>
      <w:r>
        <w:rPr>
          <w:rFonts w:hint="eastAsia" w:ascii="仿宋_GB2312" w:hAnsi="宋体" w:eastAsia="仿宋_GB2312" w:cs="宋体"/>
          <w:kern w:val="0"/>
          <w:sz w:val="32"/>
          <w:szCs w:val="32"/>
        </w:rPr>
        <w:t>支出总体情况表</w:t>
      </w:r>
    </w:p>
    <w:tbl>
      <w:tblPr>
        <w:tblStyle w:val="8"/>
        <w:tblpPr w:leftFromText="180" w:rightFromText="180" w:vertAnchor="text" w:horzAnchor="page" w:tblpX="1217" w:tblpY="298"/>
        <w:tblOverlap w:val="never"/>
        <w:tblW w:w="9712" w:type="dxa"/>
        <w:tblInd w:w="0" w:type="dxa"/>
        <w:tblLayout w:type="autofit"/>
        <w:tblCellMar>
          <w:top w:w="0" w:type="dxa"/>
          <w:left w:w="108" w:type="dxa"/>
          <w:bottom w:w="0" w:type="dxa"/>
          <w:right w:w="108" w:type="dxa"/>
        </w:tblCellMar>
      </w:tblPr>
      <w:tblGrid>
        <w:gridCol w:w="3588"/>
        <w:gridCol w:w="1531"/>
        <w:gridCol w:w="1531"/>
        <w:gridCol w:w="1531"/>
        <w:gridCol w:w="1531"/>
      </w:tblGrid>
      <w:tr>
        <w:tblPrEx>
          <w:tblCellMar>
            <w:top w:w="0" w:type="dxa"/>
            <w:left w:w="108" w:type="dxa"/>
            <w:bottom w:w="0" w:type="dxa"/>
            <w:right w:w="108" w:type="dxa"/>
          </w:tblCellMar>
        </w:tblPrEx>
        <w:trPr>
          <w:trHeight w:val="20" w:hRule="atLeast"/>
          <w:tblHeader/>
        </w:trPr>
        <w:tc>
          <w:tcPr>
            <w:tcW w:w="35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功能分类科目</w:t>
            </w:r>
          </w:p>
        </w:tc>
        <w:tc>
          <w:tcPr>
            <w:tcW w:w="153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支出合计</w:t>
            </w:r>
          </w:p>
        </w:tc>
        <w:tc>
          <w:tcPr>
            <w:tcW w:w="153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531" w:type="dxa"/>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c>
          <w:tcPr>
            <w:tcW w:w="153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上年结转</w:t>
            </w:r>
          </w:p>
        </w:tc>
      </w:tr>
      <w:tr>
        <w:tblPrEx>
          <w:tblCellMar>
            <w:top w:w="0" w:type="dxa"/>
            <w:left w:w="108" w:type="dxa"/>
            <w:bottom w:w="0" w:type="dxa"/>
            <w:right w:w="108" w:type="dxa"/>
          </w:tblCellMar>
        </w:tblPrEx>
        <w:trPr>
          <w:trHeight w:val="20" w:hRule="atLeast"/>
          <w:tblHeader/>
        </w:trPr>
        <w:tc>
          <w:tcPr>
            <w:tcW w:w="358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53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53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531"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c>
          <w:tcPr>
            <w:tcW w:w="1531" w:type="dxa"/>
            <w:tcBorders>
              <w:top w:val="single" w:color="auto" w:sz="4" w:space="0"/>
              <w:left w:val="single" w:color="auto" w:sz="4" w:space="0"/>
              <w:bottom w:val="single" w:color="auto"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4</w:t>
            </w: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ascii="宋体" w:hAnsi="宋体"/>
                <w:b/>
                <w:sz w:val="18"/>
                <w:szCs w:val="18"/>
              </w:rPr>
              <w:t>总计</w:t>
            </w: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hint="eastAsia" w:ascii="宋体" w:hAnsi="宋体"/>
                <w:b/>
                <w:sz w:val="18"/>
                <w:szCs w:val="18"/>
              </w:rPr>
              <w:t>……</w:t>
            </w: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trPr>
        <w:tc>
          <w:tcPr>
            <w:tcW w:w="358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single" w:color="000000" w:sz="4" w:space="0"/>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nil"/>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31" w:type="dxa"/>
            <w:tcBorders>
              <w:top w:val="nil"/>
              <w:left w:val="single" w:color="000000" w:sz="4" w:space="0"/>
              <w:bottom w:val="single" w:color="000000" w:sz="4" w:space="0"/>
              <w:right w:val="nil"/>
            </w:tcBorders>
            <w:shd w:val="clear" w:color="auto"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bl>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单位：万元</w:t>
      </w:r>
    </w:p>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sz w:val="18"/>
          <w:szCs w:val="18"/>
        </w:rPr>
      </w:pPr>
      <w:r>
        <w:rPr>
          <w:rFonts w:hint="eastAsia" w:ascii="宋体" w:hAnsi="宋体"/>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4056"/>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r>
        <w:rPr>
          <w:rFonts w:ascii="仿宋_GB2312" w:hAnsi="微软雅黑" w:eastAsia="仿宋_GB2312"/>
          <w:sz w:val="18"/>
          <w:szCs w:val="18"/>
        </w:rPr>
        <w:tab/>
      </w:r>
    </w:p>
    <w:p>
      <w:pPr>
        <w:keepNext w:val="0"/>
        <w:keepLines w:val="0"/>
        <w:pageBreakBefore w:val="0"/>
        <w:tabs>
          <w:tab w:val="left" w:pos="4056"/>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表四、财政拨款收支总体情况表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单位：万元</w:t>
      </w:r>
    </w:p>
    <w:tbl>
      <w:tblPr>
        <w:tblStyle w:val="8"/>
        <w:tblW w:w="9802" w:type="dxa"/>
        <w:jc w:val="center"/>
        <w:tblLayout w:type="autofit"/>
        <w:tblCellMar>
          <w:top w:w="0" w:type="dxa"/>
          <w:left w:w="108" w:type="dxa"/>
          <w:bottom w:w="0" w:type="dxa"/>
          <w:right w:w="108" w:type="dxa"/>
        </w:tblCellMar>
      </w:tblPr>
      <w:tblGrid>
        <w:gridCol w:w="3195"/>
        <w:gridCol w:w="1363"/>
        <w:gridCol w:w="3882"/>
        <w:gridCol w:w="1362"/>
      </w:tblGrid>
      <w:tr>
        <w:tblPrEx>
          <w:tblCellMar>
            <w:top w:w="0" w:type="dxa"/>
            <w:left w:w="108" w:type="dxa"/>
            <w:bottom w:w="0" w:type="dxa"/>
            <w:right w:w="108" w:type="dxa"/>
          </w:tblCellMar>
        </w:tblPrEx>
        <w:trPr>
          <w:trHeight w:val="20" w:hRule="atLeast"/>
          <w:jc w:val="center"/>
        </w:trPr>
        <w:tc>
          <w:tcPr>
            <w:tcW w:w="4558"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收      入</w:t>
            </w:r>
          </w:p>
        </w:tc>
        <w:tc>
          <w:tcPr>
            <w:tcW w:w="5244" w:type="dxa"/>
            <w:gridSpan w:val="2"/>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支      出</w:t>
            </w: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1363"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预算数</w:t>
            </w: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1362" w:type="dxa"/>
            <w:tcBorders>
              <w:top w:val="nil"/>
              <w:left w:val="nil"/>
              <w:bottom w:val="nil"/>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一、本年收入</w:t>
            </w:r>
          </w:p>
        </w:tc>
        <w:tc>
          <w:tcPr>
            <w:tcW w:w="1363" w:type="dxa"/>
            <w:tcBorders>
              <w:top w:val="nil"/>
              <w:left w:val="nil"/>
              <w:bottom w:val="single" w:color="000000" w:sz="4" w:space="0"/>
              <w:right w:val="single" w:color="000000" w:sz="4" w:space="0"/>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一、本年支出</w:t>
            </w:r>
          </w:p>
        </w:tc>
        <w:tc>
          <w:tcPr>
            <w:tcW w:w="1362" w:type="dxa"/>
            <w:tcBorders>
              <w:top w:val="single" w:color="auto" w:sz="4" w:space="0"/>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（一）一般公共预算财政拨款</w:t>
            </w:r>
          </w:p>
        </w:tc>
        <w:tc>
          <w:tcPr>
            <w:tcW w:w="1363" w:type="dxa"/>
            <w:tcBorders>
              <w:top w:val="nil"/>
              <w:left w:val="nil"/>
              <w:bottom w:val="single" w:color="000000" w:sz="4" w:space="0"/>
              <w:right w:val="single" w:color="000000" w:sz="4" w:space="0"/>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（一）一般公共服务支出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（二）政府性基金预算财政拨款</w:t>
            </w:r>
          </w:p>
        </w:tc>
        <w:tc>
          <w:tcPr>
            <w:tcW w:w="1363" w:type="dxa"/>
            <w:tcBorders>
              <w:top w:val="nil"/>
              <w:left w:val="nil"/>
              <w:bottom w:val="single" w:color="000000" w:sz="4" w:space="0"/>
              <w:right w:val="single" w:color="000000" w:sz="4" w:space="0"/>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（二）外交支出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（三）国有资本经营预算财政拨款</w:t>
            </w:r>
          </w:p>
        </w:tc>
        <w:tc>
          <w:tcPr>
            <w:tcW w:w="1363" w:type="dxa"/>
            <w:tcBorders>
              <w:top w:val="nil"/>
              <w:left w:val="nil"/>
              <w:bottom w:val="single" w:color="000000" w:sz="4" w:space="0"/>
              <w:right w:val="single" w:color="000000" w:sz="4" w:space="0"/>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（三）国防支出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（四）公共安全支出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（五）教育支出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bottom"/>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（六）科学技术支出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（七）文化体育与传媒支出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nil"/>
              <w:right w:val="nil"/>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（八）社会保障和就业支出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（九）社会保险基金支出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（十）卫生健康支出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（十一）节能环保支出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（十二）城乡社区支出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（十三）农林水支出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（十四）交通运输支出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（十五）资源勘探工业信息等支出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（十六）商业服务业等支出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（十七）金融支出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（十八）援助其他地区支出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（十九）自然资源海洋气象等支出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（二十）住房保障支出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（二十一）粮油物资储备支出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（二十二）国有资本经营预算支出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（二十三）灾害防治及应急管理支出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（二十四）预备费</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（二十五）其他支出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（二十六）债务还本支出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（二十七）债务付息支出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（二十八）债务发行费用支出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（二十九）抗疫特别国债还本支出</w:t>
            </w: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3"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2" w:type="dxa"/>
            <w:tcBorders>
              <w:top w:val="nil"/>
              <w:left w:val="single" w:color="auto" w:sz="4" w:space="0"/>
              <w:bottom w:val="single" w:color="auto" w:sz="4" w:space="0"/>
              <w:right w:val="nil"/>
            </w:tcBorders>
            <w:shd w:val="clear" w:color="auto"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3195"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收  入  总  计</w:t>
            </w:r>
          </w:p>
        </w:tc>
        <w:tc>
          <w:tcPr>
            <w:tcW w:w="1363"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38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支  出  总  计</w:t>
            </w:r>
          </w:p>
        </w:tc>
        <w:tc>
          <w:tcPr>
            <w:tcW w:w="1362" w:type="dxa"/>
            <w:tcBorders>
              <w:top w:val="nil"/>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2784"/>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2784"/>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表五、财政拨款支出表</w:t>
      </w:r>
    </w:p>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单位：万元</w:t>
      </w:r>
    </w:p>
    <w:tbl>
      <w:tblPr>
        <w:tblStyle w:val="8"/>
        <w:tblW w:w="14400" w:type="dxa"/>
        <w:jc w:val="center"/>
        <w:tblLayout w:type="fixed"/>
        <w:tblCellMar>
          <w:top w:w="0" w:type="dxa"/>
          <w:left w:w="108" w:type="dxa"/>
          <w:bottom w:w="0" w:type="dxa"/>
          <w:right w:w="108" w:type="dxa"/>
        </w:tblCellMar>
      </w:tblPr>
      <w:tblGrid>
        <w:gridCol w:w="3905"/>
        <w:gridCol w:w="1065"/>
        <w:gridCol w:w="1066"/>
        <w:gridCol w:w="1025"/>
        <w:gridCol w:w="1066"/>
        <w:gridCol w:w="1066"/>
        <w:gridCol w:w="1025"/>
        <w:gridCol w:w="1066"/>
        <w:gridCol w:w="1066"/>
        <w:gridCol w:w="1025"/>
        <w:gridCol w:w="1025"/>
      </w:tblGrid>
      <w:tr>
        <w:tblPrEx>
          <w:tblCellMar>
            <w:top w:w="0" w:type="dxa"/>
            <w:left w:w="108" w:type="dxa"/>
            <w:bottom w:w="0" w:type="dxa"/>
            <w:right w:w="108" w:type="dxa"/>
          </w:tblCellMar>
        </w:tblPrEx>
        <w:trPr>
          <w:trHeight w:val="20" w:hRule="atLeast"/>
          <w:tblHeader/>
          <w:jc w:val="center"/>
        </w:trPr>
        <w:tc>
          <w:tcPr>
            <w:tcW w:w="3905"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单位名称</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总计</w:t>
            </w:r>
          </w:p>
        </w:tc>
        <w:tc>
          <w:tcPr>
            <w:tcW w:w="3157"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一般公共预算支出</w:t>
            </w:r>
          </w:p>
        </w:tc>
        <w:tc>
          <w:tcPr>
            <w:tcW w:w="3157"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政府性基金预算支出</w:t>
            </w:r>
          </w:p>
        </w:tc>
        <w:tc>
          <w:tcPr>
            <w:tcW w:w="3116" w:type="dxa"/>
            <w:gridSpan w:val="3"/>
            <w:tcBorders>
              <w:top w:val="single" w:color="000000" w:sz="4" w:space="0"/>
              <w:left w:val="nil"/>
              <w:bottom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国有资本经营预算支出</w:t>
            </w:r>
          </w:p>
        </w:tc>
      </w:tr>
      <w:tr>
        <w:tblPrEx>
          <w:tblCellMar>
            <w:top w:w="0" w:type="dxa"/>
            <w:left w:w="108" w:type="dxa"/>
            <w:bottom w:w="0" w:type="dxa"/>
            <w:right w:w="108" w:type="dxa"/>
          </w:tblCellMar>
        </w:tblPrEx>
        <w:trPr>
          <w:trHeight w:val="20" w:hRule="atLeast"/>
          <w:tblHeader/>
          <w:jc w:val="center"/>
        </w:trPr>
        <w:tc>
          <w:tcPr>
            <w:tcW w:w="3905" w:type="dxa"/>
            <w:vMerge w:val="continue"/>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025"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r>
      <w:tr>
        <w:tblPrEx>
          <w:tblCellMar>
            <w:top w:w="0" w:type="dxa"/>
            <w:left w:w="108" w:type="dxa"/>
            <w:bottom w:w="0" w:type="dxa"/>
            <w:right w:w="108" w:type="dxa"/>
          </w:tblCellMar>
        </w:tblPrEx>
        <w:trPr>
          <w:trHeight w:val="20" w:hRule="atLeast"/>
          <w:tblHeader/>
          <w:jc w:val="center"/>
        </w:trPr>
        <w:tc>
          <w:tcPr>
            <w:tcW w:w="390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w:t>
            </w:r>
          </w:p>
        </w:tc>
        <w:tc>
          <w:tcPr>
            <w:tcW w:w="106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1</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2</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3</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4</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5</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6</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7</w:t>
            </w:r>
          </w:p>
        </w:tc>
        <w:tc>
          <w:tcPr>
            <w:tcW w:w="1066"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8</w:t>
            </w:r>
          </w:p>
        </w:tc>
        <w:tc>
          <w:tcPr>
            <w:tcW w:w="1025"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9</w:t>
            </w:r>
          </w:p>
        </w:tc>
        <w:tc>
          <w:tcPr>
            <w:tcW w:w="1025"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kern w:val="0"/>
                <w:sz w:val="18"/>
                <w:szCs w:val="18"/>
              </w:rPr>
            </w:pPr>
            <w:r>
              <w:rPr>
                <w:rFonts w:hint="eastAsia" w:ascii="宋体" w:hAnsi="宋体" w:cs="Arial"/>
                <w:kern w:val="0"/>
                <w:sz w:val="18"/>
                <w:szCs w:val="18"/>
              </w:rPr>
              <w:t>10</w:t>
            </w:r>
          </w:p>
        </w:tc>
      </w:tr>
      <w:tr>
        <w:tblPrEx>
          <w:tblCellMar>
            <w:top w:w="0" w:type="dxa"/>
            <w:left w:w="108" w:type="dxa"/>
            <w:bottom w:w="0" w:type="dxa"/>
            <w:right w:w="108" w:type="dxa"/>
          </w:tblCellMar>
        </w:tblPrEx>
        <w:trPr>
          <w:trHeight w:val="20" w:hRule="atLeast"/>
          <w:jc w:val="center"/>
        </w:trPr>
        <w:tc>
          <w:tcPr>
            <w:tcW w:w="3905" w:type="dxa"/>
            <w:tcBorders>
              <w:top w:val="single" w:color="000000"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r>
              <w:rPr>
                <w:rFonts w:ascii="宋体" w:hAnsi="宋体"/>
                <w:b/>
                <w:sz w:val="18"/>
                <w:szCs w:val="18"/>
              </w:rPr>
              <w:t>总计</w:t>
            </w:r>
          </w:p>
        </w:tc>
        <w:tc>
          <w:tcPr>
            <w:tcW w:w="1065"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000000"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000000"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r>
              <w:rPr>
                <w:rFonts w:hint="eastAsia" w:ascii="宋体" w:hAnsi="宋体"/>
                <w:sz w:val="18"/>
                <w:szCs w:val="18"/>
              </w:rPr>
              <w:t>……</w:t>
            </w: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auto"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auto"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r>
        <w:tblPrEx>
          <w:tblCellMar>
            <w:top w:w="0" w:type="dxa"/>
            <w:left w:w="108" w:type="dxa"/>
            <w:bottom w:w="0" w:type="dxa"/>
            <w:right w:w="108" w:type="dxa"/>
          </w:tblCellMar>
        </w:tblPrEx>
        <w:trPr>
          <w:trHeight w:val="20" w:hRule="atLeast"/>
          <w:jc w:val="center"/>
        </w:trPr>
        <w:tc>
          <w:tcPr>
            <w:tcW w:w="3905" w:type="dxa"/>
            <w:tcBorders>
              <w:top w:val="single" w:color="auto" w:sz="4" w:space="0"/>
              <w:left w:val="nil"/>
              <w:bottom w:val="single" w:color="000000" w:sz="4" w:space="0"/>
              <w:right w:val="single" w:color="auto"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5"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25"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066"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66"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000000" w:sz="4" w:space="0"/>
              <w:right w:val="single" w:color="auto" w:sz="4" w:space="0"/>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c>
          <w:tcPr>
            <w:tcW w:w="1025" w:type="dxa"/>
            <w:tcBorders>
              <w:top w:val="single" w:color="auto" w:sz="4" w:space="0"/>
              <w:left w:val="single" w:color="auto" w:sz="4" w:space="0"/>
              <w:bottom w:val="single" w:color="000000" w:sz="4" w:space="0"/>
              <w:right w:val="nil"/>
            </w:tcBorders>
            <w:shd w:val="clear" w:color="FFFFFF" w:fill="FFFFFF"/>
            <w:noWrap/>
            <w:tcMar>
              <w:left w:w="0" w:type="dxa"/>
              <w:right w:w="28" w:type="dxa"/>
            </w:tcMar>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cs="Arial"/>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sz w:val="18"/>
          <w:szCs w:val="18"/>
        </w:rPr>
      </w:pPr>
      <w:r>
        <w:rPr>
          <w:rFonts w:hint="eastAsia" w:ascii="宋体" w:hAnsi="宋体"/>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3936"/>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r>
        <w:rPr>
          <w:rFonts w:ascii="仿宋_GB2312" w:hAnsi="微软雅黑" w:eastAsia="仿宋_GB2312"/>
          <w:sz w:val="18"/>
          <w:szCs w:val="18"/>
        </w:rPr>
        <w:tab/>
      </w:r>
    </w:p>
    <w:p>
      <w:pPr>
        <w:keepNext w:val="0"/>
        <w:keepLines w:val="0"/>
        <w:pageBreakBefore w:val="0"/>
        <w:tabs>
          <w:tab w:val="left" w:pos="3936"/>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6838" w:h="11906" w:orient="landscape"/>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表六、一般公共预算支出情况表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宋体" w:hAnsi="宋体" w:cs="Arial"/>
          <w:color w:val="000000"/>
          <w:kern w:val="0"/>
          <w:sz w:val="18"/>
          <w:szCs w:val="18"/>
        </w:rPr>
        <w:t>单位：万元</w:t>
      </w:r>
    </w:p>
    <w:tbl>
      <w:tblPr>
        <w:tblStyle w:val="8"/>
        <w:tblW w:w="9591" w:type="dxa"/>
        <w:jc w:val="center"/>
        <w:tblLayout w:type="autofit"/>
        <w:tblCellMar>
          <w:top w:w="0" w:type="dxa"/>
          <w:left w:w="108" w:type="dxa"/>
          <w:bottom w:w="0" w:type="dxa"/>
          <w:right w:w="108" w:type="dxa"/>
        </w:tblCellMar>
      </w:tblPr>
      <w:tblGrid>
        <w:gridCol w:w="1074"/>
        <w:gridCol w:w="4253"/>
        <w:gridCol w:w="1417"/>
        <w:gridCol w:w="1418"/>
        <w:gridCol w:w="1429"/>
      </w:tblGrid>
      <w:tr>
        <w:tblPrEx>
          <w:tblCellMar>
            <w:top w:w="0" w:type="dxa"/>
            <w:left w:w="108" w:type="dxa"/>
            <w:bottom w:w="0" w:type="dxa"/>
            <w:right w:w="108" w:type="dxa"/>
          </w:tblCellMar>
        </w:tblPrEx>
        <w:trPr>
          <w:trHeight w:val="20" w:hRule="atLeast"/>
          <w:tblHeader/>
          <w:jc w:val="center"/>
        </w:trPr>
        <w:tc>
          <w:tcPr>
            <w:tcW w:w="5327"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功能分类科目</w:t>
            </w:r>
          </w:p>
        </w:tc>
        <w:tc>
          <w:tcPr>
            <w:tcW w:w="4264" w:type="dxa"/>
            <w:gridSpan w:val="3"/>
            <w:tcBorders>
              <w:top w:val="single" w:color="000000" w:sz="4" w:space="0"/>
              <w:left w:val="nil"/>
              <w:bottom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一般公共预算支出</w:t>
            </w:r>
          </w:p>
        </w:tc>
      </w:tr>
      <w:tr>
        <w:tblPrEx>
          <w:tblCellMar>
            <w:top w:w="0" w:type="dxa"/>
            <w:left w:w="108" w:type="dxa"/>
            <w:bottom w:w="0" w:type="dxa"/>
            <w:right w:w="108" w:type="dxa"/>
          </w:tblCellMar>
        </w:tblPrEx>
        <w:trPr>
          <w:trHeight w:val="20" w:hRule="atLeast"/>
          <w:tblHeader/>
          <w:jc w:val="center"/>
        </w:trPr>
        <w:tc>
          <w:tcPr>
            <w:tcW w:w="1074"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科目编码</w:t>
            </w:r>
          </w:p>
        </w:tc>
        <w:tc>
          <w:tcPr>
            <w:tcW w:w="4253"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科目名称</w:t>
            </w:r>
          </w:p>
        </w:tc>
        <w:tc>
          <w:tcPr>
            <w:tcW w:w="1417"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429"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r>
      <w:tr>
        <w:tblPrEx>
          <w:tblCellMar>
            <w:top w:w="0" w:type="dxa"/>
            <w:left w:w="108" w:type="dxa"/>
            <w:bottom w:w="0" w:type="dxa"/>
            <w:right w:w="108" w:type="dxa"/>
          </w:tblCellMar>
        </w:tblPrEx>
        <w:trPr>
          <w:trHeight w:val="20" w:hRule="atLeast"/>
          <w:tblHeader/>
          <w:jc w:val="center"/>
        </w:trPr>
        <w:tc>
          <w:tcPr>
            <w:tcW w:w="1074"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4253"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417"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429"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ascii="宋体" w:hAnsi="宋体"/>
                <w:b/>
                <w:sz w:val="18"/>
                <w:szCs w:val="18"/>
              </w:rPr>
              <w:t xml:space="preserve"> </w:t>
            </w: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ascii="宋体" w:hAnsi="宋体"/>
                <w:b/>
                <w:sz w:val="18"/>
                <w:szCs w:val="18"/>
              </w:rPr>
              <w:t>总计</w:t>
            </w: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hint="eastAsia" w:ascii="宋体" w:hAnsi="宋体"/>
                <w:sz w:val="18"/>
                <w:szCs w:val="18"/>
              </w:rPr>
              <w:t>……</w:t>
            </w: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hint="eastAsia" w:ascii="宋体" w:hAnsi="宋体"/>
                <w:sz w:val="18"/>
                <w:szCs w:val="18"/>
              </w:rPr>
              <w:t>……</w:t>
            </w: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1074"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3"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7"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29"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sz w:val="18"/>
          <w:szCs w:val="18"/>
        </w:rPr>
      </w:pPr>
      <w:r>
        <w:rPr>
          <w:rFonts w:hint="eastAsia" w:ascii="宋体" w:hAnsi="宋体"/>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247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r>
        <w:rPr>
          <w:rFonts w:ascii="仿宋_GB2312" w:hAnsi="微软雅黑" w:eastAsia="仿宋_GB2312"/>
          <w:sz w:val="18"/>
          <w:szCs w:val="18"/>
        </w:rPr>
        <w:tab/>
      </w:r>
    </w:p>
    <w:p>
      <w:pPr>
        <w:keepNext w:val="0"/>
        <w:keepLines w:val="0"/>
        <w:pageBreakBefore w:val="0"/>
        <w:tabs>
          <w:tab w:val="left" w:pos="247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表七、一般公共预算基本支出情况表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宋体" w:hAnsi="宋体" w:cs="Arial"/>
          <w:color w:val="000000"/>
          <w:kern w:val="0"/>
          <w:sz w:val="18"/>
          <w:szCs w:val="18"/>
        </w:rPr>
        <w:t>单位：万元</w:t>
      </w:r>
    </w:p>
    <w:tbl>
      <w:tblPr>
        <w:tblStyle w:val="8"/>
        <w:tblW w:w="9405" w:type="dxa"/>
        <w:jc w:val="center"/>
        <w:tblLayout w:type="autofit"/>
        <w:tblCellMar>
          <w:top w:w="0" w:type="dxa"/>
          <w:left w:w="108" w:type="dxa"/>
          <w:bottom w:w="0" w:type="dxa"/>
          <w:right w:w="108" w:type="dxa"/>
        </w:tblCellMar>
      </w:tblPr>
      <w:tblGrid>
        <w:gridCol w:w="948"/>
        <w:gridCol w:w="4252"/>
        <w:gridCol w:w="1559"/>
        <w:gridCol w:w="1418"/>
        <w:gridCol w:w="1228"/>
      </w:tblGrid>
      <w:tr>
        <w:tblPrEx>
          <w:tblCellMar>
            <w:top w:w="0" w:type="dxa"/>
            <w:left w:w="108" w:type="dxa"/>
            <w:bottom w:w="0" w:type="dxa"/>
            <w:right w:w="108" w:type="dxa"/>
          </w:tblCellMar>
        </w:tblPrEx>
        <w:trPr>
          <w:trHeight w:val="20" w:hRule="atLeast"/>
          <w:tblHeader/>
          <w:jc w:val="center"/>
        </w:trPr>
        <w:tc>
          <w:tcPr>
            <w:tcW w:w="5200"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经济分类科目</w:t>
            </w:r>
          </w:p>
        </w:tc>
        <w:tc>
          <w:tcPr>
            <w:tcW w:w="4205" w:type="dxa"/>
            <w:gridSpan w:val="3"/>
            <w:tcBorders>
              <w:top w:val="single" w:color="000000" w:sz="4" w:space="0"/>
              <w:left w:val="nil"/>
              <w:bottom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一般公共预算基本支出</w:t>
            </w:r>
          </w:p>
        </w:tc>
      </w:tr>
      <w:tr>
        <w:tblPrEx>
          <w:tblCellMar>
            <w:top w:w="0" w:type="dxa"/>
            <w:left w:w="108" w:type="dxa"/>
            <w:bottom w:w="0" w:type="dxa"/>
            <w:right w:w="108" w:type="dxa"/>
          </w:tblCellMar>
        </w:tblPrEx>
        <w:trPr>
          <w:trHeight w:val="20" w:hRule="atLeast"/>
          <w:tblHeader/>
          <w:jc w:val="center"/>
        </w:trPr>
        <w:tc>
          <w:tcPr>
            <w:tcW w:w="94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科目编码</w:t>
            </w:r>
          </w:p>
        </w:tc>
        <w:tc>
          <w:tcPr>
            <w:tcW w:w="425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科目名称</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人员经费</w:t>
            </w:r>
          </w:p>
        </w:tc>
        <w:tc>
          <w:tcPr>
            <w:tcW w:w="1228"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公用经费</w:t>
            </w:r>
          </w:p>
        </w:tc>
      </w:tr>
      <w:tr>
        <w:tblPrEx>
          <w:tblCellMar>
            <w:top w:w="0" w:type="dxa"/>
            <w:left w:w="108" w:type="dxa"/>
            <w:bottom w:w="0" w:type="dxa"/>
            <w:right w:w="108" w:type="dxa"/>
          </w:tblCellMar>
        </w:tblPrEx>
        <w:trPr>
          <w:trHeight w:val="20" w:hRule="atLeast"/>
          <w:tblHeader/>
          <w:jc w:val="center"/>
        </w:trPr>
        <w:tc>
          <w:tcPr>
            <w:tcW w:w="94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425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228"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ascii="宋体" w:hAnsi="宋体"/>
                <w:b/>
                <w:sz w:val="18"/>
                <w:szCs w:val="18"/>
              </w:rPr>
              <w:t xml:space="preserve"> </w:t>
            </w: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ascii="宋体" w:hAnsi="宋体"/>
                <w:b/>
                <w:sz w:val="18"/>
                <w:szCs w:val="18"/>
              </w:rPr>
              <w:t>总计</w:t>
            </w: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hint="eastAsia" w:ascii="宋体" w:hAnsi="宋体"/>
                <w:b/>
                <w:sz w:val="18"/>
                <w:szCs w:val="18"/>
              </w:rPr>
              <w:t>……</w:t>
            </w: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r>
              <w:rPr>
                <w:rFonts w:hint="eastAsia" w:ascii="宋体" w:hAnsi="宋体"/>
                <w:b/>
                <w:sz w:val="18"/>
                <w:szCs w:val="18"/>
              </w:rPr>
              <w:t>……</w:t>
            </w: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94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4252"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559"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418" w:type="dxa"/>
            <w:tcBorders>
              <w:top w:val="nil"/>
              <w:left w:val="nil"/>
              <w:bottom w:val="single" w:color="000000" w:sz="4" w:space="0"/>
              <w:right w:val="single" w:color="000000" w:sz="4" w:space="0"/>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c>
          <w:tcPr>
            <w:tcW w:w="1228" w:type="dxa"/>
            <w:tcBorders>
              <w:top w:val="nil"/>
              <w:left w:val="nil"/>
              <w:bottom w:val="single" w:color="000000" w:sz="4" w:space="0"/>
              <w:right w:val="nil"/>
            </w:tcBorders>
            <w:shd w:val="clear" w:color="FFFF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b/>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sz w:val="18"/>
          <w:szCs w:val="18"/>
        </w:rPr>
      </w:pPr>
      <w:r>
        <w:rPr>
          <w:rFonts w:hint="eastAsia" w:ascii="宋体" w:hAnsi="宋体"/>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1512"/>
        </w:tabs>
        <w:kinsoku/>
        <w:overflowPunct/>
        <w:topLinePunct w:val="0"/>
        <w:autoSpaceDE/>
        <w:autoSpaceDN/>
        <w:bidi w:val="0"/>
        <w:spacing w:line="560" w:lineRule="exact"/>
        <w:ind w:left="0" w:leftChars="0" w:right="0"/>
        <w:jc w:val="both"/>
        <w:textAlignment w:val="auto"/>
        <w:rPr>
          <w:rFonts w:ascii="宋体" w:hAnsi="宋体"/>
          <w:sz w:val="18"/>
          <w:szCs w:val="18"/>
        </w:rPr>
      </w:pPr>
      <w:r>
        <w:rPr>
          <w:rFonts w:ascii="宋体" w:hAnsi="宋体"/>
          <w:sz w:val="18"/>
          <w:szCs w:val="18"/>
        </w:rPr>
        <w:tab/>
      </w:r>
    </w:p>
    <w:p>
      <w:pPr>
        <w:keepNext w:val="0"/>
        <w:keepLines w:val="0"/>
        <w:pageBreakBefore w:val="0"/>
        <w:tabs>
          <w:tab w:val="left" w:pos="151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表八、一般公共预算</w:t>
      </w:r>
      <w:r>
        <w:rPr>
          <w:rFonts w:hint="eastAsia" w:ascii="仿宋_GB2312" w:hAnsi="宋体" w:eastAsia="仿宋_GB2312" w:cs="宋体"/>
          <w:bCs/>
          <w:kern w:val="0"/>
          <w:sz w:val="32"/>
          <w:szCs w:val="32"/>
        </w:rPr>
        <w:t>财政拨款</w:t>
      </w:r>
      <w:r>
        <w:rPr>
          <w:rFonts w:hint="eastAsia" w:ascii="仿宋_GB2312" w:hAnsi="宋体" w:eastAsia="仿宋_GB2312" w:cs="宋体"/>
          <w:kern w:val="0"/>
          <w:sz w:val="32"/>
          <w:szCs w:val="32"/>
        </w:rPr>
        <w:t>“三公”经费、会议费、培训费支出情况表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宋体" w:hAnsi="宋体" w:cs="Arial"/>
          <w:color w:val="000000"/>
          <w:kern w:val="0"/>
          <w:sz w:val="18"/>
          <w:szCs w:val="18"/>
        </w:rPr>
        <w:t>单位：万元</w:t>
      </w:r>
    </w:p>
    <w:tbl>
      <w:tblPr>
        <w:tblStyle w:val="8"/>
        <w:tblW w:w="14458" w:type="dxa"/>
        <w:jc w:val="center"/>
        <w:tblLayout w:type="autofit"/>
        <w:tblCellMar>
          <w:top w:w="0" w:type="dxa"/>
          <w:left w:w="108" w:type="dxa"/>
          <w:bottom w:w="0" w:type="dxa"/>
          <w:right w:w="108" w:type="dxa"/>
        </w:tblCellMar>
      </w:tblPr>
      <w:tblGrid>
        <w:gridCol w:w="5125"/>
        <w:gridCol w:w="1358"/>
        <w:gridCol w:w="1361"/>
        <w:gridCol w:w="1361"/>
        <w:gridCol w:w="1361"/>
        <w:gridCol w:w="1362"/>
        <w:gridCol w:w="1265"/>
        <w:gridCol w:w="1265"/>
      </w:tblGrid>
      <w:tr>
        <w:tblPrEx>
          <w:tblCellMar>
            <w:top w:w="0" w:type="dxa"/>
            <w:left w:w="108" w:type="dxa"/>
            <w:bottom w:w="0" w:type="dxa"/>
            <w:right w:w="108" w:type="dxa"/>
          </w:tblCellMar>
        </w:tblPrEx>
        <w:trPr>
          <w:trHeight w:val="20" w:hRule="atLeast"/>
          <w:tblHeader/>
          <w:jc w:val="center"/>
        </w:trPr>
        <w:tc>
          <w:tcPr>
            <w:tcW w:w="5125"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单位名称</w:t>
            </w:r>
          </w:p>
        </w:tc>
        <w:tc>
          <w:tcPr>
            <w:tcW w:w="6803"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“三公”经费</w:t>
            </w:r>
          </w:p>
        </w:tc>
        <w:tc>
          <w:tcPr>
            <w:tcW w:w="12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会议费</w:t>
            </w:r>
          </w:p>
        </w:tc>
        <w:tc>
          <w:tcPr>
            <w:tcW w:w="1265" w:type="dxa"/>
            <w:vMerge w:val="restart"/>
            <w:tcBorders>
              <w:top w:val="single" w:color="000000" w:sz="4" w:space="0"/>
              <w:left w:val="single" w:color="000000" w:sz="4" w:space="0"/>
              <w:right w:val="nil"/>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培训费</w:t>
            </w:r>
          </w:p>
        </w:tc>
      </w:tr>
      <w:tr>
        <w:tblPrEx>
          <w:tblCellMar>
            <w:top w:w="0" w:type="dxa"/>
            <w:left w:w="108" w:type="dxa"/>
            <w:bottom w:w="0" w:type="dxa"/>
            <w:right w:w="108" w:type="dxa"/>
          </w:tblCellMar>
        </w:tblPrEx>
        <w:trPr>
          <w:trHeight w:val="20" w:hRule="atLeast"/>
          <w:tblHeader/>
          <w:jc w:val="center"/>
        </w:trPr>
        <w:tc>
          <w:tcPr>
            <w:tcW w:w="5125" w:type="dxa"/>
            <w:vMerge w:val="continue"/>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35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361"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因公出国（境）费用</w:t>
            </w:r>
          </w:p>
        </w:tc>
        <w:tc>
          <w:tcPr>
            <w:tcW w:w="1361"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公务接待费</w:t>
            </w:r>
          </w:p>
        </w:tc>
        <w:tc>
          <w:tcPr>
            <w:tcW w:w="272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公务用车购置和运行费</w:t>
            </w:r>
          </w:p>
        </w:tc>
        <w:tc>
          <w:tcPr>
            <w:tcW w:w="1265" w:type="dxa"/>
            <w:vMerge w:val="continue"/>
            <w:tcBorders>
              <w:left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265" w:type="dxa"/>
            <w:vMerge w:val="continue"/>
            <w:tcBorders>
              <w:left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tblHeader/>
          <w:jc w:val="center"/>
        </w:trPr>
        <w:tc>
          <w:tcPr>
            <w:tcW w:w="5125" w:type="dxa"/>
            <w:vMerge w:val="continue"/>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358"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361"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361"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361"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公务用车购置费</w:t>
            </w:r>
          </w:p>
        </w:tc>
        <w:tc>
          <w:tcPr>
            <w:tcW w:w="1362"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公务用车运行费</w:t>
            </w:r>
          </w:p>
        </w:tc>
        <w:tc>
          <w:tcPr>
            <w:tcW w:w="126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c>
          <w:tcPr>
            <w:tcW w:w="1265" w:type="dxa"/>
            <w:vMerge w:val="continue"/>
            <w:tcBorders>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p>
        </w:tc>
      </w:tr>
      <w:tr>
        <w:tblPrEx>
          <w:tblCellMar>
            <w:top w:w="0" w:type="dxa"/>
            <w:left w:w="108" w:type="dxa"/>
            <w:bottom w:w="0" w:type="dxa"/>
            <w:right w:w="108" w:type="dxa"/>
          </w:tblCellMar>
        </w:tblPrEx>
        <w:trPr>
          <w:trHeight w:val="20" w:hRule="atLeast"/>
          <w:tblHeader/>
          <w:jc w:val="center"/>
        </w:trPr>
        <w:tc>
          <w:tcPr>
            <w:tcW w:w="5125"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358"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36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36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c>
          <w:tcPr>
            <w:tcW w:w="1361"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4</w:t>
            </w:r>
          </w:p>
        </w:tc>
        <w:tc>
          <w:tcPr>
            <w:tcW w:w="1362"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5</w:t>
            </w:r>
          </w:p>
        </w:tc>
        <w:tc>
          <w:tcPr>
            <w:tcW w:w="12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6</w:t>
            </w:r>
          </w:p>
        </w:tc>
        <w:tc>
          <w:tcPr>
            <w:tcW w:w="1265" w:type="dxa"/>
            <w:tcBorders>
              <w:top w:val="single" w:color="000000" w:sz="4" w:space="0"/>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7</w:t>
            </w:r>
          </w:p>
        </w:tc>
      </w:tr>
      <w:tr>
        <w:tblPrEx>
          <w:tblCellMar>
            <w:top w:w="0" w:type="dxa"/>
            <w:left w:w="108" w:type="dxa"/>
            <w:bottom w:w="0" w:type="dxa"/>
            <w:right w:w="108" w:type="dxa"/>
          </w:tblCellMar>
        </w:tblPrEx>
        <w:trPr>
          <w:trHeight w:val="20" w:hRule="atLeast"/>
          <w:jc w:val="center"/>
        </w:trPr>
        <w:tc>
          <w:tcPr>
            <w:tcW w:w="5125" w:type="dxa"/>
            <w:tcBorders>
              <w:top w:val="single" w:color="000000"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r>
              <w:rPr>
                <w:rFonts w:ascii="宋体" w:hAnsi="宋体"/>
                <w:b/>
                <w:sz w:val="18"/>
                <w:szCs w:val="18"/>
              </w:rPr>
              <w:t>总计</w:t>
            </w:r>
          </w:p>
        </w:tc>
        <w:tc>
          <w:tcPr>
            <w:tcW w:w="1358"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000000"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000000"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r>
              <w:rPr>
                <w:rFonts w:hint="eastAsia" w:ascii="宋体" w:hAnsi="宋体"/>
                <w:sz w:val="18"/>
                <w:szCs w:val="18"/>
              </w:rPr>
              <w:t>……</w:t>
            </w: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auto"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auto"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r>
        <w:tblPrEx>
          <w:tblCellMar>
            <w:top w:w="0" w:type="dxa"/>
            <w:left w:w="108" w:type="dxa"/>
            <w:bottom w:w="0" w:type="dxa"/>
            <w:right w:w="108" w:type="dxa"/>
          </w:tblCellMar>
        </w:tblPrEx>
        <w:trPr>
          <w:trHeight w:val="20" w:hRule="atLeast"/>
          <w:jc w:val="center"/>
        </w:trPr>
        <w:tc>
          <w:tcPr>
            <w:tcW w:w="5125" w:type="dxa"/>
            <w:tcBorders>
              <w:top w:val="single" w:color="auto" w:sz="4" w:space="0"/>
              <w:left w:val="nil"/>
              <w:bottom w:val="single" w:color="000000" w:sz="4" w:space="0"/>
              <w:right w:val="single" w:color="auto" w:sz="4" w:space="0"/>
            </w:tcBorders>
            <w:shd w:val="clear" w:color="CCCCFF" w:fill="FFFFFF"/>
            <w:noWrap/>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58"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362"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000000" w:sz="4" w:space="0"/>
              <w:right w:val="single" w:color="auto" w:sz="4" w:space="0"/>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c>
          <w:tcPr>
            <w:tcW w:w="1265" w:type="dxa"/>
            <w:tcBorders>
              <w:top w:val="single" w:color="auto" w:sz="4" w:space="0"/>
              <w:left w:val="single" w:color="auto" w:sz="4" w:space="0"/>
              <w:bottom w:val="single" w:color="000000" w:sz="4" w:space="0"/>
              <w:right w:val="nil"/>
            </w:tcBorders>
            <w:shd w:val="clear" w:color="CCCCFF" w:fill="FFFFFF"/>
          </w:tcPr>
          <w:p>
            <w:pPr>
              <w:keepNext w:val="0"/>
              <w:keepLines w:val="0"/>
              <w:pageBreakBefore w:val="0"/>
              <w:kinsoku/>
              <w:overflowPunct/>
              <w:topLinePunct w:val="0"/>
              <w:autoSpaceDE/>
              <w:autoSpaceDN/>
              <w:bidi w:val="0"/>
              <w:spacing w:line="560" w:lineRule="exact"/>
              <w:ind w:left="0" w:leftChars="0" w:right="0"/>
              <w:jc w:val="both"/>
              <w:textAlignment w:val="auto"/>
              <w:rPr>
                <w:rFonts w:ascii="宋体" w:hAnsi="宋体"/>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宋体" w:hAnsi="宋体"/>
          <w:sz w:val="18"/>
          <w:szCs w:val="18"/>
        </w:rPr>
      </w:pPr>
      <w:r>
        <w:rPr>
          <w:rFonts w:hint="eastAsia" w:ascii="宋体" w:hAnsi="宋体"/>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p>
    <w:p>
      <w:pPr>
        <w:keepNext w:val="0"/>
        <w:keepLines w:val="0"/>
        <w:pageBreakBefore w:val="0"/>
        <w:tabs>
          <w:tab w:val="left" w:pos="181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pPr>
      <w:r>
        <w:rPr>
          <w:rFonts w:ascii="仿宋_GB2312" w:hAnsi="微软雅黑" w:eastAsia="仿宋_GB2312"/>
          <w:sz w:val="18"/>
          <w:szCs w:val="18"/>
        </w:rPr>
        <w:tab/>
      </w:r>
    </w:p>
    <w:p>
      <w:pPr>
        <w:keepNext w:val="0"/>
        <w:keepLines w:val="0"/>
        <w:pageBreakBefore w:val="0"/>
        <w:tabs>
          <w:tab w:val="left" w:pos="1812"/>
        </w:tabs>
        <w:kinsoku/>
        <w:overflowPunct/>
        <w:topLinePunct w:val="0"/>
        <w:autoSpaceDE/>
        <w:autoSpaceDN/>
        <w:bidi w:val="0"/>
        <w:spacing w:line="560" w:lineRule="exact"/>
        <w:ind w:left="0" w:leftChars="0" w:right="0"/>
        <w:jc w:val="both"/>
        <w:textAlignment w:val="auto"/>
        <w:rPr>
          <w:rFonts w:ascii="仿宋_GB2312" w:hAnsi="微软雅黑" w:eastAsia="仿宋_GB2312"/>
          <w:sz w:val="18"/>
          <w:szCs w:val="18"/>
        </w:rPr>
        <w:sectPr>
          <w:pgSz w:w="16838" w:h="11906" w:orient="landscape"/>
          <w:pgMar w:top="1134" w:right="1134" w:bottom="1134" w:left="1134" w:header="851" w:footer="992" w:gutter="0"/>
          <w:cols w:space="425" w:num="1"/>
          <w:docGrid w:type="lines" w:linePitch="312" w:charSpace="0"/>
        </w:sectPr>
      </w:pPr>
      <w:r>
        <w:rPr>
          <w:rFonts w:ascii="仿宋_GB2312" w:hAnsi="微软雅黑" w:eastAsia="仿宋_GB2312"/>
          <w:sz w:val="18"/>
          <w:szCs w:val="18"/>
        </w:rPr>
        <w:tab/>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表九、一般公共预算财政拨款机关运行经费表</w:t>
      </w:r>
    </w:p>
    <w:p>
      <w:pPr>
        <w:keepNext w:val="0"/>
        <w:keepLines w:val="0"/>
        <w:pageBreakBefore w:val="0"/>
        <w:kinsoku/>
        <w:wordWrap w:val="0"/>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 xml:space="preserve">单位：万元 </w:t>
      </w:r>
    </w:p>
    <w:tbl>
      <w:tblPr>
        <w:tblStyle w:val="8"/>
        <w:tblW w:w="9411" w:type="dxa"/>
        <w:tblInd w:w="108" w:type="dxa"/>
        <w:tblLayout w:type="autofit"/>
        <w:tblCellMar>
          <w:top w:w="0" w:type="dxa"/>
          <w:left w:w="108" w:type="dxa"/>
          <w:bottom w:w="0" w:type="dxa"/>
          <w:right w:w="108" w:type="dxa"/>
        </w:tblCellMar>
      </w:tblPr>
      <w:tblGrid>
        <w:gridCol w:w="848"/>
        <w:gridCol w:w="3121"/>
        <w:gridCol w:w="1814"/>
        <w:gridCol w:w="1814"/>
        <w:gridCol w:w="1814"/>
      </w:tblGrid>
      <w:tr>
        <w:tblPrEx>
          <w:tblCellMar>
            <w:top w:w="0" w:type="dxa"/>
            <w:left w:w="108" w:type="dxa"/>
            <w:bottom w:w="0" w:type="dxa"/>
            <w:right w:w="108" w:type="dxa"/>
          </w:tblCellMar>
        </w:tblPrEx>
        <w:trPr>
          <w:trHeight w:val="20" w:hRule="atLeast"/>
        </w:trPr>
        <w:tc>
          <w:tcPr>
            <w:tcW w:w="84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序号</w:t>
            </w:r>
          </w:p>
        </w:tc>
        <w:tc>
          <w:tcPr>
            <w:tcW w:w="312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w:t>
            </w:r>
          </w:p>
        </w:tc>
        <w:tc>
          <w:tcPr>
            <w:tcW w:w="18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8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基本支出</w:t>
            </w:r>
          </w:p>
        </w:tc>
        <w:tc>
          <w:tcPr>
            <w:tcW w:w="1814" w:type="dxa"/>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项目支出</w:t>
            </w:r>
          </w:p>
        </w:tc>
      </w:tr>
      <w:tr>
        <w:tblPrEx>
          <w:tblCellMar>
            <w:top w:w="0" w:type="dxa"/>
            <w:left w:w="108" w:type="dxa"/>
            <w:bottom w:w="0" w:type="dxa"/>
            <w:right w:w="108" w:type="dxa"/>
          </w:tblCellMar>
        </w:tblPrEx>
        <w:trPr>
          <w:trHeight w:val="20" w:hRule="atLeast"/>
        </w:trPr>
        <w:tc>
          <w:tcPr>
            <w:tcW w:w="848"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312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814"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814"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814"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18"/>
                <w:szCs w:val="18"/>
              </w:rPr>
            </w:pP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18"/>
                <w:szCs w:val="18"/>
              </w:rPr>
            </w:pPr>
            <w:r>
              <w:rPr>
                <w:rFonts w:hint="eastAsia" w:ascii="宋体" w:hAnsi="宋体" w:cs="Arial"/>
                <w:b/>
                <w:bCs/>
                <w:color w:val="000000"/>
                <w:kern w:val="0"/>
                <w:sz w:val="18"/>
                <w:szCs w:val="18"/>
              </w:rPr>
              <w:t>总计</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[30201]办公费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2</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[30202]印刷费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[30205]水费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4</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[30206]电费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5</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[30207]邮电费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6</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[30208]取暖费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7</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[30209]物业管理费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8</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[30211]差旅费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9</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[30213]维修（护）费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10</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[30215]会议费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11</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[30218]专用材料费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12</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[30229]福利费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13</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[30231]公务用车运行维护费</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14</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[30299]其他商品和服务支出</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r>
        <w:tblPrEx>
          <w:tblCellMar>
            <w:top w:w="0" w:type="dxa"/>
            <w:left w:w="108" w:type="dxa"/>
            <w:bottom w:w="0" w:type="dxa"/>
            <w:right w:w="108" w:type="dxa"/>
          </w:tblCellMar>
        </w:tblPrEx>
        <w:trPr>
          <w:trHeight w:val="20" w:hRule="atLeast"/>
        </w:trPr>
        <w:tc>
          <w:tcPr>
            <w:tcW w:w="848" w:type="dxa"/>
            <w:tcBorders>
              <w:top w:val="single" w:color="000000"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15</w:t>
            </w:r>
          </w:p>
        </w:tc>
        <w:tc>
          <w:tcPr>
            <w:tcW w:w="3121"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r>
              <w:rPr>
                <w:rFonts w:hint="eastAsia" w:ascii="宋体" w:hAnsi="宋体" w:cs="Arial"/>
                <w:bCs/>
                <w:color w:val="000000"/>
                <w:kern w:val="0"/>
                <w:sz w:val="18"/>
                <w:szCs w:val="18"/>
              </w:rPr>
              <w:t>[31002]办公设备购置</w:t>
            </w: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single" w:color="000000" w:sz="4" w:space="0"/>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c>
          <w:tcPr>
            <w:tcW w:w="1814" w:type="dxa"/>
            <w:tcBorders>
              <w:top w:val="single" w:color="auto" w:sz="4" w:space="0"/>
              <w:left w:val="single" w:color="auto" w:sz="4" w:space="0"/>
              <w:bottom w:val="single" w:color="auto" w:sz="4" w:space="0"/>
              <w:right w:val="nil"/>
            </w:tcBorders>
            <w:shd w:val="clear" w:color="auto" w:fill="FFFFFF"/>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Cs/>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hint="eastAsia" w:ascii="仿宋_GB2312" w:hAnsi="微软雅黑" w:eastAsia="仿宋_GB2312"/>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表十、政府性基金预算支出情况表</w:t>
      </w:r>
    </w:p>
    <w:p>
      <w:pPr>
        <w:keepNext w:val="0"/>
        <w:keepLines w:val="0"/>
        <w:pageBreakBefore w:val="0"/>
        <w:kinsoku/>
        <w:wordWrap w:val="0"/>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 xml:space="preserve">单位：万元 </w:t>
      </w:r>
    </w:p>
    <w:tbl>
      <w:tblPr>
        <w:tblStyle w:val="8"/>
        <w:tblW w:w="9498" w:type="dxa"/>
        <w:tblInd w:w="108" w:type="dxa"/>
        <w:tblLayout w:type="autofit"/>
        <w:tblCellMar>
          <w:top w:w="0" w:type="dxa"/>
          <w:left w:w="108" w:type="dxa"/>
          <w:bottom w:w="0" w:type="dxa"/>
          <w:right w:w="108" w:type="dxa"/>
        </w:tblCellMar>
      </w:tblPr>
      <w:tblGrid>
        <w:gridCol w:w="7655"/>
        <w:gridCol w:w="1843"/>
      </w:tblGrid>
      <w:tr>
        <w:tblPrEx>
          <w:tblCellMar>
            <w:top w:w="0" w:type="dxa"/>
            <w:left w:w="108" w:type="dxa"/>
            <w:bottom w:w="0" w:type="dxa"/>
            <w:right w:w="108" w:type="dxa"/>
          </w:tblCellMar>
        </w:tblPrEx>
        <w:trPr>
          <w:trHeight w:val="312" w:hRule="atLeast"/>
          <w:tblHeader/>
        </w:trPr>
        <w:tc>
          <w:tcPr>
            <w:tcW w:w="7655" w:type="dxa"/>
            <w:vMerge w:val="restart"/>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项目</w:t>
            </w:r>
          </w:p>
        </w:tc>
        <w:tc>
          <w:tcPr>
            <w:tcW w:w="184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预算数</w:t>
            </w:r>
          </w:p>
        </w:tc>
      </w:tr>
      <w:tr>
        <w:tblPrEx>
          <w:tblCellMar>
            <w:top w:w="0" w:type="dxa"/>
            <w:left w:w="108" w:type="dxa"/>
            <w:bottom w:w="0" w:type="dxa"/>
            <w:right w:w="108" w:type="dxa"/>
          </w:tblCellMar>
        </w:tblPrEx>
        <w:trPr>
          <w:trHeight w:val="312" w:hRule="atLeast"/>
          <w:tblHeader/>
        </w:trPr>
        <w:tc>
          <w:tcPr>
            <w:tcW w:w="7655" w:type="dxa"/>
            <w:vMerge w:val="continue"/>
            <w:tcBorders>
              <w:top w:val="single" w:color="000000" w:sz="4" w:space="0"/>
              <w:left w:val="nil"/>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p>
        </w:tc>
        <w:tc>
          <w:tcPr>
            <w:tcW w:w="1843" w:type="dxa"/>
            <w:vMerge w:val="continue"/>
            <w:tcBorders>
              <w:top w:val="single" w:color="000000" w:sz="4" w:space="0"/>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p>
        </w:tc>
      </w:tr>
      <w:tr>
        <w:tblPrEx>
          <w:tblCellMar>
            <w:top w:w="0" w:type="dxa"/>
            <w:left w:w="108" w:type="dxa"/>
            <w:bottom w:w="0" w:type="dxa"/>
            <w:right w:w="108" w:type="dxa"/>
          </w:tblCellMar>
        </w:tblPrEx>
        <w:trPr>
          <w:trHeight w:val="312" w:hRule="atLeast"/>
          <w:tblHeader/>
        </w:trPr>
        <w:tc>
          <w:tcPr>
            <w:tcW w:w="7655" w:type="dxa"/>
            <w:tcBorders>
              <w:top w:val="single" w:color="000000" w:sz="4" w:space="0"/>
              <w:left w:val="nil"/>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color w:val="000000"/>
                <w:kern w:val="0"/>
                <w:sz w:val="18"/>
                <w:szCs w:val="18"/>
              </w:rPr>
              <w:t>**</w:t>
            </w:r>
          </w:p>
        </w:tc>
        <w:tc>
          <w:tcPr>
            <w:tcW w:w="1843" w:type="dxa"/>
            <w:tcBorders>
              <w:top w:val="single" w:color="000000" w:sz="4" w:space="0"/>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1</w:t>
            </w: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ascii="宋体" w:hAnsi="宋体"/>
                <w:b/>
                <w:sz w:val="18"/>
                <w:szCs w:val="18"/>
              </w:rPr>
              <w:t>总计</w:t>
            </w: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w:t>
            </w: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hint="eastAsia" w:ascii="仿宋_GB2312" w:hAnsi="微软雅黑" w:eastAsia="仿宋_GB2312"/>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表十一、部门管理转移支付表</w:t>
      </w:r>
    </w:p>
    <w:p>
      <w:pPr>
        <w:keepNext w:val="0"/>
        <w:keepLines w:val="0"/>
        <w:pageBreakBefore w:val="0"/>
        <w:kinsoku/>
        <w:wordWrap w:val="0"/>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 xml:space="preserve">单位：万元 </w:t>
      </w:r>
    </w:p>
    <w:tbl>
      <w:tblPr>
        <w:tblStyle w:val="8"/>
        <w:tblW w:w="9526" w:type="dxa"/>
        <w:tblInd w:w="108" w:type="dxa"/>
        <w:tblLayout w:type="autofit"/>
        <w:tblCellMar>
          <w:top w:w="0" w:type="dxa"/>
          <w:left w:w="108" w:type="dxa"/>
          <w:bottom w:w="0" w:type="dxa"/>
          <w:right w:w="108" w:type="dxa"/>
        </w:tblCellMar>
      </w:tblPr>
      <w:tblGrid>
        <w:gridCol w:w="4082"/>
        <w:gridCol w:w="1361"/>
        <w:gridCol w:w="1361"/>
        <w:gridCol w:w="1361"/>
        <w:gridCol w:w="1361"/>
      </w:tblGrid>
      <w:tr>
        <w:tblPrEx>
          <w:tblCellMar>
            <w:top w:w="0" w:type="dxa"/>
            <w:left w:w="108" w:type="dxa"/>
            <w:bottom w:w="0" w:type="dxa"/>
            <w:right w:w="108" w:type="dxa"/>
          </w:tblCellMar>
        </w:tblPrEx>
        <w:trPr>
          <w:trHeight w:val="20" w:hRule="atLeast"/>
          <w:tblHeader/>
        </w:trPr>
        <w:tc>
          <w:tcPr>
            <w:tcW w:w="40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单位名称</w:t>
            </w:r>
          </w:p>
        </w:tc>
        <w:tc>
          <w:tcPr>
            <w:tcW w:w="136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合计</w:t>
            </w:r>
          </w:p>
        </w:tc>
        <w:tc>
          <w:tcPr>
            <w:tcW w:w="136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一般公共预算项目支出</w:t>
            </w:r>
          </w:p>
        </w:tc>
        <w:tc>
          <w:tcPr>
            <w:tcW w:w="1361"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政府性基金预算项目支出</w:t>
            </w:r>
          </w:p>
        </w:tc>
        <w:tc>
          <w:tcPr>
            <w:tcW w:w="1361" w:type="dxa"/>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国有资本经营预算项目支出</w:t>
            </w:r>
          </w:p>
        </w:tc>
      </w:tr>
      <w:tr>
        <w:tblPrEx>
          <w:tblCellMar>
            <w:top w:w="0" w:type="dxa"/>
            <w:left w:w="108" w:type="dxa"/>
            <w:bottom w:w="0" w:type="dxa"/>
            <w:right w:w="108" w:type="dxa"/>
          </w:tblCellMar>
        </w:tblPrEx>
        <w:trPr>
          <w:trHeight w:val="20" w:hRule="atLeast"/>
          <w:tblHeader/>
        </w:trPr>
        <w:tc>
          <w:tcPr>
            <w:tcW w:w="4082"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w:t>
            </w:r>
          </w:p>
        </w:tc>
        <w:tc>
          <w:tcPr>
            <w:tcW w:w="136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1</w:t>
            </w:r>
          </w:p>
        </w:tc>
        <w:tc>
          <w:tcPr>
            <w:tcW w:w="136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2</w:t>
            </w:r>
          </w:p>
        </w:tc>
        <w:tc>
          <w:tcPr>
            <w:tcW w:w="1361" w:type="dxa"/>
            <w:tcBorders>
              <w:top w:val="nil"/>
              <w:left w:val="nil"/>
              <w:bottom w:val="single" w:color="000000" w:sz="4" w:space="0"/>
              <w:right w:val="single" w:color="000000" w:sz="4" w:space="0"/>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3</w:t>
            </w:r>
          </w:p>
        </w:tc>
        <w:tc>
          <w:tcPr>
            <w:tcW w:w="1361" w:type="dxa"/>
            <w:tcBorders>
              <w:top w:val="nil"/>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color w:val="000000"/>
                <w:kern w:val="0"/>
                <w:sz w:val="18"/>
                <w:szCs w:val="18"/>
              </w:rPr>
            </w:pPr>
            <w:r>
              <w:rPr>
                <w:rFonts w:hint="eastAsia" w:ascii="宋体" w:hAnsi="宋体" w:cs="Arial"/>
                <w:b/>
                <w:color w:val="000000"/>
                <w:kern w:val="0"/>
                <w:sz w:val="18"/>
                <w:szCs w:val="18"/>
              </w:rPr>
              <w:t>4</w:t>
            </w:r>
          </w:p>
        </w:tc>
      </w:tr>
      <w:tr>
        <w:tblPrEx>
          <w:tblCellMar>
            <w:top w:w="0" w:type="dxa"/>
            <w:left w:w="108" w:type="dxa"/>
            <w:bottom w:w="0" w:type="dxa"/>
            <w:right w:w="108" w:type="dxa"/>
          </w:tblCellMar>
        </w:tblPrEx>
        <w:trPr>
          <w:trHeight w:val="20" w:hRule="atLeast"/>
        </w:trPr>
        <w:tc>
          <w:tcPr>
            <w:tcW w:w="4082"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ascii="宋体" w:hAnsi="宋体"/>
                <w:b/>
                <w:sz w:val="18"/>
                <w:szCs w:val="18"/>
              </w:rPr>
              <w:t>总计</w:t>
            </w: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w:t>
            </w: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single" w:color="000000"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nil"/>
              <w:left w:val="nil"/>
              <w:bottom w:val="single" w:color="000000"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000000"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000000"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000000"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auto"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4082" w:type="dxa"/>
            <w:tcBorders>
              <w:top w:val="single" w:color="auto" w:sz="4" w:space="0"/>
              <w:left w:val="nil"/>
              <w:bottom w:val="single" w:color="000000"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000000" w:sz="4" w:space="0"/>
              <w:right w:val="single" w:color="auto" w:sz="4" w:space="0"/>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361" w:type="dxa"/>
            <w:tcBorders>
              <w:top w:val="single" w:color="auto" w:sz="4" w:space="0"/>
              <w:left w:val="single" w:color="auto" w:sz="4" w:space="0"/>
              <w:bottom w:val="single" w:color="000000" w:sz="4" w:space="0"/>
              <w:right w:val="nil"/>
            </w:tcBorders>
            <w:shd w:val="clear" w:color="FFFFFF"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仿宋_GB2312" w:hAnsi="微软雅黑" w:eastAsia="仿宋_GB2312"/>
          <w:sz w:val="18"/>
          <w:szCs w:val="18"/>
        </w:rPr>
      </w:pPr>
      <w:r>
        <w:rPr>
          <w:rFonts w:hint="eastAsia" w:ascii="仿宋_GB2312" w:hAnsi="微软雅黑" w:eastAsia="仿宋_GB2312"/>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hAnsi="宋体" w:eastAsia="仿宋_GB2312" w:cs="宋体"/>
          <w:kern w:val="0"/>
          <w:sz w:val="32"/>
          <w:szCs w:val="32"/>
        </w:rPr>
      </w:pPr>
      <w:r>
        <w:rPr>
          <w:rFonts w:ascii="仿宋_GB2312" w:hAnsi="微软雅黑" w:eastAsia="仿宋_GB2312"/>
          <w:sz w:val="18"/>
          <w:szCs w:val="18"/>
        </w:rPr>
        <w:br w:type="page"/>
      </w:r>
      <w:r>
        <w:rPr>
          <w:rFonts w:hint="eastAsia" w:ascii="仿宋_GB2312" w:hAnsi="宋体" w:eastAsia="仿宋_GB2312" w:cs="宋体"/>
          <w:kern w:val="0"/>
          <w:sz w:val="32"/>
          <w:szCs w:val="32"/>
        </w:rPr>
        <w:t>表十二、国有资本经营预算支出情况表</w:t>
      </w:r>
    </w:p>
    <w:p>
      <w:pPr>
        <w:keepNext w:val="0"/>
        <w:keepLines w:val="0"/>
        <w:pageBreakBefore w:val="0"/>
        <w:kinsoku/>
        <w:wordWrap w:val="0"/>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 xml:space="preserve">单位：万元 </w:t>
      </w:r>
    </w:p>
    <w:tbl>
      <w:tblPr>
        <w:tblStyle w:val="8"/>
        <w:tblW w:w="9498" w:type="dxa"/>
        <w:tblInd w:w="108" w:type="dxa"/>
        <w:tblLayout w:type="autofit"/>
        <w:tblCellMar>
          <w:top w:w="0" w:type="dxa"/>
          <w:left w:w="108" w:type="dxa"/>
          <w:bottom w:w="0" w:type="dxa"/>
          <w:right w:w="108" w:type="dxa"/>
        </w:tblCellMar>
      </w:tblPr>
      <w:tblGrid>
        <w:gridCol w:w="7655"/>
        <w:gridCol w:w="1843"/>
      </w:tblGrid>
      <w:tr>
        <w:tblPrEx>
          <w:tblCellMar>
            <w:top w:w="0" w:type="dxa"/>
            <w:left w:w="108" w:type="dxa"/>
            <w:bottom w:w="0" w:type="dxa"/>
            <w:right w:w="108" w:type="dxa"/>
          </w:tblCellMar>
        </w:tblPrEx>
        <w:trPr>
          <w:trHeight w:val="312" w:hRule="atLeast"/>
          <w:tblHeader/>
        </w:trPr>
        <w:tc>
          <w:tcPr>
            <w:tcW w:w="7655" w:type="dxa"/>
            <w:vMerge w:val="restart"/>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项目</w:t>
            </w:r>
          </w:p>
        </w:tc>
        <w:tc>
          <w:tcPr>
            <w:tcW w:w="184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预算数</w:t>
            </w:r>
          </w:p>
        </w:tc>
      </w:tr>
      <w:tr>
        <w:tblPrEx>
          <w:tblCellMar>
            <w:top w:w="0" w:type="dxa"/>
            <w:left w:w="108" w:type="dxa"/>
            <w:bottom w:w="0" w:type="dxa"/>
            <w:right w:w="108" w:type="dxa"/>
          </w:tblCellMar>
        </w:tblPrEx>
        <w:trPr>
          <w:trHeight w:val="312" w:hRule="atLeast"/>
          <w:tblHeader/>
        </w:trPr>
        <w:tc>
          <w:tcPr>
            <w:tcW w:w="7655" w:type="dxa"/>
            <w:vMerge w:val="continue"/>
            <w:tcBorders>
              <w:top w:val="single" w:color="000000" w:sz="4" w:space="0"/>
              <w:left w:val="nil"/>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p>
        </w:tc>
        <w:tc>
          <w:tcPr>
            <w:tcW w:w="1843" w:type="dxa"/>
            <w:vMerge w:val="continue"/>
            <w:tcBorders>
              <w:top w:val="single" w:color="000000" w:sz="4" w:space="0"/>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p>
        </w:tc>
      </w:tr>
      <w:tr>
        <w:tblPrEx>
          <w:tblCellMar>
            <w:top w:w="0" w:type="dxa"/>
            <w:left w:w="108" w:type="dxa"/>
            <w:bottom w:w="0" w:type="dxa"/>
            <w:right w:w="108" w:type="dxa"/>
          </w:tblCellMar>
        </w:tblPrEx>
        <w:trPr>
          <w:trHeight w:val="312" w:hRule="atLeast"/>
          <w:tblHeader/>
        </w:trPr>
        <w:tc>
          <w:tcPr>
            <w:tcW w:w="7655" w:type="dxa"/>
            <w:tcBorders>
              <w:top w:val="single" w:color="000000" w:sz="4" w:space="0"/>
              <w:left w:val="nil"/>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color w:val="000000"/>
                <w:kern w:val="0"/>
                <w:sz w:val="18"/>
                <w:szCs w:val="18"/>
              </w:rPr>
              <w:t>**</w:t>
            </w:r>
          </w:p>
        </w:tc>
        <w:tc>
          <w:tcPr>
            <w:tcW w:w="1843" w:type="dxa"/>
            <w:tcBorders>
              <w:top w:val="single" w:color="000000" w:sz="4" w:space="0"/>
              <w:left w:val="single" w:color="000000" w:sz="4" w:space="0"/>
              <w:bottom w:val="single" w:color="000000" w:sz="4" w:space="0"/>
              <w:right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b/>
                <w:bCs/>
                <w:color w:val="000000"/>
                <w:kern w:val="0"/>
                <w:sz w:val="20"/>
                <w:szCs w:val="20"/>
              </w:rPr>
            </w:pPr>
            <w:r>
              <w:rPr>
                <w:rFonts w:hint="eastAsia" w:ascii="宋体" w:hAnsi="宋体" w:cs="Arial"/>
                <w:b/>
                <w:bCs/>
                <w:color w:val="000000"/>
                <w:kern w:val="0"/>
                <w:sz w:val="20"/>
                <w:szCs w:val="20"/>
              </w:rPr>
              <w:t>1</w:t>
            </w: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ascii="宋体" w:hAnsi="宋体"/>
                <w:b/>
                <w:sz w:val="18"/>
                <w:szCs w:val="18"/>
              </w:rPr>
              <w:t>总计</w:t>
            </w: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r>
              <w:rPr>
                <w:rFonts w:hint="eastAsia" w:ascii="宋体" w:hAnsi="宋体" w:cs="Arial"/>
                <w:color w:val="000000"/>
                <w:kern w:val="0"/>
                <w:sz w:val="18"/>
                <w:szCs w:val="18"/>
              </w:rPr>
              <w:t>……</w:t>
            </w: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r>
        <w:tblPrEx>
          <w:tblCellMar>
            <w:top w:w="0" w:type="dxa"/>
            <w:left w:w="108" w:type="dxa"/>
            <w:bottom w:w="0" w:type="dxa"/>
            <w:right w:w="108" w:type="dxa"/>
          </w:tblCellMar>
        </w:tblPrEx>
        <w:trPr>
          <w:trHeight w:val="20" w:hRule="atLeast"/>
        </w:trPr>
        <w:tc>
          <w:tcPr>
            <w:tcW w:w="7655" w:type="dxa"/>
            <w:tcBorders>
              <w:top w:val="single" w:color="000000" w:sz="4" w:space="0"/>
              <w:left w:val="nil"/>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c>
          <w:tcPr>
            <w:tcW w:w="1843"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宋体" w:hAnsi="宋体" w:cs="Arial"/>
                <w:color w:val="000000"/>
                <w:kern w:val="0"/>
                <w:sz w:val="18"/>
                <w:szCs w:val="18"/>
              </w:rPr>
            </w:pPr>
          </w:p>
        </w:tc>
      </w:tr>
    </w:tbl>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ascii="仿宋_GB2312" w:hAnsi="微软雅黑" w:eastAsia="仿宋_GB2312"/>
          <w:sz w:val="18"/>
          <w:szCs w:val="18"/>
        </w:rPr>
        <w:sectPr>
          <w:pgSz w:w="11906" w:h="16838"/>
          <w:pgMar w:top="1134" w:right="1134" w:bottom="1134" w:left="1134" w:header="851" w:footer="992" w:gutter="0"/>
          <w:cols w:space="425" w:num="1"/>
          <w:docGrid w:type="lines" w:linePitch="312" w:charSpace="0"/>
        </w:sectPr>
      </w:pPr>
      <w:r>
        <w:rPr>
          <w:rFonts w:hint="eastAsia" w:ascii="仿宋_GB2312" w:hAnsi="微软雅黑" w:eastAsia="仿宋_GB2312"/>
          <w:sz w:val="18"/>
          <w:szCs w:val="18"/>
        </w:rPr>
        <w:t>备注：无内容应公开空表并说明情况。</w:t>
      </w:r>
    </w:p>
    <w:p>
      <w:pPr>
        <w:keepNext w:val="0"/>
        <w:keepLines w:val="0"/>
        <w:pageBreakBefore w:val="0"/>
        <w:kinsoku/>
        <w:overflowPunct/>
        <w:topLinePunct w:val="0"/>
        <w:autoSpaceDE/>
        <w:autoSpaceDN/>
        <w:bidi w:val="0"/>
        <w:spacing w:line="560" w:lineRule="exact"/>
        <w:ind w:left="0" w:leftChars="0" w:right="0"/>
        <w:jc w:val="both"/>
        <w:textAlignment w:val="auto"/>
        <w:rPr>
          <w:rFonts w:ascii="黑体" w:eastAsia="黑体"/>
          <w:sz w:val="30"/>
          <w:szCs w:val="30"/>
        </w:rPr>
      </w:pPr>
      <w:r>
        <w:rPr>
          <w:rFonts w:hint="eastAsia" w:ascii="黑体" w:eastAsia="黑体"/>
          <w:sz w:val="30"/>
          <w:szCs w:val="30"/>
        </w:rPr>
        <w:t>附件2</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eastAsia="仿宋_GB2312"/>
          <w:b/>
          <w:sz w:val="28"/>
          <w:szCs w:val="28"/>
        </w:rPr>
      </w:pPr>
      <w:r>
        <w:rPr>
          <w:rFonts w:hint="eastAsia" w:ascii="仿宋_GB2312" w:eastAsia="仿宋_GB2312"/>
          <w:b/>
          <w:sz w:val="28"/>
          <w:szCs w:val="28"/>
        </w:rPr>
        <w:t>部门/单位整体支出绩效目标表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eastAsia="仿宋_GB2312"/>
          <w:b/>
          <w:sz w:val="24"/>
          <w:szCs w:val="24"/>
        </w:rPr>
      </w:pPr>
      <w:r>
        <w:rPr>
          <w:rFonts w:hint="eastAsia" w:ascii="仿宋_GB2312" w:eastAsia="仿宋_GB2312"/>
          <w:b/>
          <w:sz w:val="24"/>
          <w:szCs w:val="24"/>
        </w:rPr>
        <w:t>（2024年度）</w:t>
      </w:r>
    </w:p>
    <w:tbl>
      <w:tblPr>
        <w:tblStyle w:val="8"/>
        <w:tblW w:w="8740" w:type="dxa"/>
        <w:jc w:val="center"/>
        <w:tblLayout w:type="fixed"/>
        <w:tblCellMar>
          <w:top w:w="0" w:type="dxa"/>
          <w:left w:w="108" w:type="dxa"/>
          <w:bottom w:w="0" w:type="dxa"/>
          <w:right w:w="108" w:type="dxa"/>
        </w:tblCellMar>
      </w:tblPr>
      <w:tblGrid>
        <w:gridCol w:w="639"/>
        <w:gridCol w:w="1625"/>
        <w:gridCol w:w="846"/>
        <w:gridCol w:w="817"/>
        <w:gridCol w:w="1537"/>
        <w:gridCol w:w="1738"/>
        <w:gridCol w:w="1538"/>
      </w:tblGrid>
      <w:tr>
        <w:tblPrEx>
          <w:tblCellMar>
            <w:top w:w="0" w:type="dxa"/>
            <w:left w:w="108" w:type="dxa"/>
            <w:bottom w:w="0" w:type="dxa"/>
            <w:right w:w="108" w:type="dxa"/>
          </w:tblCellMar>
        </w:tblPrEx>
        <w:trPr>
          <w:cantSplit/>
          <w:trHeight w:val="20" w:hRule="atLeast"/>
          <w:jc w:val="center"/>
        </w:trPr>
        <w:tc>
          <w:tcPr>
            <w:tcW w:w="3110" w:type="dxa"/>
            <w:gridSpan w:val="3"/>
            <w:tcBorders>
              <w:top w:val="single" w:color="000000" w:sz="6" w:space="0"/>
              <w:left w:val="nil"/>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部门（单位）名称</w:t>
            </w:r>
          </w:p>
        </w:tc>
        <w:tc>
          <w:tcPr>
            <w:tcW w:w="5630" w:type="dxa"/>
            <w:gridSpan w:val="4"/>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1866" w:hRule="atLeast"/>
          <w:jc w:val="center"/>
        </w:trPr>
        <w:tc>
          <w:tcPr>
            <w:tcW w:w="639" w:type="dxa"/>
            <w:tcBorders>
              <w:top w:val="single" w:color="000000" w:sz="6" w:space="0"/>
              <w:left w:val="nil"/>
              <w:bottom w:val="single" w:color="000000" w:sz="6" w:space="0"/>
              <w:right w:val="single" w:color="000000" w:sz="6" w:space="0"/>
              <w:tl2br w:val="nil"/>
              <w:tr2bl w:val="nil"/>
            </w:tcBorders>
            <w:textDirection w:val="tbLrV"/>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总 体 目 标</w:t>
            </w:r>
          </w:p>
        </w:tc>
        <w:tc>
          <w:tcPr>
            <w:tcW w:w="8101" w:type="dxa"/>
            <w:gridSpan w:val="6"/>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目标1：</w:t>
            </w:r>
          </w:p>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目标2：</w:t>
            </w:r>
          </w:p>
          <w:p>
            <w:pPr>
              <w:keepNext w:val="0"/>
              <w:keepLines w:val="0"/>
              <w:pageBreakBefore w:val="0"/>
              <w:widowControl/>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cs="宋体" w:asciiTheme="minorEastAsia" w:hAnsiTheme="minorEastAsia" w:eastAsiaTheme="minorEastAsia"/>
                <w:kern w:val="0"/>
                <w:sz w:val="18"/>
                <w:szCs w:val="18"/>
              </w:rPr>
              <w:t>目标3：</w:t>
            </w:r>
          </w:p>
        </w:tc>
      </w:tr>
      <w:tr>
        <w:tblPrEx>
          <w:tblCellMar>
            <w:top w:w="0" w:type="dxa"/>
            <w:left w:w="108" w:type="dxa"/>
            <w:bottom w:w="0" w:type="dxa"/>
            <w:right w:w="108" w:type="dxa"/>
          </w:tblCellMar>
        </w:tblPrEx>
        <w:trPr>
          <w:cantSplit/>
          <w:trHeight w:val="20" w:hRule="atLeast"/>
          <w:jc w:val="center"/>
        </w:trPr>
        <w:tc>
          <w:tcPr>
            <w:tcW w:w="639" w:type="dxa"/>
            <w:vMerge w:val="restart"/>
            <w:tcBorders>
              <w:top w:val="single" w:color="000000" w:sz="6" w:space="0"/>
              <w:left w:val="nil"/>
              <w:right w:val="single" w:color="000000" w:sz="6" w:space="0"/>
              <w:tl2br w:val="nil"/>
              <w:tr2bl w:val="nil"/>
            </w:tcBorders>
            <w:textDirection w:val="tbLrV"/>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预 算 情 况（万元）</w:t>
            </w:r>
          </w:p>
        </w:tc>
        <w:tc>
          <w:tcPr>
            <w:tcW w:w="3288" w:type="dxa"/>
            <w:gridSpan w:val="3"/>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按支出类型分</w:t>
            </w:r>
          </w:p>
        </w:tc>
        <w:tc>
          <w:tcPr>
            <w:tcW w:w="1537"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预算金额</w:t>
            </w:r>
          </w:p>
        </w:tc>
        <w:tc>
          <w:tcPr>
            <w:tcW w:w="1738"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按来源类型分</w:t>
            </w:r>
          </w:p>
        </w:tc>
        <w:tc>
          <w:tcPr>
            <w:tcW w:w="1538" w:type="dxa"/>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预算金额</w:t>
            </w: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625" w:type="dxa"/>
            <w:vMerge w:val="restart"/>
            <w:tcBorders>
              <w:top w:val="single" w:color="000000" w:sz="6" w:space="0"/>
              <w:left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基本支出</w:t>
            </w:r>
          </w:p>
        </w:tc>
        <w:tc>
          <w:tcPr>
            <w:tcW w:w="1663" w:type="dxa"/>
            <w:gridSpan w:val="2"/>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人员经费</w:t>
            </w:r>
          </w:p>
        </w:tc>
        <w:tc>
          <w:tcPr>
            <w:tcW w:w="1537"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73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当年财政拨款</w:t>
            </w:r>
          </w:p>
        </w:tc>
        <w:tc>
          <w:tcPr>
            <w:tcW w:w="1538" w:type="dxa"/>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625" w:type="dxa"/>
            <w:vMerge w:val="continue"/>
            <w:tcBorders>
              <w:left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公用经费</w:t>
            </w:r>
          </w:p>
        </w:tc>
        <w:tc>
          <w:tcPr>
            <w:tcW w:w="1537"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73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上年结转资金</w:t>
            </w:r>
          </w:p>
        </w:tc>
        <w:tc>
          <w:tcPr>
            <w:tcW w:w="1538" w:type="dxa"/>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625" w:type="dxa"/>
            <w:vMerge w:val="continue"/>
            <w:tcBorders>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合计</w:t>
            </w:r>
          </w:p>
        </w:tc>
        <w:tc>
          <w:tcPr>
            <w:tcW w:w="1537"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738"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其他资金</w:t>
            </w:r>
          </w:p>
        </w:tc>
        <w:tc>
          <w:tcPr>
            <w:tcW w:w="1538" w:type="dxa"/>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3288" w:type="dxa"/>
            <w:gridSpan w:val="3"/>
            <w:vMerge w:val="restart"/>
            <w:tcBorders>
              <w:top w:val="single" w:color="000000" w:sz="6" w:space="0"/>
              <w:left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项目支出</w:t>
            </w:r>
          </w:p>
        </w:tc>
        <w:tc>
          <w:tcPr>
            <w:tcW w:w="1537" w:type="dxa"/>
            <w:vMerge w:val="restart"/>
            <w:tcBorders>
              <w:top w:val="single" w:color="000000" w:sz="6" w:space="0"/>
              <w:left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738"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收入预算合计</w:t>
            </w:r>
          </w:p>
        </w:tc>
        <w:tc>
          <w:tcPr>
            <w:tcW w:w="1538" w:type="dxa"/>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3288" w:type="dxa"/>
            <w:gridSpan w:val="3"/>
            <w:vMerge w:val="continue"/>
            <w:tcBorders>
              <w:left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537" w:type="dxa"/>
            <w:vMerge w:val="continue"/>
            <w:tcBorders>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c>
          <w:tcPr>
            <w:tcW w:w="1738"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支出预算合计</w:t>
            </w:r>
          </w:p>
        </w:tc>
        <w:tc>
          <w:tcPr>
            <w:tcW w:w="1538" w:type="dxa"/>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restart"/>
            <w:tcBorders>
              <w:top w:val="single" w:color="000000" w:sz="6" w:space="0"/>
              <w:left w:val="nil"/>
              <w:right w:val="single" w:color="000000" w:sz="6" w:space="0"/>
            </w:tcBorders>
            <w:textDirection w:val="tbLrV"/>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cs="宋体" w:asciiTheme="minorEastAsia" w:hAnsiTheme="minorEastAsia" w:eastAsiaTheme="minorEastAsia"/>
                <w:bCs/>
                <w:kern w:val="0"/>
                <w:sz w:val="18"/>
                <w:szCs w:val="18"/>
              </w:rPr>
              <w:t>绩 效 指 标</w:t>
            </w:r>
          </w:p>
        </w:tc>
        <w:tc>
          <w:tcPr>
            <w:tcW w:w="162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一级指标</w:t>
            </w: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二级指标</w:t>
            </w: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三级指标</w:t>
            </w: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指标值</w:t>
            </w: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部门管理</w:t>
            </w: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履职效果</w:t>
            </w: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restart"/>
            <w:tcBorders>
              <w:top w:val="single" w:color="000000" w:sz="6" w:space="0"/>
              <w:left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能力建设</w:t>
            </w: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left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r>
        <w:tblPrEx>
          <w:tblCellMar>
            <w:top w:w="0" w:type="dxa"/>
            <w:left w:w="108" w:type="dxa"/>
            <w:bottom w:w="0" w:type="dxa"/>
            <w:right w:w="108" w:type="dxa"/>
          </w:tblCellMar>
        </w:tblPrEx>
        <w:trPr>
          <w:cantSplit/>
          <w:trHeight w:val="20" w:hRule="atLeast"/>
          <w:jc w:val="center"/>
        </w:trPr>
        <w:tc>
          <w:tcPr>
            <w:tcW w:w="639" w:type="dxa"/>
            <w:vMerge w:val="continue"/>
            <w:tcBorders>
              <w:left w:val="nil"/>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25" w:type="dxa"/>
            <w:vMerge w:val="continue"/>
            <w:tcBorders>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663" w:type="dxa"/>
            <w:gridSpan w:val="2"/>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1537"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c>
          <w:tcPr>
            <w:tcW w:w="3276"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asciiTheme="minorEastAsia" w:hAnsiTheme="minorEastAsia" w:eastAsiaTheme="minorEastAsia"/>
                <w:bCs/>
                <w:color w:val="000000"/>
                <w:sz w:val="18"/>
                <w:szCs w:val="18"/>
              </w:rPr>
            </w:pPr>
          </w:p>
        </w:tc>
      </w:tr>
    </w:tbl>
    <w:p>
      <w:pPr>
        <w:keepNext w:val="0"/>
        <w:keepLines w:val="0"/>
        <w:pageBreakBefore w:val="0"/>
        <w:kinsoku/>
        <w:overflowPunct/>
        <w:topLinePunct w:val="0"/>
        <w:autoSpaceDE/>
        <w:autoSpaceDN/>
        <w:bidi w:val="0"/>
        <w:spacing w:line="560" w:lineRule="exact"/>
        <w:ind w:left="0" w:leftChars="0" w:right="0"/>
        <w:jc w:val="both"/>
        <w:textAlignment w:val="auto"/>
      </w:pP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eastAsia="仿宋_GB2312"/>
          <w:b/>
          <w:sz w:val="28"/>
          <w:szCs w:val="28"/>
        </w:rPr>
      </w:pPr>
      <w:r>
        <w:rPr>
          <w:rFonts w:ascii="仿宋_GB2312" w:eastAsia="仿宋_GB2312"/>
          <w:b/>
          <w:sz w:val="28"/>
          <w:szCs w:val="28"/>
        </w:rPr>
        <w:br w:type="page"/>
      </w:r>
      <w:r>
        <w:rPr>
          <w:rFonts w:hint="eastAsia" w:ascii="仿宋_GB2312" w:eastAsia="仿宋_GB2312"/>
          <w:b/>
          <w:sz w:val="28"/>
          <w:szCs w:val="28"/>
        </w:rPr>
        <w:t>项目支出绩效目标表</w:t>
      </w:r>
    </w:p>
    <w:p>
      <w:pPr>
        <w:keepNext w:val="0"/>
        <w:keepLines w:val="0"/>
        <w:pageBreakBefore w:val="0"/>
        <w:kinsoku/>
        <w:overflowPunct/>
        <w:topLinePunct w:val="0"/>
        <w:autoSpaceDE/>
        <w:autoSpaceDN/>
        <w:bidi w:val="0"/>
        <w:spacing w:line="560" w:lineRule="exact"/>
        <w:ind w:left="0" w:leftChars="0" w:right="0"/>
        <w:jc w:val="both"/>
        <w:textAlignment w:val="auto"/>
        <w:rPr>
          <w:rFonts w:ascii="仿宋_GB2312" w:eastAsia="仿宋_GB2312"/>
          <w:b/>
          <w:sz w:val="24"/>
          <w:szCs w:val="24"/>
        </w:rPr>
      </w:pPr>
      <w:r>
        <w:rPr>
          <w:rFonts w:hint="eastAsia" w:ascii="仿宋_GB2312" w:eastAsia="仿宋_GB2312"/>
          <w:b/>
          <w:sz w:val="24"/>
          <w:szCs w:val="24"/>
        </w:rPr>
        <w:t>（2024年度）</w:t>
      </w:r>
    </w:p>
    <w:tbl>
      <w:tblPr>
        <w:tblStyle w:val="8"/>
        <w:tblW w:w="5291"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548"/>
        <w:gridCol w:w="108"/>
        <w:gridCol w:w="2782"/>
        <w:gridCol w:w="544"/>
        <w:gridCol w:w="1497"/>
        <w:gridCol w:w="774"/>
        <w:gridCol w:w="25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项目名称</w:t>
            </w:r>
          </w:p>
        </w:tc>
        <w:tc>
          <w:tcPr>
            <w:tcW w:w="3943" w:type="pct"/>
            <w:gridSpan w:val="6"/>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主管部门及</w:t>
            </w:r>
            <w:r>
              <w:rPr>
                <w:rFonts w:cs="宋体" w:asciiTheme="minorEastAsia" w:hAnsiTheme="minorEastAsia" w:eastAsiaTheme="minorEastAsia"/>
                <w:kern w:val="0"/>
                <w:sz w:val="18"/>
                <w:szCs w:val="18"/>
              </w:rPr>
              <w:t>代码</w:t>
            </w:r>
          </w:p>
        </w:tc>
        <w:tc>
          <w:tcPr>
            <w:tcW w:w="1647"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08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实施单位</w:t>
            </w:r>
          </w:p>
        </w:tc>
        <w:tc>
          <w:tcPr>
            <w:tcW w:w="1207"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项目资金</w:t>
            </w:r>
          </w:p>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（万元）</w:t>
            </w:r>
          </w:p>
        </w:tc>
        <w:tc>
          <w:tcPr>
            <w:tcW w:w="1647"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年度资金总额：</w:t>
            </w:r>
          </w:p>
        </w:tc>
        <w:tc>
          <w:tcPr>
            <w:tcW w:w="2296"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647" w:type="pct"/>
            <w:gridSpan w:val="3"/>
            <w:vAlign w:val="center"/>
          </w:tcPr>
          <w:p>
            <w:pPr>
              <w:keepNext w:val="0"/>
              <w:keepLines w:val="0"/>
              <w:pageBreakBefore w:val="0"/>
              <w:widowControl/>
              <w:kinsoku/>
              <w:overflowPunct/>
              <w:topLinePunct w:val="0"/>
              <w:autoSpaceDE/>
              <w:autoSpaceDN/>
              <w:bidi w:val="0"/>
              <w:spacing w:line="560" w:lineRule="exact"/>
              <w:ind w:left="0" w:leftChars="0" w:right="0" w:firstLine="360" w:firstLineChars="20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其中</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当年</w:t>
            </w:r>
            <w:r>
              <w:rPr>
                <w:rFonts w:cs="宋体" w:asciiTheme="minorEastAsia" w:hAnsiTheme="minorEastAsia" w:eastAsiaTheme="minorEastAsia"/>
                <w:kern w:val="0"/>
                <w:sz w:val="18"/>
                <w:szCs w:val="18"/>
              </w:rPr>
              <w:t>财政拨款</w:t>
            </w:r>
          </w:p>
        </w:tc>
        <w:tc>
          <w:tcPr>
            <w:tcW w:w="2296"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647" w:type="pct"/>
            <w:gridSpan w:val="3"/>
            <w:vAlign w:val="center"/>
          </w:tcPr>
          <w:p>
            <w:pPr>
              <w:keepNext w:val="0"/>
              <w:keepLines w:val="0"/>
              <w:pageBreakBefore w:val="0"/>
              <w:widowControl/>
              <w:kinsoku/>
              <w:overflowPunct/>
              <w:topLinePunct w:val="0"/>
              <w:autoSpaceDE/>
              <w:autoSpaceDN/>
              <w:bidi w:val="0"/>
              <w:spacing w:line="560" w:lineRule="exact"/>
              <w:ind w:left="0" w:leftChars="0" w:right="0" w:firstLine="900" w:firstLineChars="50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上年结转资金</w:t>
            </w:r>
          </w:p>
        </w:tc>
        <w:tc>
          <w:tcPr>
            <w:tcW w:w="2296"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647" w:type="pct"/>
            <w:gridSpan w:val="3"/>
            <w:vAlign w:val="center"/>
          </w:tcPr>
          <w:p>
            <w:pPr>
              <w:keepNext w:val="0"/>
              <w:keepLines w:val="0"/>
              <w:pageBreakBefore w:val="0"/>
              <w:widowControl/>
              <w:kinsoku/>
              <w:overflowPunct/>
              <w:topLinePunct w:val="0"/>
              <w:autoSpaceDE/>
              <w:autoSpaceDN/>
              <w:bidi w:val="0"/>
              <w:spacing w:line="560" w:lineRule="exact"/>
              <w:ind w:left="0" w:leftChars="0" w:right="0" w:firstLine="900" w:firstLineChars="50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其他资金</w:t>
            </w:r>
          </w:p>
        </w:tc>
        <w:tc>
          <w:tcPr>
            <w:tcW w:w="2296" w:type="pct"/>
            <w:gridSpan w:val="3"/>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Align w:val="center"/>
          </w:tcPr>
          <w:p>
            <w:pPr>
              <w:keepNext w:val="0"/>
              <w:keepLines w:val="0"/>
              <w:pageBreakBefore w:val="0"/>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p>
          <w:p>
            <w:pPr>
              <w:keepNext w:val="0"/>
              <w:keepLines w:val="0"/>
              <w:pageBreakBefore w:val="0"/>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体</w:t>
            </w:r>
          </w:p>
          <w:p>
            <w:pPr>
              <w:keepNext w:val="0"/>
              <w:keepLines w:val="0"/>
              <w:pageBreakBefore w:val="0"/>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w:t>
            </w:r>
          </w:p>
          <w:p>
            <w:pPr>
              <w:keepNext w:val="0"/>
              <w:keepLines w:val="0"/>
              <w:pageBreakBefore w:val="0"/>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标</w:t>
            </w:r>
          </w:p>
        </w:tc>
        <w:tc>
          <w:tcPr>
            <w:tcW w:w="4685" w:type="pct"/>
            <w:gridSpan w:val="7"/>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目标1：</w:t>
            </w:r>
          </w:p>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目标2：</w:t>
            </w:r>
          </w:p>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315" w:type="pct"/>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绩效指标</w:t>
            </w:r>
          </w:p>
        </w:tc>
        <w:tc>
          <w:tcPr>
            <w:tcW w:w="794"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一级指标</w:t>
            </w: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二级指标</w:t>
            </w: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三级指标</w:t>
            </w: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指标值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成本指标</w:t>
            </w: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Cs/>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产出指标</w:t>
            </w: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效益指标</w:t>
            </w: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b/>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restar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满意度指标</w:t>
            </w: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794" w:type="pct"/>
            <w:gridSpan w:val="2"/>
            <w:vMerge w:val="continue"/>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334" w:type="pct"/>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979"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c>
          <w:tcPr>
            <w:tcW w:w="1578" w:type="pct"/>
            <w:gridSpan w:val="2"/>
            <w:vAlign w:val="center"/>
          </w:tcPr>
          <w:p>
            <w:pPr>
              <w:keepNext w:val="0"/>
              <w:keepLines w:val="0"/>
              <w:pageBreakBefore w:val="0"/>
              <w:widowControl/>
              <w:kinsoku/>
              <w:overflowPunct/>
              <w:topLinePunct w:val="0"/>
              <w:autoSpaceDE/>
              <w:autoSpaceDN/>
              <w:bidi w:val="0"/>
              <w:spacing w:line="560" w:lineRule="exact"/>
              <w:ind w:left="0" w:leftChars="0" w:right="0"/>
              <w:jc w:val="both"/>
              <w:textAlignment w:val="auto"/>
              <w:rPr>
                <w:rFonts w:cs="宋体" w:asciiTheme="minorEastAsia" w:hAnsiTheme="minorEastAsia" w:eastAsiaTheme="minorEastAsia"/>
                <w:kern w:val="0"/>
                <w:sz w:val="18"/>
                <w:szCs w:val="18"/>
              </w:rPr>
            </w:pPr>
          </w:p>
        </w:tc>
      </w:tr>
    </w:tbl>
    <w:p>
      <w:pPr>
        <w:keepNext w:val="0"/>
        <w:keepLines w:val="0"/>
        <w:pageBreakBefore w:val="0"/>
        <w:tabs>
          <w:tab w:val="left" w:pos="1848"/>
        </w:tabs>
        <w:kinsoku/>
        <w:overflowPunct/>
        <w:topLinePunct w:val="0"/>
        <w:autoSpaceDE/>
        <w:autoSpaceDN/>
        <w:bidi w:val="0"/>
        <w:spacing w:line="560" w:lineRule="exact"/>
        <w:ind w:left="0" w:leftChars="0" w:right="0"/>
        <w:jc w:val="both"/>
        <w:textAlignment w:val="auto"/>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imesNewRomanPS-BoldMT">
    <w:altName w:val="Segoe Print"/>
    <w:panose1 w:val="00000000000000000000"/>
    <w:charset w:val="00"/>
    <w:family w:val="roman"/>
    <w:pitch w:val="default"/>
    <w:sig w:usb0="00000000" w:usb1="00000000" w:usb2="00000000" w:usb3="00000000" w:csb0="00000000" w:csb1="00000000"/>
  </w:font>
  <w:font w:name="CIDFont+F6">
    <w:altName w:val="仿宋"/>
    <w:panose1 w:val="00000000000000000000"/>
    <w:charset w:val="00"/>
    <w:family w:val="roman"/>
    <w:pitch w:val="default"/>
    <w:sig w:usb0="00000000" w:usb1="00000000" w:usb2="00000000" w:usb3="00000000" w:csb0="00000000" w:csb1="00000000"/>
  </w:font>
  <w:font w:name="CIDFont+F4">
    <w:altName w:val="仿宋"/>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27</w:t>
    </w:r>
    <w: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B855B"/>
    <w:multiLevelType w:val="singleLevel"/>
    <w:tmpl w:val="81EB855B"/>
    <w:lvl w:ilvl="0" w:tentative="0">
      <w:start w:val="7"/>
      <w:numFmt w:val="chineseCounting"/>
      <w:suff w:val="nothing"/>
      <w:lvlText w:val="%1、"/>
      <w:lvlJc w:val="left"/>
      <w:rPr>
        <w:rFonts w:hint="eastAsia"/>
      </w:rPr>
    </w:lvl>
  </w:abstractNum>
  <w:abstractNum w:abstractNumId="1">
    <w:nsid w:val="BB6E15C3"/>
    <w:multiLevelType w:val="singleLevel"/>
    <w:tmpl w:val="BB6E15C3"/>
    <w:lvl w:ilvl="0" w:tentative="0">
      <w:start w:val="1"/>
      <w:numFmt w:val="decimal"/>
      <w:suff w:val="nothing"/>
      <w:lvlText w:val="（%1）"/>
      <w:lvlJc w:val="left"/>
    </w:lvl>
  </w:abstractNum>
  <w:abstractNum w:abstractNumId="2">
    <w:nsid w:val="DEF7E3C9"/>
    <w:multiLevelType w:val="singleLevel"/>
    <w:tmpl w:val="DEF7E3C9"/>
    <w:lvl w:ilvl="0" w:tentative="0">
      <w:start w:val="1"/>
      <w:numFmt w:val="decimal"/>
      <w:suff w:val="nothing"/>
      <w:lvlText w:val="（%1）"/>
      <w:lvlJc w:val="left"/>
    </w:lvl>
  </w:abstractNum>
  <w:abstractNum w:abstractNumId="3">
    <w:nsid w:val="63E531BD"/>
    <w:multiLevelType w:val="singleLevel"/>
    <w:tmpl w:val="63E531BD"/>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0MWZiYmJhMTIyMjM1ZTA3NTFmOGViYzIyMzlhYmUifQ=="/>
  </w:docVars>
  <w:rsids>
    <w:rsidRoot w:val="00FB4362"/>
    <w:rsid w:val="00000C55"/>
    <w:rsid w:val="00001446"/>
    <w:rsid w:val="0001130C"/>
    <w:rsid w:val="00011F27"/>
    <w:rsid w:val="00012457"/>
    <w:rsid w:val="00021BBF"/>
    <w:rsid w:val="00030443"/>
    <w:rsid w:val="00030F4C"/>
    <w:rsid w:val="0003278A"/>
    <w:rsid w:val="000368FE"/>
    <w:rsid w:val="00042A06"/>
    <w:rsid w:val="00043601"/>
    <w:rsid w:val="000442B5"/>
    <w:rsid w:val="0004639D"/>
    <w:rsid w:val="000465E2"/>
    <w:rsid w:val="0005161F"/>
    <w:rsid w:val="000547D1"/>
    <w:rsid w:val="00055759"/>
    <w:rsid w:val="000612EE"/>
    <w:rsid w:val="00061BAF"/>
    <w:rsid w:val="0006337D"/>
    <w:rsid w:val="00074626"/>
    <w:rsid w:val="00076B62"/>
    <w:rsid w:val="00082093"/>
    <w:rsid w:val="000861D5"/>
    <w:rsid w:val="0009273A"/>
    <w:rsid w:val="000A20A7"/>
    <w:rsid w:val="000A655B"/>
    <w:rsid w:val="000B54DD"/>
    <w:rsid w:val="000C2055"/>
    <w:rsid w:val="000C2B7F"/>
    <w:rsid w:val="000C37BE"/>
    <w:rsid w:val="000C4C50"/>
    <w:rsid w:val="000D0130"/>
    <w:rsid w:val="000D2EEE"/>
    <w:rsid w:val="000D2F19"/>
    <w:rsid w:val="000E0CEA"/>
    <w:rsid w:val="000F3CBF"/>
    <w:rsid w:val="000F3F42"/>
    <w:rsid w:val="000F473D"/>
    <w:rsid w:val="001017F3"/>
    <w:rsid w:val="0011297B"/>
    <w:rsid w:val="00123768"/>
    <w:rsid w:val="00126B08"/>
    <w:rsid w:val="001272E5"/>
    <w:rsid w:val="00127D01"/>
    <w:rsid w:val="00130F5F"/>
    <w:rsid w:val="001374F5"/>
    <w:rsid w:val="00152FDC"/>
    <w:rsid w:val="001561FD"/>
    <w:rsid w:val="0015647B"/>
    <w:rsid w:val="00156619"/>
    <w:rsid w:val="00156C8B"/>
    <w:rsid w:val="00160A8C"/>
    <w:rsid w:val="001700B4"/>
    <w:rsid w:val="00171070"/>
    <w:rsid w:val="001A416A"/>
    <w:rsid w:val="001A6118"/>
    <w:rsid w:val="001B0364"/>
    <w:rsid w:val="001B0B8E"/>
    <w:rsid w:val="001B342F"/>
    <w:rsid w:val="001C1259"/>
    <w:rsid w:val="001D1DA7"/>
    <w:rsid w:val="001E17E4"/>
    <w:rsid w:val="001E2410"/>
    <w:rsid w:val="001E347C"/>
    <w:rsid w:val="001E6110"/>
    <w:rsid w:val="001F3C4D"/>
    <w:rsid w:val="002033EA"/>
    <w:rsid w:val="00214046"/>
    <w:rsid w:val="0022561F"/>
    <w:rsid w:val="00232DBE"/>
    <w:rsid w:val="002355E7"/>
    <w:rsid w:val="00235F73"/>
    <w:rsid w:val="0023681E"/>
    <w:rsid w:val="00241FEC"/>
    <w:rsid w:val="00243562"/>
    <w:rsid w:val="0025164A"/>
    <w:rsid w:val="00265C3D"/>
    <w:rsid w:val="00266C2E"/>
    <w:rsid w:val="00270DF8"/>
    <w:rsid w:val="002754B3"/>
    <w:rsid w:val="0028392B"/>
    <w:rsid w:val="002934F2"/>
    <w:rsid w:val="002A3A19"/>
    <w:rsid w:val="002A3ED4"/>
    <w:rsid w:val="002A7274"/>
    <w:rsid w:val="002B2833"/>
    <w:rsid w:val="002B7BA1"/>
    <w:rsid w:val="002C01BB"/>
    <w:rsid w:val="002C3FA4"/>
    <w:rsid w:val="002E2161"/>
    <w:rsid w:val="002E30F2"/>
    <w:rsid w:val="002E4E72"/>
    <w:rsid w:val="002F0CE0"/>
    <w:rsid w:val="002F4ED9"/>
    <w:rsid w:val="002F75FE"/>
    <w:rsid w:val="002F7FA5"/>
    <w:rsid w:val="003017F4"/>
    <w:rsid w:val="00301AAB"/>
    <w:rsid w:val="00306B68"/>
    <w:rsid w:val="003129FE"/>
    <w:rsid w:val="003322AC"/>
    <w:rsid w:val="00335342"/>
    <w:rsid w:val="00343A8E"/>
    <w:rsid w:val="00345713"/>
    <w:rsid w:val="003566B9"/>
    <w:rsid w:val="00356C98"/>
    <w:rsid w:val="0036367B"/>
    <w:rsid w:val="0036496C"/>
    <w:rsid w:val="00365414"/>
    <w:rsid w:val="00372734"/>
    <w:rsid w:val="00372A33"/>
    <w:rsid w:val="0037374A"/>
    <w:rsid w:val="00377A88"/>
    <w:rsid w:val="00392E2B"/>
    <w:rsid w:val="003A396F"/>
    <w:rsid w:val="003A68FD"/>
    <w:rsid w:val="003A7A18"/>
    <w:rsid w:val="003B3187"/>
    <w:rsid w:val="003B327A"/>
    <w:rsid w:val="003B4612"/>
    <w:rsid w:val="003B76D2"/>
    <w:rsid w:val="003D6D41"/>
    <w:rsid w:val="003E3B0A"/>
    <w:rsid w:val="0040581D"/>
    <w:rsid w:val="00417BF3"/>
    <w:rsid w:val="00425D21"/>
    <w:rsid w:val="00426463"/>
    <w:rsid w:val="00427875"/>
    <w:rsid w:val="004317A0"/>
    <w:rsid w:val="0043556D"/>
    <w:rsid w:val="0043739B"/>
    <w:rsid w:val="00441579"/>
    <w:rsid w:val="004418B5"/>
    <w:rsid w:val="00445789"/>
    <w:rsid w:val="00463FB8"/>
    <w:rsid w:val="00480A2F"/>
    <w:rsid w:val="00480B47"/>
    <w:rsid w:val="00481F19"/>
    <w:rsid w:val="00487BC0"/>
    <w:rsid w:val="00490FF8"/>
    <w:rsid w:val="004A1851"/>
    <w:rsid w:val="004B337A"/>
    <w:rsid w:val="004B5538"/>
    <w:rsid w:val="004C3127"/>
    <w:rsid w:val="004D27C3"/>
    <w:rsid w:val="004D44D2"/>
    <w:rsid w:val="004D491E"/>
    <w:rsid w:val="004E3E51"/>
    <w:rsid w:val="004E625A"/>
    <w:rsid w:val="004F73BD"/>
    <w:rsid w:val="00502474"/>
    <w:rsid w:val="00515110"/>
    <w:rsid w:val="00523062"/>
    <w:rsid w:val="00532434"/>
    <w:rsid w:val="00537019"/>
    <w:rsid w:val="0054271B"/>
    <w:rsid w:val="00545281"/>
    <w:rsid w:val="00551A39"/>
    <w:rsid w:val="00566585"/>
    <w:rsid w:val="00580A2F"/>
    <w:rsid w:val="005A2CB7"/>
    <w:rsid w:val="005B15C7"/>
    <w:rsid w:val="005B51EA"/>
    <w:rsid w:val="005C6B92"/>
    <w:rsid w:val="005F4CC9"/>
    <w:rsid w:val="0060056E"/>
    <w:rsid w:val="006039C9"/>
    <w:rsid w:val="00605602"/>
    <w:rsid w:val="00605D22"/>
    <w:rsid w:val="00620A03"/>
    <w:rsid w:val="00621126"/>
    <w:rsid w:val="0062145A"/>
    <w:rsid w:val="00633C60"/>
    <w:rsid w:val="00645C9F"/>
    <w:rsid w:val="00650775"/>
    <w:rsid w:val="0065388D"/>
    <w:rsid w:val="00655506"/>
    <w:rsid w:val="00674396"/>
    <w:rsid w:val="006849AD"/>
    <w:rsid w:val="006853A7"/>
    <w:rsid w:val="0069507F"/>
    <w:rsid w:val="006955DD"/>
    <w:rsid w:val="00697A98"/>
    <w:rsid w:val="006A0492"/>
    <w:rsid w:val="006A3DED"/>
    <w:rsid w:val="006A6E23"/>
    <w:rsid w:val="006B05FF"/>
    <w:rsid w:val="006C4D2E"/>
    <w:rsid w:val="006D3D60"/>
    <w:rsid w:val="006E1F9C"/>
    <w:rsid w:val="006E4A2C"/>
    <w:rsid w:val="006E721A"/>
    <w:rsid w:val="006F0E11"/>
    <w:rsid w:val="006F40C8"/>
    <w:rsid w:val="00700872"/>
    <w:rsid w:val="00706BB4"/>
    <w:rsid w:val="00714029"/>
    <w:rsid w:val="007203B6"/>
    <w:rsid w:val="007222C1"/>
    <w:rsid w:val="00725205"/>
    <w:rsid w:val="0074091B"/>
    <w:rsid w:val="00740927"/>
    <w:rsid w:val="00744302"/>
    <w:rsid w:val="00747C60"/>
    <w:rsid w:val="007732EA"/>
    <w:rsid w:val="00777EA3"/>
    <w:rsid w:val="007933F9"/>
    <w:rsid w:val="00793C7B"/>
    <w:rsid w:val="007954B6"/>
    <w:rsid w:val="007A5E22"/>
    <w:rsid w:val="007B3768"/>
    <w:rsid w:val="007B5395"/>
    <w:rsid w:val="007C38FB"/>
    <w:rsid w:val="007C6434"/>
    <w:rsid w:val="007D4E4C"/>
    <w:rsid w:val="007D5F13"/>
    <w:rsid w:val="007D69F8"/>
    <w:rsid w:val="007E4819"/>
    <w:rsid w:val="007E4E03"/>
    <w:rsid w:val="007E7289"/>
    <w:rsid w:val="00805F3F"/>
    <w:rsid w:val="00817A5D"/>
    <w:rsid w:val="00821209"/>
    <w:rsid w:val="00821491"/>
    <w:rsid w:val="00831411"/>
    <w:rsid w:val="00842536"/>
    <w:rsid w:val="00843692"/>
    <w:rsid w:val="0085135B"/>
    <w:rsid w:val="0085287C"/>
    <w:rsid w:val="008559B6"/>
    <w:rsid w:val="008559FD"/>
    <w:rsid w:val="00855E65"/>
    <w:rsid w:val="0085612E"/>
    <w:rsid w:val="00880868"/>
    <w:rsid w:val="00880D30"/>
    <w:rsid w:val="008811AD"/>
    <w:rsid w:val="008812FA"/>
    <w:rsid w:val="008B222B"/>
    <w:rsid w:val="008C138F"/>
    <w:rsid w:val="008C204C"/>
    <w:rsid w:val="008C2625"/>
    <w:rsid w:val="008C4FE2"/>
    <w:rsid w:val="008D4D6A"/>
    <w:rsid w:val="008F7014"/>
    <w:rsid w:val="009049E9"/>
    <w:rsid w:val="00907F9B"/>
    <w:rsid w:val="00911503"/>
    <w:rsid w:val="00917C2D"/>
    <w:rsid w:val="009209B6"/>
    <w:rsid w:val="00923CB4"/>
    <w:rsid w:val="009335E0"/>
    <w:rsid w:val="00941732"/>
    <w:rsid w:val="009510F3"/>
    <w:rsid w:val="00954018"/>
    <w:rsid w:val="00955590"/>
    <w:rsid w:val="00970435"/>
    <w:rsid w:val="009704EC"/>
    <w:rsid w:val="00971619"/>
    <w:rsid w:val="00982EAB"/>
    <w:rsid w:val="0098505E"/>
    <w:rsid w:val="00991480"/>
    <w:rsid w:val="009945A7"/>
    <w:rsid w:val="00995E63"/>
    <w:rsid w:val="0099643D"/>
    <w:rsid w:val="009969DC"/>
    <w:rsid w:val="00996BA5"/>
    <w:rsid w:val="009A0F79"/>
    <w:rsid w:val="009A3C75"/>
    <w:rsid w:val="009B03F2"/>
    <w:rsid w:val="009C4EE2"/>
    <w:rsid w:val="009D46B1"/>
    <w:rsid w:val="009E7F6E"/>
    <w:rsid w:val="009F2B6A"/>
    <w:rsid w:val="009F5541"/>
    <w:rsid w:val="00A01204"/>
    <w:rsid w:val="00A022BA"/>
    <w:rsid w:val="00A256AC"/>
    <w:rsid w:val="00A32BE3"/>
    <w:rsid w:val="00A4207A"/>
    <w:rsid w:val="00A5653E"/>
    <w:rsid w:val="00A63533"/>
    <w:rsid w:val="00A723C4"/>
    <w:rsid w:val="00A72D2B"/>
    <w:rsid w:val="00A820E9"/>
    <w:rsid w:val="00A82942"/>
    <w:rsid w:val="00A83E24"/>
    <w:rsid w:val="00AA20F8"/>
    <w:rsid w:val="00AA327B"/>
    <w:rsid w:val="00AA55AF"/>
    <w:rsid w:val="00AB19A5"/>
    <w:rsid w:val="00AC2FD6"/>
    <w:rsid w:val="00AC78FC"/>
    <w:rsid w:val="00AD4CFE"/>
    <w:rsid w:val="00AE79BA"/>
    <w:rsid w:val="00AF350E"/>
    <w:rsid w:val="00AF3D8F"/>
    <w:rsid w:val="00AF5273"/>
    <w:rsid w:val="00AF5D3D"/>
    <w:rsid w:val="00B0671C"/>
    <w:rsid w:val="00B13495"/>
    <w:rsid w:val="00B262DD"/>
    <w:rsid w:val="00B278DE"/>
    <w:rsid w:val="00B30287"/>
    <w:rsid w:val="00B30EBD"/>
    <w:rsid w:val="00B351C3"/>
    <w:rsid w:val="00B36AC9"/>
    <w:rsid w:val="00B36E7A"/>
    <w:rsid w:val="00B542CD"/>
    <w:rsid w:val="00B6465B"/>
    <w:rsid w:val="00B772D7"/>
    <w:rsid w:val="00B85451"/>
    <w:rsid w:val="00B86006"/>
    <w:rsid w:val="00B86D86"/>
    <w:rsid w:val="00BA2A96"/>
    <w:rsid w:val="00BA5FE5"/>
    <w:rsid w:val="00BC1FD9"/>
    <w:rsid w:val="00BC30FF"/>
    <w:rsid w:val="00BC500D"/>
    <w:rsid w:val="00BD7FD7"/>
    <w:rsid w:val="00BF1606"/>
    <w:rsid w:val="00BF1647"/>
    <w:rsid w:val="00BF5A25"/>
    <w:rsid w:val="00C06428"/>
    <w:rsid w:val="00C11347"/>
    <w:rsid w:val="00C35018"/>
    <w:rsid w:val="00C40A34"/>
    <w:rsid w:val="00C4484E"/>
    <w:rsid w:val="00C46F7C"/>
    <w:rsid w:val="00C519B5"/>
    <w:rsid w:val="00C55EDB"/>
    <w:rsid w:val="00C573E9"/>
    <w:rsid w:val="00C729DA"/>
    <w:rsid w:val="00C764B7"/>
    <w:rsid w:val="00C90B56"/>
    <w:rsid w:val="00CA3F25"/>
    <w:rsid w:val="00CB5B9D"/>
    <w:rsid w:val="00CB6428"/>
    <w:rsid w:val="00CC01A5"/>
    <w:rsid w:val="00CC2134"/>
    <w:rsid w:val="00CD255A"/>
    <w:rsid w:val="00D126EC"/>
    <w:rsid w:val="00D14955"/>
    <w:rsid w:val="00D24CD6"/>
    <w:rsid w:val="00D24FA6"/>
    <w:rsid w:val="00D544D2"/>
    <w:rsid w:val="00D660F8"/>
    <w:rsid w:val="00D744C5"/>
    <w:rsid w:val="00D827AF"/>
    <w:rsid w:val="00D8451F"/>
    <w:rsid w:val="00D8474D"/>
    <w:rsid w:val="00D84D5B"/>
    <w:rsid w:val="00D86771"/>
    <w:rsid w:val="00D90C73"/>
    <w:rsid w:val="00D90F17"/>
    <w:rsid w:val="00D9480E"/>
    <w:rsid w:val="00D94FFD"/>
    <w:rsid w:val="00DA7038"/>
    <w:rsid w:val="00DB4AF2"/>
    <w:rsid w:val="00DB572A"/>
    <w:rsid w:val="00DC14B3"/>
    <w:rsid w:val="00DC399C"/>
    <w:rsid w:val="00DC7D6D"/>
    <w:rsid w:val="00DD2999"/>
    <w:rsid w:val="00DD2B43"/>
    <w:rsid w:val="00DD2CF8"/>
    <w:rsid w:val="00DD5C58"/>
    <w:rsid w:val="00DE240B"/>
    <w:rsid w:val="00DE529C"/>
    <w:rsid w:val="00DE6D9E"/>
    <w:rsid w:val="00DF3482"/>
    <w:rsid w:val="00DF450F"/>
    <w:rsid w:val="00E04A58"/>
    <w:rsid w:val="00E07425"/>
    <w:rsid w:val="00E07A05"/>
    <w:rsid w:val="00E16025"/>
    <w:rsid w:val="00E167FD"/>
    <w:rsid w:val="00E16F50"/>
    <w:rsid w:val="00E24179"/>
    <w:rsid w:val="00E31783"/>
    <w:rsid w:val="00E36636"/>
    <w:rsid w:val="00E43A34"/>
    <w:rsid w:val="00E44D37"/>
    <w:rsid w:val="00E52850"/>
    <w:rsid w:val="00E609A5"/>
    <w:rsid w:val="00E61928"/>
    <w:rsid w:val="00E656D2"/>
    <w:rsid w:val="00E7276C"/>
    <w:rsid w:val="00E84382"/>
    <w:rsid w:val="00E9180B"/>
    <w:rsid w:val="00EA0646"/>
    <w:rsid w:val="00EA2BA4"/>
    <w:rsid w:val="00EA3103"/>
    <w:rsid w:val="00EB15C1"/>
    <w:rsid w:val="00EC325A"/>
    <w:rsid w:val="00EC3A8E"/>
    <w:rsid w:val="00EC57F0"/>
    <w:rsid w:val="00ED68AF"/>
    <w:rsid w:val="00EF2E7C"/>
    <w:rsid w:val="00F01A6E"/>
    <w:rsid w:val="00F11811"/>
    <w:rsid w:val="00F20178"/>
    <w:rsid w:val="00F23C6C"/>
    <w:rsid w:val="00F24BC8"/>
    <w:rsid w:val="00F25045"/>
    <w:rsid w:val="00F30F3E"/>
    <w:rsid w:val="00F32002"/>
    <w:rsid w:val="00F4605D"/>
    <w:rsid w:val="00F51EF5"/>
    <w:rsid w:val="00F74928"/>
    <w:rsid w:val="00F8197E"/>
    <w:rsid w:val="00F833B1"/>
    <w:rsid w:val="00F87D90"/>
    <w:rsid w:val="00F90495"/>
    <w:rsid w:val="00FA4179"/>
    <w:rsid w:val="00FB4362"/>
    <w:rsid w:val="00FB53A1"/>
    <w:rsid w:val="00FD30CF"/>
    <w:rsid w:val="00FE0E46"/>
    <w:rsid w:val="00FF0AEC"/>
    <w:rsid w:val="00FF1DF4"/>
    <w:rsid w:val="00FF4165"/>
    <w:rsid w:val="01E44870"/>
    <w:rsid w:val="055F2221"/>
    <w:rsid w:val="067046D1"/>
    <w:rsid w:val="07F12200"/>
    <w:rsid w:val="0A1B3564"/>
    <w:rsid w:val="0FF7412C"/>
    <w:rsid w:val="113741D2"/>
    <w:rsid w:val="12D9220E"/>
    <w:rsid w:val="13D6674E"/>
    <w:rsid w:val="18DA0ABF"/>
    <w:rsid w:val="1CE43C8A"/>
    <w:rsid w:val="1D34261E"/>
    <w:rsid w:val="1F7E7BC0"/>
    <w:rsid w:val="24BB1774"/>
    <w:rsid w:val="24D9609E"/>
    <w:rsid w:val="2729330D"/>
    <w:rsid w:val="2843570A"/>
    <w:rsid w:val="28852AA7"/>
    <w:rsid w:val="290B259E"/>
    <w:rsid w:val="2A522B7B"/>
    <w:rsid w:val="2AE15CAC"/>
    <w:rsid w:val="373A29CC"/>
    <w:rsid w:val="43014CE6"/>
    <w:rsid w:val="46C91677"/>
    <w:rsid w:val="4CA0731E"/>
    <w:rsid w:val="4EC533B4"/>
    <w:rsid w:val="527E074E"/>
    <w:rsid w:val="536912CC"/>
    <w:rsid w:val="55E97FAC"/>
    <w:rsid w:val="576061EB"/>
    <w:rsid w:val="579503FF"/>
    <w:rsid w:val="57D0744A"/>
    <w:rsid w:val="57E83927"/>
    <w:rsid w:val="58006EC2"/>
    <w:rsid w:val="5E4C350A"/>
    <w:rsid w:val="5E6F4DA2"/>
    <w:rsid w:val="60535296"/>
    <w:rsid w:val="61136E00"/>
    <w:rsid w:val="66443BC1"/>
    <w:rsid w:val="66C43787"/>
    <w:rsid w:val="67A95107"/>
    <w:rsid w:val="6BC17B8A"/>
    <w:rsid w:val="6E3A7028"/>
    <w:rsid w:val="70B34FC2"/>
    <w:rsid w:val="72FD2525"/>
    <w:rsid w:val="765661D4"/>
    <w:rsid w:val="76EC2FDC"/>
    <w:rsid w:val="772C3044"/>
    <w:rsid w:val="77FBD58C"/>
    <w:rsid w:val="7AF529A2"/>
    <w:rsid w:val="7B046422"/>
    <w:rsid w:val="7B5B6284"/>
    <w:rsid w:val="7BBD0AA3"/>
    <w:rsid w:val="7E467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autoRedefine/>
    <w:qFormat/>
    <w:uiPriority w:val="0"/>
    <w:pPr>
      <w:keepNext/>
      <w:keepLines/>
      <w:spacing w:before="340" w:after="330" w:line="578" w:lineRule="auto"/>
      <w:outlineLvl w:val="0"/>
    </w:pPr>
    <w:rPr>
      <w:rFonts w:ascii="Times New Roman" w:hAnsi="Times New Roman"/>
      <w:b/>
      <w:bCs/>
      <w:kern w:val="44"/>
      <w:sz w:val="44"/>
      <w:szCs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8"/>
    <w:autoRedefine/>
    <w:qFormat/>
    <w:uiPriority w:val="0"/>
    <w:pPr>
      <w:jc w:val="left"/>
    </w:pPr>
  </w:style>
  <w:style w:type="paragraph" w:styleId="4">
    <w:name w:val="Balloon Text"/>
    <w:basedOn w:val="1"/>
    <w:link w:val="15"/>
    <w:autoRedefine/>
    <w:qFormat/>
    <w:uiPriority w:val="0"/>
    <w:rPr>
      <w:sz w:val="18"/>
      <w:szCs w:val="18"/>
    </w:rPr>
  </w:style>
  <w:style w:type="paragraph" w:styleId="5">
    <w:name w:val="footer"/>
    <w:basedOn w:val="1"/>
    <w:link w:val="12"/>
    <w:autoRedefine/>
    <w:qFormat/>
    <w:uiPriority w:val="0"/>
    <w:pPr>
      <w:tabs>
        <w:tab w:val="center" w:pos="4153"/>
        <w:tab w:val="right" w:pos="8306"/>
      </w:tabs>
      <w:snapToGrid w:val="0"/>
      <w:jc w:val="left"/>
    </w:pPr>
    <w:rPr>
      <w:sz w:val="18"/>
      <w:szCs w:val="18"/>
    </w:rPr>
  </w:style>
  <w:style w:type="paragraph" w:styleId="6">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autoRedefine/>
    <w:qFormat/>
    <w:uiPriority w:val="0"/>
    <w:rPr>
      <w:b/>
      <w:bCs/>
    </w:rPr>
  </w:style>
  <w:style w:type="character" w:styleId="10">
    <w:name w:val="line number"/>
    <w:autoRedefine/>
    <w:qFormat/>
    <w:uiPriority w:val="0"/>
  </w:style>
  <w:style w:type="character" w:styleId="11">
    <w:name w:val="annotation reference"/>
    <w:autoRedefine/>
    <w:qFormat/>
    <w:uiPriority w:val="0"/>
    <w:rPr>
      <w:sz w:val="21"/>
      <w:szCs w:val="21"/>
    </w:rPr>
  </w:style>
  <w:style w:type="character" w:customStyle="1" w:styleId="12">
    <w:name w:val="页脚 Char"/>
    <w:link w:val="5"/>
    <w:autoRedefine/>
    <w:qFormat/>
    <w:uiPriority w:val="0"/>
    <w:rPr>
      <w:sz w:val="18"/>
      <w:szCs w:val="18"/>
    </w:rPr>
  </w:style>
  <w:style w:type="character" w:customStyle="1" w:styleId="13">
    <w:name w:val="页眉 Char"/>
    <w:link w:val="6"/>
    <w:autoRedefine/>
    <w:qFormat/>
    <w:uiPriority w:val="0"/>
    <w:rPr>
      <w:sz w:val="18"/>
      <w:szCs w:val="18"/>
    </w:rPr>
  </w:style>
  <w:style w:type="paragraph" w:styleId="14">
    <w:name w:val="List Paragraph"/>
    <w:basedOn w:val="1"/>
    <w:autoRedefine/>
    <w:qFormat/>
    <w:uiPriority w:val="0"/>
    <w:pPr>
      <w:ind w:firstLine="420" w:firstLineChars="200"/>
    </w:pPr>
  </w:style>
  <w:style w:type="character" w:customStyle="1" w:styleId="15">
    <w:name w:val="批注框文本 Char"/>
    <w:link w:val="4"/>
    <w:autoRedefine/>
    <w:qFormat/>
    <w:uiPriority w:val="0"/>
    <w:rPr>
      <w:kern w:val="2"/>
      <w:sz w:val="18"/>
      <w:szCs w:val="18"/>
    </w:rPr>
  </w:style>
  <w:style w:type="character" w:customStyle="1" w:styleId="16">
    <w:name w:val="标题 1 Char"/>
    <w:link w:val="2"/>
    <w:autoRedefine/>
    <w:qFormat/>
    <w:uiPriority w:val="0"/>
    <w:rPr>
      <w:rFonts w:ascii="Times New Roman" w:hAnsi="Times New Roman"/>
      <w:b/>
      <w:bCs/>
      <w:kern w:val="44"/>
      <w:sz w:val="44"/>
      <w:szCs w:val="44"/>
    </w:rPr>
  </w:style>
  <w:style w:type="paragraph" w:customStyle="1" w:styleId="17">
    <w:name w:val="TOC Heading"/>
    <w:basedOn w:val="2"/>
    <w:next w:val="1"/>
    <w:autoRedefine/>
    <w:qFormat/>
    <w:uiPriority w:val="0"/>
    <w:pPr>
      <w:widowControl/>
      <w:spacing w:before="480" w:after="0" w:line="276" w:lineRule="auto"/>
      <w:jc w:val="left"/>
      <w:outlineLvl w:val="9"/>
    </w:pPr>
    <w:rPr>
      <w:rFonts w:ascii="Cambria" w:hAnsi="Cambria"/>
      <w:color w:val="365F91"/>
      <w:kern w:val="0"/>
      <w:sz w:val="28"/>
      <w:szCs w:val="28"/>
    </w:rPr>
  </w:style>
  <w:style w:type="character" w:customStyle="1" w:styleId="18">
    <w:name w:val="批注文字 Char"/>
    <w:link w:val="3"/>
    <w:autoRedefine/>
    <w:qFormat/>
    <w:uiPriority w:val="0"/>
    <w:rPr>
      <w:kern w:val="2"/>
      <w:sz w:val="21"/>
      <w:szCs w:val="22"/>
    </w:rPr>
  </w:style>
  <w:style w:type="character" w:customStyle="1" w:styleId="19">
    <w:name w:val="批注主题 Char"/>
    <w:link w:val="7"/>
    <w:autoRedefine/>
    <w:qFormat/>
    <w:uiPriority w:val="0"/>
    <w:rPr>
      <w:b/>
      <w:bCs/>
      <w:kern w:val="2"/>
      <w:sz w:val="21"/>
      <w:szCs w:val="22"/>
    </w:rPr>
  </w:style>
  <w:style w:type="character" w:customStyle="1" w:styleId="20">
    <w:name w:val="fontstyle01"/>
    <w:autoRedefine/>
    <w:qFormat/>
    <w:uiPriority w:val="0"/>
    <w:rPr>
      <w:rFonts w:hint="eastAsia" w:ascii="仿宋_GB2312" w:eastAsia="仿宋_GB2312"/>
      <w:color w:val="000000"/>
      <w:sz w:val="32"/>
      <w:szCs w:val="32"/>
    </w:rPr>
  </w:style>
  <w:style w:type="character" w:customStyle="1" w:styleId="21">
    <w:name w:val="fontstyle21"/>
    <w:autoRedefine/>
    <w:qFormat/>
    <w:uiPriority w:val="0"/>
    <w:rPr>
      <w:rFonts w:hint="default" w:ascii="TimesNewRomanPSMT" w:hAnsi="TimesNewRomanPSMT"/>
      <w:color w:val="000000"/>
      <w:sz w:val="32"/>
      <w:szCs w:val="32"/>
    </w:rPr>
  </w:style>
  <w:style w:type="character" w:customStyle="1" w:styleId="22">
    <w:name w:val="fontstyle11"/>
    <w:autoRedefine/>
    <w:qFormat/>
    <w:uiPriority w:val="0"/>
    <w:rPr>
      <w:rFonts w:hint="eastAsia" w:ascii="仿宋_GB2312" w:eastAsia="仿宋_GB2312"/>
      <w:color w:val="000000"/>
      <w:sz w:val="32"/>
      <w:szCs w:val="32"/>
    </w:rPr>
  </w:style>
  <w:style w:type="character" w:customStyle="1" w:styleId="23">
    <w:name w:val="fontstyle31"/>
    <w:autoRedefine/>
    <w:qFormat/>
    <w:uiPriority w:val="0"/>
    <w:rPr>
      <w:rFonts w:hint="default" w:ascii="TimesNewRomanPSMT" w:hAnsi="TimesNewRomanPSMT"/>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Kingdee\Desktop\&#26032;&#24314;%20XLSX%20&#24037;&#20316;&#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Kingdee\Desktop\&#26032;&#24314;%20XLSX%20&#24037;&#20316;&#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Kingdee\Desktop\&#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收入预算构成图</a:t>
            </a:r>
            <a:r>
              <a:rPr lang="en-US" altLang="zh-CN"/>
              <a:t>    </a:t>
            </a:r>
            <a:endParaRPr lang="en-US" altLang="zh-CN"/>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工作表.xlsx]Sheet1'!$G$9:$G$12</c:f>
              <c:strCache>
                <c:ptCount val="4"/>
                <c:pt idx="0">
                  <c:v>一般公共预算收入</c:v>
                </c:pt>
                <c:pt idx="1">
                  <c:v>政府性基金预算收入</c:v>
                </c:pt>
                <c:pt idx="2">
                  <c:v>上年结转收入</c:v>
                </c:pt>
                <c:pt idx="3">
                  <c:v>其他收入</c:v>
                </c:pt>
              </c:strCache>
            </c:strRef>
          </c:cat>
          <c:val>
            <c:numRef>
              <c:f>'[新建 XLSX 工作表.xlsx]Sheet1'!$H$9:$H$12</c:f>
              <c:numCache>
                <c:formatCode>General</c:formatCode>
                <c:ptCount val="4"/>
                <c:pt idx="0">
                  <c:v>4123.23</c:v>
                </c:pt>
                <c:pt idx="1">
                  <c:v>0</c:v>
                </c:pt>
                <c:pt idx="2">
                  <c:v>0</c:v>
                </c:pt>
                <c:pt idx="3">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支出预算构成图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6"/>
              <c:layout>
                <c:manualLayout>
                  <c:x val="-0.0138157894736842"/>
                  <c:y val="0.0243055555555556"/>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7"/>
              <c:layout>
                <c:manualLayout>
                  <c:x val="0.0177631578947368"/>
                  <c:y val="0.0173611111111111"/>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工作表.xlsx]Sheet1'!$G$8:$G$15</c:f>
              <c:strCache>
                <c:ptCount val="8"/>
                <c:pt idx="0">
                  <c:v>一般公共服务支出</c:v>
                </c:pt>
                <c:pt idx="1">
                  <c:v>公共安全支出</c:v>
                </c:pt>
                <c:pt idx="2">
                  <c:v>卫生健康支出</c:v>
                </c:pt>
                <c:pt idx="3">
                  <c:v>城乡社区支出</c:v>
                </c:pt>
                <c:pt idx="4">
                  <c:v>社会保障和就业支出</c:v>
                </c:pt>
                <c:pt idx="5">
                  <c:v>农林水支出</c:v>
                </c:pt>
                <c:pt idx="6">
                  <c:v>住房保障支出</c:v>
                </c:pt>
                <c:pt idx="7">
                  <c:v>灾害防治及应急管理支出</c:v>
                </c:pt>
              </c:strCache>
            </c:strRef>
          </c:cat>
          <c:val>
            <c:numRef>
              <c:f>'[新建 XLSX 工作表.xlsx]Sheet1'!$H$8:$H$15</c:f>
              <c:numCache>
                <c:formatCode>General</c:formatCode>
                <c:ptCount val="8"/>
                <c:pt idx="0">
                  <c:v>1157.51</c:v>
                </c:pt>
                <c:pt idx="1">
                  <c:v>30.85</c:v>
                </c:pt>
                <c:pt idx="2">
                  <c:v>154.86</c:v>
                </c:pt>
                <c:pt idx="3">
                  <c:v>60.56</c:v>
                </c:pt>
                <c:pt idx="4">
                  <c:v>75.41</c:v>
                </c:pt>
                <c:pt idx="5">
                  <c:v>2557.27</c:v>
                </c:pt>
                <c:pt idx="6">
                  <c:v>49.64</c:v>
                </c:pt>
                <c:pt idx="7">
                  <c:v>37.13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a:t>
            </a:r>
            <a:r>
              <a:rPr altLang="en-US"/>
              <a:t>三公</a:t>
            </a:r>
            <a:r>
              <a:rPr lang="en-US" altLang="zh-CN"/>
              <a:t>”</a:t>
            </a:r>
            <a:r>
              <a:rPr altLang="en-US"/>
              <a:t>经费、培训费、会议费等财政拨款情况</a:t>
            </a:r>
            <a:endParaRPr altLang="en-US"/>
          </a:p>
        </c:rich>
      </c:tx>
      <c:layout/>
      <c:overlay val="0"/>
      <c:spPr>
        <a:noFill/>
        <a:ln>
          <a:noFill/>
        </a:ln>
        <a:effectLst/>
      </c:spPr>
    </c:title>
    <c:autoTitleDeleted val="0"/>
    <c:plotArea>
      <c:layout/>
      <c:ofPieChart>
        <c:ofPieType val="pie"/>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65000"/>
                        <a:lumOff val="3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'[新建 XLSX 工作表.xlsx]Sheet1'!$G$8:$H$13</c:f>
              <c:multiLvlStrCache>
                <c:ptCount val="6"/>
                <c:lvl>
                  <c:pt idx="2">
                    <c:v>因公出国（境）费用</c:v>
                  </c:pt>
                  <c:pt idx="3">
                    <c:v>公务接待费</c:v>
                  </c:pt>
                  <c:pt idx="4">
                    <c:v>公务用车购置费</c:v>
                  </c:pt>
                  <c:pt idx="5">
                    <c:v>公务用车运行维护费</c:v>
                  </c:pt>
                </c:lvl>
                <c:lvl>
                  <c:pt idx="0">
                    <c:v>会议费</c:v>
                  </c:pt>
                  <c:pt idx="1">
                    <c:v>培训费</c:v>
                  </c:pt>
                  <c:pt idx="2">
                    <c:v>“三公”经费</c:v>
                  </c:pt>
                </c:lvl>
              </c:multiLvlStrCache>
            </c:multiLvlStrRef>
          </c:cat>
          <c:val>
            <c:numRef>
              <c:f>'[新建 XLSX 工作表.xlsx]Sheet1'!$I$8:$I$13</c:f>
              <c:numCache>
                <c:formatCode>General</c:formatCode>
                <c:ptCount val="6"/>
                <c:pt idx="0">
                  <c:v>5</c:v>
                </c:pt>
                <c:pt idx="1">
                  <c:v>4.12</c:v>
                </c:pt>
                <c:pt idx="2">
                  <c:v>0</c:v>
                </c:pt>
                <c:pt idx="3">
                  <c:v>0</c:v>
                </c:pt>
                <c:pt idx="4">
                  <c:v>0</c:v>
                </c:pt>
                <c:pt idx="5">
                  <c:v>10.5</c:v>
                </c:pt>
              </c:numCache>
            </c:numRef>
          </c:val>
        </c:ser>
        <c:dLbls>
          <c:showLegendKey val="0"/>
          <c:showVal val="1"/>
          <c:showCatName val="0"/>
          <c:showSerName val="0"/>
          <c:showPercent val="0"/>
          <c:showBubbleSize val="0"/>
          <c:showLeaderLines val="1"/>
        </c:dLbls>
        <c:gapWidth val="60"/>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10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50000"/>
            <a:lumOff val="50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1">
      <cs:styleClr val="auto"/>
    </cs:fillRef>
    <cs:effectRef idx="0"/>
    <cs:fontRef idx="minor">
      <a:schemeClr val="tx1"/>
    </cs:fontRef>
    <cs:spPr>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beijing</Company>
  <Pages>30</Pages>
  <Words>1440</Words>
  <Characters>8209</Characters>
  <Lines>68</Lines>
  <Paragraphs>19</Paragraphs>
  <TotalTime>165</TotalTime>
  <ScaleCrop>false</ScaleCrop>
  <LinksUpToDate>false</LinksUpToDate>
  <CharactersWithSpaces>9630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2024-01-30T17:03:00Z</dcterms:created>
  <dc:creator>home</dc:creator>
  <cp:lastModifiedBy>Administrator</cp:lastModifiedBy>
  <cp:lastPrinted>2024-03-05T06:40:20Z</cp:lastPrinted>
  <dcterms:modified xsi:type="dcterms:W3CDTF">2024-03-05T06:41:53Z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D5C3844B7B8A4087B50C4A95EAF2A5CD_13</vt:lpwstr>
  </property>
</Properties>
</file>