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40" w:lineRule="exact"/>
        <w:contextualSpacing/>
        <w:rPr>
          <w:rFonts w:ascii="宋体" w:hAnsi="宋体"/>
          <w:b/>
        </w:rPr>
      </w:pPr>
      <w:r>
        <w:rPr>
          <w:rFonts w:hint="eastAsia" w:ascii="黑体" w:eastAsia="黑体"/>
          <w:sz w:val="30"/>
          <w:szCs w:val="30"/>
        </w:rPr>
        <w:t>附件1</w:t>
      </w:r>
    </w:p>
    <w:p>
      <w:pPr>
        <w:spacing w:line="36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表一、</w:t>
      </w:r>
      <w:r>
        <w:rPr>
          <w:rFonts w:hint="eastAsia" w:ascii="仿宋_GB2312" w:hAnsi="CIDFont+F6" w:eastAsia="仿宋_GB2312"/>
          <w:color w:val="000000"/>
          <w:sz w:val="32"/>
          <w:szCs w:val="32"/>
        </w:rPr>
        <w:t>部门/单位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收支总体情况表</w:t>
      </w:r>
    </w:p>
    <w:p>
      <w:pPr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8"/>
        <w:tblW w:w="99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0"/>
        <w:gridCol w:w="1665"/>
        <w:gridCol w:w="3105"/>
        <w:gridCol w:w="2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7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     入</w:t>
            </w:r>
          </w:p>
        </w:tc>
        <w:tc>
          <w:tcPr>
            <w:tcW w:w="5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     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预算数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一、一般公共预算收入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520.64 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（一）一般公共服务支出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其中：经费拨款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520.64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（二）外交支出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非税收入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（三）国防支出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二、政府性基金收入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（四）公共安全支出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三、国有资本经营预算收入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（五）教育支出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四、教育专户收入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（六）科学技术支出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五、事业收入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1063.33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（七）文化旅游体育与传媒支出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六、上级补助收入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（八）社会保障和就业支出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27.29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七、附属单位上缴收入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（九）社会保险基金支出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八、经营收入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（十）卫生健康支出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1,542.22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九、其他收入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（十一）节能环保支出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十、债务转贷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（十二）城乡社区支出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（十三）农林水支出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（十四）交通运输支出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（十五）资源勘探工业信息等支出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（十六）商业服务业等支出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（十七）金融支出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（十八）援助其他地区支出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（十九）自然资源海洋气象等支出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（二十）住房保障支出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（二十一）粮油物资储备支出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（二十二）灾害防治及应急管理支出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（二十三）国有资本经营预算支出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（二十四）预备费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（二十五）其他支出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（二十六）转移性支出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（二十七）债务还本支出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（二十八）债务付息支出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（二十九）债务发行费用支出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本年收入合计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1589.97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本年支出合计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1,589.97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十、上年结转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结转下年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国有资本经营收入结转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十一、上年结余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一般公共预算收入结余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31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收入总计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1,589.97 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支出总计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1,589.97 </w:t>
            </w:r>
          </w:p>
        </w:tc>
      </w:tr>
    </w:tbl>
    <w:p>
      <w:pPr>
        <w:widowControl/>
        <w:spacing w:line="560" w:lineRule="exact"/>
        <w:jc w:val="left"/>
        <w:rPr>
          <w:rFonts w:ascii="仿宋_GB2312" w:hAnsi="微软雅黑" w:eastAsia="仿宋_GB2312"/>
          <w:sz w:val="18"/>
          <w:szCs w:val="18"/>
        </w:rPr>
        <w:sectPr>
          <w:footerReference r:id="rId3" w:type="default"/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微软雅黑" w:eastAsia="仿宋_GB2312"/>
          <w:sz w:val="18"/>
          <w:szCs w:val="18"/>
        </w:rPr>
        <w:t>备注：无内容应公开空表并说明情况。</w:t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表二、</w:t>
      </w:r>
      <w:r>
        <w:rPr>
          <w:rFonts w:hint="eastAsia" w:ascii="仿宋_GB2312" w:hAnsi="CIDFont+F6" w:eastAsia="仿宋_GB2312"/>
          <w:color w:val="000000"/>
          <w:sz w:val="32"/>
          <w:szCs w:val="32"/>
        </w:rPr>
        <w:t>部门/单位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收入总体情况表</w:t>
      </w:r>
    </w:p>
    <w:p>
      <w:pPr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8"/>
        <w:tblW w:w="95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2"/>
        <w:gridCol w:w="29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6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6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一、一般公共预算财政拨款收入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520.64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社会保障和就业支出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行政事业单位养老支出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事业单位离退休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机关事业单位基本养老保险缴费支出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Style w:val="24"/>
                <w:lang w:val="en-US" w:eastAsia="zh-CN" w:bidi="ar"/>
              </w:rPr>
              <w:t>卫生健康支出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472.89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基层医疗卫生机构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451.99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</w:t>
            </w:r>
            <w:r>
              <w:rPr>
                <w:rStyle w:val="25"/>
                <w:lang w:val="en-US" w:eastAsia="zh-CN" w:bidi="ar"/>
              </w:rPr>
              <w:t>城市社区卫生机构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451.99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</w:t>
            </w:r>
            <w:r>
              <w:rPr>
                <w:rStyle w:val="24"/>
                <w:lang w:val="en-US" w:eastAsia="zh-CN" w:bidi="ar"/>
              </w:rPr>
              <w:t>行政事业单位医疗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事业单位医疗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公务员医疗补助缴费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Style w:val="24"/>
                <w:lang w:val="en-US" w:eastAsia="zh-CN" w:bidi="ar"/>
              </w:rPr>
              <w:t>住房保障支出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</w:t>
            </w:r>
            <w:r>
              <w:rPr>
                <w:rStyle w:val="24"/>
                <w:lang w:val="en-US" w:eastAsia="zh-CN" w:bidi="ar"/>
              </w:rPr>
              <w:t>住房改革支出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住房公积金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二、政府性基金预算财政拨款收入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Style w:val="25"/>
                <w:lang w:val="en-US" w:eastAsia="zh-CN" w:bidi="ar"/>
              </w:rPr>
              <w:t xml:space="preserve">       ……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三、国有资本经营预算收入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Style w:val="25"/>
                <w:lang w:val="en-US" w:eastAsia="zh-CN" w:bidi="ar"/>
              </w:rPr>
              <w:t xml:space="preserve">       ……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四、教育专户核算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Style w:val="25"/>
                <w:lang w:val="en-US" w:eastAsia="zh-CN" w:bidi="ar"/>
              </w:rPr>
              <w:t xml:space="preserve">       ……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五、事业收入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城市社区卫生机构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cs="Arial"/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1063.33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六、上级补助收入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Style w:val="25"/>
                <w:lang w:val="en-US" w:eastAsia="zh-CN" w:bidi="ar"/>
              </w:rPr>
              <w:t xml:space="preserve">       ……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七、附属单位上缴收入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Style w:val="25"/>
                <w:lang w:val="en-US" w:eastAsia="zh-CN" w:bidi="ar"/>
              </w:rPr>
              <w:t xml:space="preserve">       ……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八、经营收入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Nimbus Roman No9 L" w:hAnsi="Nimbus Roman No9 L" w:eastAsia="Nimbus Roman No9 L" w:cs="Nimbus Roman No9 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Style w:val="25"/>
                <w:lang w:val="en-US" w:eastAsia="zh-CN" w:bidi="ar"/>
              </w:rPr>
              <w:t xml:space="preserve">       ……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九、其他收入</w:t>
            </w:r>
          </w:p>
        </w:tc>
        <w:tc>
          <w:tcPr>
            <w:tcW w:w="2976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宋体" w:hAnsi="宋体"/>
          <w:bCs/>
          <w:color w:val="000000"/>
          <w:sz w:val="18"/>
          <w:szCs w:val="18"/>
        </w:rPr>
      </w:pPr>
      <w:r>
        <w:rPr>
          <w:rFonts w:hint="eastAsia" w:ascii="宋体" w:hAnsi="宋体"/>
          <w:bCs/>
          <w:color w:val="000000"/>
          <w:sz w:val="18"/>
          <w:szCs w:val="18"/>
        </w:rPr>
        <w:t>备注：无内容应公开空表并说明情况。</w:t>
      </w:r>
    </w:p>
    <w:p>
      <w:pPr>
        <w:tabs>
          <w:tab w:val="left" w:pos="1272"/>
        </w:tabs>
        <w:rPr>
          <w:rFonts w:ascii="仿宋_GB2312" w:hAnsi="微软雅黑" w:eastAsia="仿宋_GB2312"/>
          <w:sz w:val="18"/>
          <w:szCs w:val="18"/>
        </w:r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tabs>
          <w:tab w:val="left" w:pos="1272"/>
        </w:tabs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表三、</w:t>
      </w:r>
      <w:r>
        <w:rPr>
          <w:rFonts w:hint="eastAsia" w:ascii="仿宋_GB2312" w:hAnsi="CIDFont+F6" w:eastAsia="仿宋_GB2312"/>
          <w:color w:val="000000"/>
          <w:sz w:val="32"/>
          <w:szCs w:val="32"/>
        </w:rPr>
        <w:t>部门/单位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支出总体情况表</w:t>
      </w:r>
    </w:p>
    <w:tbl>
      <w:tblPr>
        <w:tblStyle w:val="8"/>
        <w:tblpPr w:leftFromText="180" w:rightFromText="180" w:vertAnchor="text" w:horzAnchor="page" w:tblpX="1217" w:tblpY="298"/>
        <w:tblOverlap w:val="never"/>
        <w:tblW w:w="971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8"/>
        <w:gridCol w:w="1531"/>
        <w:gridCol w:w="1531"/>
        <w:gridCol w:w="1531"/>
        <w:gridCol w:w="15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</w:trPr>
        <w:tc>
          <w:tcPr>
            <w:tcW w:w="35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功能分类科目</w:t>
            </w:r>
          </w:p>
        </w:tc>
        <w:tc>
          <w:tcPr>
            <w:tcW w:w="1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支出合计</w:t>
            </w:r>
          </w:p>
        </w:tc>
        <w:tc>
          <w:tcPr>
            <w:tcW w:w="1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15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项目支出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上年结转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**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总计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1589.97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1589.97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社会保障和就业支出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27.29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27.29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行政事业单位养老支出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27.29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27.29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机关事业单位基本养老保险缴费支出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27.29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27.29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事业单位离退休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机关事业单位职业年金缴费支出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卫生健康支出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1542.22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1,542.22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基层卫生机构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1521.32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1,521.32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城市社区卫生机构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1521.32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1,521.32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top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35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功能分类科目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支出合计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项目支出</w:t>
            </w:r>
          </w:p>
        </w:tc>
        <w:tc>
          <w:tcPr>
            <w:tcW w:w="153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上年结转</w:t>
            </w:r>
          </w:p>
        </w:tc>
      </w:tr>
    </w:tbl>
    <w:p>
      <w:pPr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p>
      <w:pPr>
        <w:widowControl/>
        <w:spacing w:line="56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备注：无内容应公开空表并说明情况。</w:t>
      </w: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tabs>
          <w:tab w:val="left" w:pos="4056"/>
        </w:tabs>
        <w:rPr>
          <w:rFonts w:ascii="仿宋_GB2312" w:hAnsi="微软雅黑" w:eastAsia="仿宋_GB2312"/>
          <w:sz w:val="18"/>
          <w:szCs w:val="18"/>
        </w:r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tabs>
          <w:tab w:val="left" w:pos="4056"/>
        </w:tabs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表四、财政拨款收支总体情况表</w:t>
      </w:r>
    </w:p>
    <w:p>
      <w:pPr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8"/>
        <w:tblW w:w="980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5"/>
        <w:gridCol w:w="1363"/>
        <w:gridCol w:w="3882"/>
        <w:gridCol w:w="13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5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收      入</w:t>
            </w:r>
          </w:p>
        </w:tc>
        <w:tc>
          <w:tcPr>
            <w:tcW w:w="5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支      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一、本年收入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一、本年支出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（一）一般公共预算财政拨款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520.64</w:t>
            </w: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（一）一般公共服务支出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（二）政府性基金预算财政拨款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（二）外交支出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（三）国有资本经营预算财政拨款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（三）国防支出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（四）公共安全支出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（五）教育支出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（六）科学技术支出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（七）文化体育与传媒支出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（八）社会保障和就业支出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27.29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（九）社会保险基金支出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（十）卫生健康支出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472.89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（十一）节能环保支出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（十二）城乡社区支出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（十三）农林水支出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（十四）交通运输支出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（十五）资源勘探工业信息等支出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（十六）商业服务业等支出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（十七）金融支出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（十八）援助其他地区支出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（十九）自然资源海洋气象等支出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（二十）住房保障支出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tabs>
                <w:tab w:val="left" w:pos="328"/>
              </w:tabs>
              <w:jc w:val="left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ab/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20.46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（二十一）粮油物资储备支出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（二十二）国有资本经营预算支出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（二十三）灾害防治及应急管理支出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（二十四）预备费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（二十五）其他支出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（二十六）债务还本支出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（二十七）债务付息支出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（二十八）债务发行费用支出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（二十九）抗疫特别国债还本支出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19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收  入  总  计</w:t>
            </w:r>
          </w:p>
        </w:tc>
        <w:tc>
          <w:tcPr>
            <w:tcW w:w="13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520.64</w:t>
            </w:r>
          </w:p>
        </w:tc>
        <w:tc>
          <w:tcPr>
            <w:tcW w:w="38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支  出  总  计</w:t>
            </w: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520.64</w:t>
            </w: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宋体" w:hAnsi="宋体" w:cs="Arial"/>
          <w:bCs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bCs/>
          <w:color w:val="000000"/>
          <w:kern w:val="0"/>
          <w:sz w:val="18"/>
          <w:szCs w:val="18"/>
        </w:rPr>
        <w:t>备注：无内容应公开空表并说明情况。</w:t>
      </w: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tabs>
          <w:tab w:val="left" w:pos="2784"/>
        </w:tabs>
        <w:rPr>
          <w:rFonts w:ascii="仿宋_GB2312" w:hAnsi="微软雅黑" w:eastAsia="仿宋_GB2312"/>
          <w:sz w:val="18"/>
          <w:szCs w:val="18"/>
        </w:rPr>
      </w:pPr>
    </w:p>
    <w:p>
      <w:pPr>
        <w:tabs>
          <w:tab w:val="left" w:pos="2784"/>
        </w:tabs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表五、财政拨款支出表</w:t>
      </w:r>
    </w:p>
    <w:p>
      <w:pPr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8"/>
        <w:tblW w:w="150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1183"/>
        <w:gridCol w:w="728"/>
        <w:gridCol w:w="771"/>
        <w:gridCol w:w="962"/>
        <w:gridCol w:w="1150"/>
        <w:gridCol w:w="1050"/>
        <w:gridCol w:w="967"/>
        <w:gridCol w:w="933"/>
        <w:gridCol w:w="1000"/>
        <w:gridCol w:w="1084"/>
        <w:gridCol w:w="1083"/>
        <w:gridCol w:w="900"/>
        <w:gridCol w:w="900"/>
      </w:tblGrid>
      <w:tr>
        <w:trPr>
          <w:trHeight w:val="20" w:hRule="atLeast"/>
          <w:tblHeader/>
          <w:jc w:val="center"/>
        </w:trPr>
        <w:tc>
          <w:tcPr>
            <w:tcW w:w="23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24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一般公共预算收入</w:t>
            </w:r>
          </w:p>
        </w:tc>
        <w:tc>
          <w:tcPr>
            <w:tcW w:w="11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政府性基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金预算收入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国有资本经营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预算收入</w:t>
            </w: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财政专户收入</w:t>
            </w:r>
          </w:p>
        </w:tc>
        <w:tc>
          <w:tcPr>
            <w:tcW w:w="93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事业收入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上级补助收入</w:t>
            </w:r>
          </w:p>
        </w:tc>
        <w:tc>
          <w:tcPr>
            <w:tcW w:w="108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附属单位上缴收入</w:t>
            </w: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经营收入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其他收入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债务转贷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23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经费拨款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非税收入</w:t>
            </w:r>
          </w:p>
        </w:tc>
        <w:tc>
          <w:tcPr>
            <w:tcW w:w="11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23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部门合计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1,519.24 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520.64 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520.64 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992.60 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3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兰州新区西岔综合门诊部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1,519.24 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520.64 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520.64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992.60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3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  <w:vAlign w:val="center"/>
          </w:tcPr>
          <w:p>
            <w:pPr>
              <w:rPr>
                <w:rFonts w:ascii="宋体" w:hAnsi="宋体" w:cs="Arial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备注：无内容应公开空表并说明情况。</w:t>
      </w: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tabs>
          <w:tab w:val="left" w:pos="3936"/>
        </w:tabs>
        <w:rPr>
          <w:rFonts w:ascii="仿宋_GB2312" w:hAnsi="微软雅黑" w:eastAsia="仿宋_GB2312"/>
          <w:sz w:val="18"/>
          <w:szCs w:val="18"/>
        </w:r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tabs>
          <w:tab w:val="left" w:pos="3936"/>
        </w:tabs>
        <w:rPr>
          <w:rFonts w:ascii="仿宋_GB2312" w:hAnsi="微软雅黑" w:eastAsia="仿宋_GB2312"/>
          <w:sz w:val="18"/>
          <w:szCs w:val="18"/>
        </w:rPr>
        <w:sectPr>
          <w:pgSz w:w="16838" w:h="11906" w:orient="landscape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表六、一般公共预算支出情况表</w:t>
      </w:r>
    </w:p>
    <w:p>
      <w:pPr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8"/>
        <w:tblW w:w="144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5"/>
        <w:gridCol w:w="1065"/>
        <w:gridCol w:w="1066"/>
        <w:gridCol w:w="1025"/>
        <w:gridCol w:w="1066"/>
        <w:gridCol w:w="1066"/>
        <w:gridCol w:w="1025"/>
        <w:gridCol w:w="1066"/>
        <w:gridCol w:w="1066"/>
        <w:gridCol w:w="1025"/>
        <w:gridCol w:w="10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39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总计</w:t>
            </w: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一般公共预算支出</w:t>
            </w: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政府性基金预算支出</w:t>
            </w:r>
          </w:p>
        </w:tc>
        <w:tc>
          <w:tcPr>
            <w:tcW w:w="311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国有资本经营预算支出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39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项目支出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3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520.64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520.64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520.64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兰州新区西岔综合门诊部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520.64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520.64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520.64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90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FFFFFF" w:fill="FFFFFF"/>
            <w:noWrap/>
            <w:tcMar>
              <w:left w:w="0" w:type="dxa"/>
              <w:right w:w="28" w:type="dxa"/>
            </w:tcMar>
          </w:tcPr>
          <w:p>
            <w:pPr>
              <w:jc w:val="right"/>
              <w:rPr>
                <w:rFonts w:ascii="宋体" w:hAnsi="宋体" w:cs="Arial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备注：无内容应公开空表并说明情况。</w:t>
      </w: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tabs>
          <w:tab w:val="left" w:pos="2472"/>
        </w:tabs>
        <w:rPr>
          <w:rFonts w:ascii="仿宋_GB2312" w:hAnsi="微软雅黑" w:eastAsia="仿宋_GB2312"/>
          <w:sz w:val="18"/>
          <w:szCs w:val="18"/>
        </w:r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tabs>
          <w:tab w:val="left" w:pos="2472"/>
        </w:tabs>
        <w:rPr>
          <w:rFonts w:ascii="仿宋_GB2312" w:hAnsi="微软雅黑" w:eastAsia="仿宋_GB2312"/>
          <w:sz w:val="18"/>
          <w:szCs w:val="18"/>
        </w:rPr>
        <w:sectPr>
          <w:pgSz w:w="16838" w:h="11906" w:orient="landscape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表七、一般公共预算基本支出情况表</w:t>
      </w:r>
    </w:p>
    <w:p>
      <w:pPr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8"/>
        <w:tblW w:w="94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3881"/>
        <w:gridCol w:w="901"/>
        <w:gridCol w:w="1591"/>
        <w:gridCol w:w="17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功能分类科目</w:t>
            </w:r>
          </w:p>
        </w:tc>
        <w:tc>
          <w:tcPr>
            <w:tcW w:w="420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一般公共预算支出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13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3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13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520.64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520.64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3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一般公共预算支出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520.64 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520.64 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21003</w:t>
            </w:r>
          </w:p>
        </w:tc>
        <w:tc>
          <w:tcPr>
            <w:tcW w:w="3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基层医疗卫生机构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451.99 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451.99 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2100301</w:t>
            </w:r>
          </w:p>
        </w:tc>
        <w:tc>
          <w:tcPr>
            <w:tcW w:w="3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城市社区卫生机构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451.99 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451.99 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21011</w:t>
            </w:r>
          </w:p>
        </w:tc>
        <w:tc>
          <w:tcPr>
            <w:tcW w:w="3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20.90 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20.90 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2101102</w:t>
            </w:r>
          </w:p>
        </w:tc>
        <w:tc>
          <w:tcPr>
            <w:tcW w:w="3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事业单位医疗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14.24 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14.24 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2101103</w:t>
            </w:r>
          </w:p>
        </w:tc>
        <w:tc>
          <w:tcPr>
            <w:tcW w:w="3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公务员医疗补助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6.66 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6.66 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3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27.29 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27.29 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2080505</w:t>
            </w:r>
          </w:p>
        </w:tc>
        <w:tc>
          <w:tcPr>
            <w:tcW w:w="3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机关事业单位基本养老保险缴费支出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27.29 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27.29 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3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20.46 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20.46 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1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22102</w:t>
            </w:r>
          </w:p>
        </w:tc>
        <w:tc>
          <w:tcPr>
            <w:tcW w:w="3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住房改革支出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20.46 </w:t>
            </w:r>
          </w:p>
        </w:tc>
        <w:tc>
          <w:tcPr>
            <w:tcW w:w="15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20.46 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jc w:val="right"/>
              <w:rPr>
                <w:rFonts w:ascii="宋体" w:hAnsi="宋体"/>
                <w:b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备注：无内容应公开空表并说明情况。</w:t>
      </w: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tabs>
          <w:tab w:val="left" w:pos="1512"/>
        </w:tabs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ab/>
      </w:r>
    </w:p>
    <w:p>
      <w:pPr>
        <w:tabs>
          <w:tab w:val="left" w:pos="1512"/>
        </w:tabs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表八、一般公共预算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财政拨款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“三公”经费、会议费、培训费支出情况表</w:t>
      </w:r>
    </w:p>
    <w:p>
      <w:pPr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>单位：万元</w:t>
      </w:r>
    </w:p>
    <w:tbl>
      <w:tblPr>
        <w:tblStyle w:val="8"/>
        <w:tblW w:w="1445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5"/>
        <w:gridCol w:w="1358"/>
        <w:gridCol w:w="1361"/>
        <w:gridCol w:w="1361"/>
        <w:gridCol w:w="1361"/>
        <w:gridCol w:w="1362"/>
        <w:gridCol w:w="1265"/>
        <w:gridCol w:w="12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1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680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会议费</w:t>
            </w:r>
          </w:p>
        </w:tc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培训费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1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36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因公出国（境）费用</w:t>
            </w:r>
          </w:p>
        </w:tc>
        <w:tc>
          <w:tcPr>
            <w:tcW w:w="136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公务用车购置和运行费</w:t>
            </w:r>
          </w:p>
        </w:tc>
        <w:tc>
          <w:tcPr>
            <w:tcW w:w="12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5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1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12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5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3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6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1.46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兰州新区西岔综合门诊部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trHeight w:val="20" w:hRule="atLeast"/>
          <w:jc w:val="center"/>
        </w:trPr>
        <w:tc>
          <w:tcPr>
            <w:tcW w:w="51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CCCCFF" w:fill="FFFFFF"/>
            <w:noWrap/>
          </w:tcPr>
          <w:p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CCCCFF" w:fill="FFFFFF"/>
          </w:tcPr>
          <w:p>
            <w:pPr>
              <w:jc w:val="righ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备注：无内容应公开空表并说明情况。</w:t>
      </w: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rPr>
          <w:rFonts w:ascii="仿宋_GB2312" w:hAnsi="微软雅黑" w:eastAsia="仿宋_GB2312"/>
          <w:sz w:val="18"/>
          <w:szCs w:val="18"/>
        </w:rPr>
      </w:pPr>
    </w:p>
    <w:p>
      <w:pPr>
        <w:tabs>
          <w:tab w:val="left" w:pos="1812"/>
        </w:tabs>
        <w:rPr>
          <w:rFonts w:ascii="仿宋_GB2312" w:hAnsi="微软雅黑" w:eastAsia="仿宋_GB2312"/>
          <w:sz w:val="18"/>
          <w:szCs w:val="18"/>
        </w:r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tabs>
          <w:tab w:val="left" w:pos="1812"/>
        </w:tabs>
        <w:rPr>
          <w:rFonts w:ascii="仿宋_GB2312" w:hAnsi="微软雅黑" w:eastAsia="仿宋_GB2312"/>
          <w:sz w:val="18"/>
          <w:szCs w:val="18"/>
        </w:rPr>
        <w:sectPr>
          <w:pgSz w:w="16838" w:h="11906" w:orient="landscape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ascii="仿宋_GB2312" w:hAnsi="微软雅黑" w:eastAsia="仿宋_GB2312"/>
          <w:sz w:val="18"/>
          <w:szCs w:val="18"/>
        </w:rPr>
        <w:tab/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表九、一般公共预算财政拨款机关运行经费表</w:t>
      </w:r>
    </w:p>
    <w:p>
      <w:pPr>
        <w:wordWrap w:val="0"/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 xml:space="preserve">单位：万元 </w:t>
      </w:r>
    </w:p>
    <w:tbl>
      <w:tblPr>
        <w:tblStyle w:val="8"/>
        <w:tblW w:w="9411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121"/>
        <w:gridCol w:w="1814"/>
        <w:gridCol w:w="1814"/>
        <w:gridCol w:w="18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1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8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8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81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31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  <w:t>总计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[30201]办公费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[30202]印刷费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[30205]水费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[30206]电费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[30207]邮电费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[30208]取暖费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[30209]物业管理费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[30211]差旅费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[30213]维修（护）费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[30215]会议费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[30218]专用材料费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[30229]福利费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[30231]公务用车运行维护费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[30299]其他商品和服务支出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48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Cs/>
                <w:color w:val="000000"/>
                <w:kern w:val="0"/>
                <w:sz w:val="18"/>
                <w:szCs w:val="18"/>
              </w:rPr>
              <w:t>[31002]办公设备购置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微软雅黑" w:eastAsia="仿宋_GB2312"/>
          <w:sz w:val="18"/>
          <w:szCs w:val="18"/>
        </w:rPr>
        <w:t>备注：无内容应公开空表并说明情况。</w:t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表十、政府性基金预算支出情况表</w:t>
      </w:r>
    </w:p>
    <w:p>
      <w:pPr>
        <w:wordWrap w:val="0"/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 xml:space="preserve">单位：万元 </w:t>
      </w:r>
    </w:p>
    <w:tbl>
      <w:tblPr>
        <w:tblStyle w:val="8"/>
        <w:tblW w:w="9498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5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微软雅黑" w:eastAsia="仿宋_GB2312"/>
          <w:sz w:val="18"/>
          <w:szCs w:val="18"/>
        </w:rPr>
        <w:t>备注：无内容应公开空表并说明情况。</w:t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表十一、部门管理转移支付表</w:t>
      </w:r>
    </w:p>
    <w:p>
      <w:pPr>
        <w:wordWrap w:val="0"/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 xml:space="preserve">单位：万元 </w:t>
      </w:r>
    </w:p>
    <w:tbl>
      <w:tblPr>
        <w:tblStyle w:val="8"/>
        <w:tblW w:w="9526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2"/>
        <w:gridCol w:w="1361"/>
        <w:gridCol w:w="1361"/>
        <w:gridCol w:w="1361"/>
        <w:gridCol w:w="13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</w:trPr>
        <w:tc>
          <w:tcPr>
            <w:tcW w:w="40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3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3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一般公共预算项目支出</w:t>
            </w:r>
          </w:p>
        </w:tc>
        <w:tc>
          <w:tcPr>
            <w:tcW w:w="13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政府性基金预算项目支出</w:t>
            </w:r>
          </w:p>
        </w:tc>
        <w:tc>
          <w:tcPr>
            <w:tcW w:w="136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国有资本经营预算项目支出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</w:trPr>
        <w:tc>
          <w:tcPr>
            <w:tcW w:w="40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08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FFFFFF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ascii="仿宋_GB2312" w:hAnsi="微软雅黑" w:eastAsia="仿宋_GB2312"/>
          <w:sz w:val="18"/>
          <w:szCs w:val="18"/>
        </w:rPr>
      </w:pPr>
      <w:r>
        <w:rPr>
          <w:rFonts w:hint="eastAsia" w:ascii="仿宋_GB2312" w:hAnsi="微软雅黑" w:eastAsia="仿宋_GB2312"/>
          <w:sz w:val="18"/>
          <w:szCs w:val="18"/>
        </w:rPr>
        <w:t>备注：无内容应公开空表并说明情况。</w:t>
      </w:r>
    </w:p>
    <w:p>
      <w:pPr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微软雅黑" w:eastAsia="仿宋_GB2312"/>
          <w:sz w:val="18"/>
          <w:szCs w:val="18"/>
        </w:rPr>
        <w:br w:type="page"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表十二、国有资本经营预算支出情况表</w:t>
      </w:r>
    </w:p>
    <w:p>
      <w:pPr>
        <w:wordWrap w:val="0"/>
        <w:jc w:val="right"/>
        <w:rPr>
          <w:rFonts w:ascii="宋体" w:hAnsi="宋体" w:cs="Arial"/>
          <w:color w:val="000000"/>
          <w:kern w:val="0"/>
          <w:sz w:val="18"/>
          <w:szCs w:val="18"/>
        </w:rPr>
      </w:pPr>
      <w:r>
        <w:rPr>
          <w:rFonts w:hint="eastAsia" w:ascii="宋体" w:hAnsi="宋体" w:cs="Arial"/>
          <w:color w:val="000000"/>
          <w:kern w:val="0"/>
          <w:sz w:val="18"/>
          <w:szCs w:val="18"/>
        </w:rPr>
        <w:t xml:space="preserve">单位：万元 </w:t>
      </w:r>
    </w:p>
    <w:tbl>
      <w:tblPr>
        <w:tblStyle w:val="8"/>
        <w:tblW w:w="9498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5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总计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6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560" w:lineRule="exact"/>
        <w:ind w:firstLine="360" w:firstLineChars="200"/>
        <w:jc w:val="left"/>
        <w:rPr>
          <w:rFonts w:hint="eastAsia" w:ascii="仿宋_GB2312" w:hAnsi="微软雅黑" w:eastAsia="仿宋_GB2312"/>
          <w:sz w:val="18"/>
          <w:szCs w:val="18"/>
        </w:rPr>
      </w:pPr>
      <w:r>
        <w:rPr>
          <w:rFonts w:hint="eastAsia" w:ascii="仿宋_GB2312" w:hAnsi="微软雅黑" w:eastAsia="仿宋_GB2312"/>
          <w:sz w:val="18"/>
          <w:szCs w:val="18"/>
        </w:rPr>
        <w:t>备注：无内容应公开空表并说明情况。</w:t>
      </w:r>
    </w:p>
    <w:p>
      <w:pPr>
        <w:widowControl/>
        <w:spacing w:line="560" w:lineRule="exact"/>
        <w:ind w:firstLine="360" w:firstLineChars="200"/>
        <w:jc w:val="left"/>
        <w:rPr>
          <w:rFonts w:hint="eastAsia" w:ascii="仿宋_GB2312" w:hAnsi="微软雅黑" w:eastAsia="仿宋_GB2312"/>
          <w:sz w:val="18"/>
          <w:szCs w:val="18"/>
        </w:rPr>
      </w:pPr>
    </w:p>
    <w:p>
      <w:pPr>
        <w:widowControl/>
        <w:spacing w:line="560" w:lineRule="exact"/>
        <w:ind w:firstLine="360" w:firstLineChars="200"/>
        <w:jc w:val="left"/>
        <w:rPr>
          <w:rFonts w:hint="eastAsia" w:ascii="仿宋_GB2312" w:hAnsi="微软雅黑" w:eastAsia="仿宋_GB2312"/>
          <w:sz w:val="18"/>
          <w:szCs w:val="18"/>
        </w:rPr>
      </w:pPr>
    </w:p>
    <w:p>
      <w:pPr>
        <w:widowControl/>
        <w:spacing w:line="560" w:lineRule="exact"/>
        <w:ind w:firstLine="360" w:firstLineChars="200"/>
        <w:jc w:val="left"/>
        <w:rPr>
          <w:rFonts w:hint="eastAsia" w:ascii="仿宋_GB2312" w:hAnsi="微软雅黑" w:eastAsia="仿宋_GB2312"/>
          <w:sz w:val="18"/>
          <w:szCs w:val="18"/>
        </w:rPr>
      </w:pPr>
    </w:p>
    <w:p>
      <w:pPr>
        <w:widowControl/>
        <w:spacing w:line="560" w:lineRule="exact"/>
        <w:ind w:firstLine="360" w:firstLineChars="200"/>
        <w:jc w:val="left"/>
        <w:rPr>
          <w:rFonts w:hint="eastAsia" w:ascii="仿宋_GB2312" w:hAnsi="微软雅黑" w:eastAsia="仿宋_GB2312"/>
          <w:sz w:val="18"/>
          <w:szCs w:val="18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1848"/>
        </w:tabs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-BoldMT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IDFont+F6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IDFont+F4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27</w: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OGRmMmJmMjg2NTNjMmY5ODk5NjlmYmUyOGYxNTQifQ=="/>
  </w:docVars>
  <w:rsids>
    <w:rsidRoot w:val="00FB4362"/>
    <w:rsid w:val="00000C55"/>
    <w:rsid w:val="00001446"/>
    <w:rsid w:val="0001130C"/>
    <w:rsid w:val="00011F27"/>
    <w:rsid w:val="00012457"/>
    <w:rsid w:val="00021BBF"/>
    <w:rsid w:val="00030443"/>
    <w:rsid w:val="00030F4C"/>
    <w:rsid w:val="0003278A"/>
    <w:rsid w:val="000368FE"/>
    <w:rsid w:val="00042A06"/>
    <w:rsid w:val="00043601"/>
    <w:rsid w:val="000442B5"/>
    <w:rsid w:val="0004639D"/>
    <w:rsid w:val="000465E2"/>
    <w:rsid w:val="0005161F"/>
    <w:rsid w:val="000547D1"/>
    <w:rsid w:val="00055759"/>
    <w:rsid w:val="000612EE"/>
    <w:rsid w:val="00061BAF"/>
    <w:rsid w:val="0006337D"/>
    <w:rsid w:val="00074626"/>
    <w:rsid w:val="00076B62"/>
    <w:rsid w:val="00082093"/>
    <w:rsid w:val="000861D5"/>
    <w:rsid w:val="0009273A"/>
    <w:rsid w:val="000A20A7"/>
    <w:rsid w:val="000A655B"/>
    <w:rsid w:val="000B54DD"/>
    <w:rsid w:val="000C2055"/>
    <w:rsid w:val="000C2B7F"/>
    <w:rsid w:val="000C37BE"/>
    <w:rsid w:val="000C4C50"/>
    <w:rsid w:val="000D0130"/>
    <w:rsid w:val="000D2EEE"/>
    <w:rsid w:val="000D2F19"/>
    <w:rsid w:val="000E0CEA"/>
    <w:rsid w:val="000F3CBF"/>
    <w:rsid w:val="000F3F42"/>
    <w:rsid w:val="000F473D"/>
    <w:rsid w:val="001017F3"/>
    <w:rsid w:val="0011297B"/>
    <w:rsid w:val="00123768"/>
    <w:rsid w:val="00126B08"/>
    <w:rsid w:val="001272E5"/>
    <w:rsid w:val="00127D01"/>
    <w:rsid w:val="00130F5F"/>
    <w:rsid w:val="001374F5"/>
    <w:rsid w:val="00152FDC"/>
    <w:rsid w:val="001561FD"/>
    <w:rsid w:val="0015647B"/>
    <w:rsid w:val="00156619"/>
    <w:rsid w:val="00156C8B"/>
    <w:rsid w:val="00160A8C"/>
    <w:rsid w:val="001700B4"/>
    <w:rsid w:val="00171070"/>
    <w:rsid w:val="001A416A"/>
    <w:rsid w:val="001A6118"/>
    <w:rsid w:val="001B0364"/>
    <w:rsid w:val="001B0B8E"/>
    <w:rsid w:val="001B342F"/>
    <w:rsid w:val="001C1259"/>
    <w:rsid w:val="001D1DA7"/>
    <w:rsid w:val="001E17E4"/>
    <w:rsid w:val="001E2410"/>
    <w:rsid w:val="001E347C"/>
    <w:rsid w:val="001E6110"/>
    <w:rsid w:val="001F3C4D"/>
    <w:rsid w:val="002033EA"/>
    <w:rsid w:val="00214046"/>
    <w:rsid w:val="0022561F"/>
    <w:rsid w:val="00232DBE"/>
    <w:rsid w:val="002355E7"/>
    <w:rsid w:val="00235F73"/>
    <w:rsid w:val="0023681E"/>
    <w:rsid w:val="00241FEC"/>
    <w:rsid w:val="00243562"/>
    <w:rsid w:val="0025164A"/>
    <w:rsid w:val="00265C3D"/>
    <w:rsid w:val="00266C2E"/>
    <w:rsid w:val="00270DF8"/>
    <w:rsid w:val="002754B3"/>
    <w:rsid w:val="0028392B"/>
    <w:rsid w:val="002934F2"/>
    <w:rsid w:val="002A3A19"/>
    <w:rsid w:val="002A3ED4"/>
    <w:rsid w:val="002A7274"/>
    <w:rsid w:val="002B2833"/>
    <w:rsid w:val="002B7BA1"/>
    <w:rsid w:val="002C01BB"/>
    <w:rsid w:val="002C3FA4"/>
    <w:rsid w:val="002E2161"/>
    <w:rsid w:val="002E30F2"/>
    <w:rsid w:val="002E4E72"/>
    <w:rsid w:val="002F0CE0"/>
    <w:rsid w:val="002F4ED9"/>
    <w:rsid w:val="002F75FE"/>
    <w:rsid w:val="002F7FA5"/>
    <w:rsid w:val="003017F4"/>
    <w:rsid w:val="00301AAB"/>
    <w:rsid w:val="00306B68"/>
    <w:rsid w:val="003129FE"/>
    <w:rsid w:val="003322AC"/>
    <w:rsid w:val="00335342"/>
    <w:rsid w:val="00343A8E"/>
    <w:rsid w:val="00345713"/>
    <w:rsid w:val="003566B9"/>
    <w:rsid w:val="00356C98"/>
    <w:rsid w:val="0036367B"/>
    <w:rsid w:val="0036496C"/>
    <w:rsid w:val="00365414"/>
    <w:rsid w:val="00372734"/>
    <w:rsid w:val="00372A33"/>
    <w:rsid w:val="0037374A"/>
    <w:rsid w:val="00377A88"/>
    <w:rsid w:val="00392E2B"/>
    <w:rsid w:val="003A396F"/>
    <w:rsid w:val="003A68FD"/>
    <w:rsid w:val="003A7A18"/>
    <w:rsid w:val="003B3187"/>
    <w:rsid w:val="003B327A"/>
    <w:rsid w:val="003B4612"/>
    <w:rsid w:val="003B76D2"/>
    <w:rsid w:val="003D6D41"/>
    <w:rsid w:val="003E3B0A"/>
    <w:rsid w:val="0040581D"/>
    <w:rsid w:val="00417BF3"/>
    <w:rsid w:val="00425D21"/>
    <w:rsid w:val="00426463"/>
    <w:rsid w:val="00427875"/>
    <w:rsid w:val="004317A0"/>
    <w:rsid w:val="0043556D"/>
    <w:rsid w:val="0043739B"/>
    <w:rsid w:val="00441579"/>
    <w:rsid w:val="004418B5"/>
    <w:rsid w:val="00445789"/>
    <w:rsid w:val="00463FB8"/>
    <w:rsid w:val="00480A2F"/>
    <w:rsid w:val="00480B47"/>
    <w:rsid w:val="00481F19"/>
    <w:rsid w:val="00487BC0"/>
    <w:rsid w:val="00490FF8"/>
    <w:rsid w:val="004A1851"/>
    <w:rsid w:val="004B337A"/>
    <w:rsid w:val="004B5538"/>
    <w:rsid w:val="004C3127"/>
    <w:rsid w:val="004D27C3"/>
    <w:rsid w:val="004D44D2"/>
    <w:rsid w:val="004D491E"/>
    <w:rsid w:val="004E3E51"/>
    <w:rsid w:val="004E625A"/>
    <w:rsid w:val="004F73BD"/>
    <w:rsid w:val="00502474"/>
    <w:rsid w:val="00515110"/>
    <w:rsid w:val="00523062"/>
    <w:rsid w:val="00532434"/>
    <w:rsid w:val="00537019"/>
    <w:rsid w:val="0054271B"/>
    <w:rsid w:val="00545281"/>
    <w:rsid w:val="00551A39"/>
    <w:rsid w:val="00566585"/>
    <w:rsid w:val="00580A2F"/>
    <w:rsid w:val="005A2CB7"/>
    <w:rsid w:val="005B15C7"/>
    <w:rsid w:val="005B51EA"/>
    <w:rsid w:val="005C6B92"/>
    <w:rsid w:val="005F4CC9"/>
    <w:rsid w:val="0060056E"/>
    <w:rsid w:val="006039C9"/>
    <w:rsid w:val="00605602"/>
    <w:rsid w:val="00605D22"/>
    <w:rsid w:val="00620A03"/>
    <w:rsid w:val="00621126"/>
    <w:rsid w:val="0062145A"/>
    <w:rsid w:val="00633C60"/>
    <w:rsid w:val="00645C9F"/>
    <w:rsid w:val="00650775"/>
    <w:rsid w:val="0065388D"/>
    <w:rsid w:val="00655506"/>
    <w:rsid w:val="00674396"/>
    <w:rsid w:val="006849AD"/>
    <w:rsid w:val="006853A7"/>
    <w:rsid w:val="0069507F"/>
    <w:rsid w:val="006955DD"/>
    <w:rsid w:val="00697A98"/>
    <w:rsid w:val="006A0492"/>
    <w:rsid w:val="006A3DED"/>
    <w:rsid w:val="006A6E23"/>
    <w:rsid w:val="006B05FF"/>
    <w:rsid w:val="006C4D2E"/>
    <w:rsid w:val="006D3D60"/>
    <w:rsid w:val="006E1F9C"/>
    <w:rsid w:val="006E4A2C"/>
    <w:rsid w:val="006E721A"/>
    <w:rsid w:val="006F0E11"/>
    <w:rsid w:val="006F40C8"/>
    <w:rsid w:val="00700872"/>
    <w:rsid w:val="00706BB4"/>
    <w:rsid w:val="00714029"/>
    <w:rsid w:val="007203B6"/>
    <w:rsid w:val="007222C1"/>
    <w:rsid w:val="00725205"/>
    <w:rsid w:val="0074091B"/>
    <w:rsid w:val="00740927"/>
    <w:rsid w:val="00744302"/>
    <w:rsid w:val="00747C60"/>
    <w:rsid w:val="007732EA"/>
    <w:rsid w:val="00777EA3"/>
    <w:rsid w:val="007933F9"/>
    <w:rsid w:val="00793C7B"/>
    <w:rsid w:val="007954B6"/>
    <w:rsid w:val="007A5E22"/>
    <w:rsid w:val="007B3768"/>
    <w:rsid w:val="007B5395"/>
    <w:rsid w:val="007C38FB"/>
    <w:rsid w:val="007C6434"/>
    <w:rsid w:val="007D4E4C"/>
    <w:rsid w:val="007D5F13"/>
    <w:rsid w:val="007D69F8"/>
    <w:rsid w:val="007E4819"/>
    <w:rsid w:val="007E4E03"/>
    <w:rsid w:val="007E7289"/>
    <w:rsid w:val="00805F3F"/>
    <w:rsid w:val="00817A5D"/>
    <w:rsid w:val="00821209"/>
    <w:rsid w:val="00821491"/>
    <w:rsid w:val="00831411"/>
    <w:rsid w:val="00842536"/>
    <w:rsid w:val="00843692"/>
    <w:rsid w:val="0085135B"/>
    <w:rsid w:val="0085287C"/>
    <w:rsid w:val="008559B6"/>
    <w:rsid w:val="008559FD"/>
    <w:rsid w:val="00855E65"/>
    <w:rsid w:val="0085612E"/>
    <w:rsid w:val="00880868"/>
    <w:rsid w:val="00880D30"/>
    <w:rsid w:val="008811AD"/>
    <w:rsid w:val="008812FA"/>
    <w:rsid w:val="008B222B"/>
    <w:rsid w:val="008C138F"/>
    <w:rsid w:val="008C204C"/>
    <w:rsid w:val="008C2625"/>
    <w:rsid w:val="008C4FE2"/>
    <w:rsid w:val="008D4D6A"/>
    <w:rsid w:val="008F7014"/>
    <w:rsid w:val="009049E9"/>
    <w:rsid w:val="00907F9B"/>
    <w:rsid w:val="00911503"/>
    <w:rsid w:val="00917C2D"/>
    <w:rsid w:val="009209B6"/>
    <w:rsid w:val="00923CB4"/>
    <w:rsid w:val="009335E0"/>
    <w:rsid w:val="00941732"/>
    <w:rsid w:val="009510F3"/>
    <w:rsid w:val="00954018"/>
    <w:rsid w:val="00955590"/>
    <w:rsid w:val="00970435"/>
    <w:rsid w:val="009704EC"/>
    <w:rsid w:val="00971619"/>
    <w:rsid w:val="00982EAB"/>
    <w:rsid w:val="0098505E"/>
    <w:rsid w:val="00991480"/>
    <w:rsid w:val="009945A7"/>
    <w:rsid w:val="00995E63"/>
    <w:rsid w:val="0099643D"/>
    <w:rsid w:val="009969DC"/>
    <w:rsid w:val="00996BA5"/>
    <w:rsid w:val="009A0F79"/>
    <w:rsid w:val="009A3C75"/>
    <w:rsid w:val="009B03F2"/>
    <w:rsid w:val="009C4EE2"/>
    <w:rsid w:val="009D46B1"/>
    <w:rsid w:val="009E7F6E"/>
    <w:rsid w:val="009F2B6A"/>
    <w:rsid w:val="009F5541"/>
    <w:rsid w:val="00A01204"/>
    <w:rsid w:val="00A022BA"/>
    <w:rsid w:val="00A256AC"/>
    <w:rsid w:val="00A32BE3"/>
    <w:rsid w:val="00A4207A"/>
    <w:rsid w:val="00A5653E"/>
    <w:rsid w:val="00A63533"/>
    <w:rsid w:val="00A641FB"/>
    <w:rsid w:val="00A723C4"/>
    <w:rsid w:val="00A72D2B"/>
    <w:rsid w:val="00A820E9"/>
    <w:rsid w:val="00A82942"/>
    <w:rsid w:val="00A83E24"/>
    <w:rsid w:val="00AA20F8"/>
    <w:rsid w:val="00AA327B"/>
    <w:rsid w:val="00AA55AF"/>
    <w:rsid w:val="00AB19A5"/>
    <w:rsid w:val="00AC2FD6"/>
    <w:rsid w:val="00AC78FC"/>
    <w:rsid w:val="00AD4CFE"/>
    <w:rsid w:val="00AE79BA"/>
    <w:rsid w:val="00AF350E"/>
    <w:rsid w:val="00AF3D8F"/>
    <w:rsid w:val="00AF5273"/>
    <w:rsid w:val="00AF5D3D"/>
    <w:rsid w:val="00B0671C"/>
    <w:rsid w:val="00B13495"/>
    <w:rsid w:val="00B262DD"/>
    <w:rsid w:val="00B278DE"/>
    <w:rsid w:val="00B30287"/>
    <w:rsid w:val="00B30EBD"/>
    <w:rsid w:val="00B351C3"/>
    <w:rsid w:val="00B36AC9"/>
    <w:rsid w:val="00B36E7A"/>
    <w:rsid w:val="00B542CD"/>
    <w:rsid w:val="00B6465B"/>
    <w:rsid w:val="00B772D7"/>
    <w:rsid w:val="00B85451"/>
    <w:rsid w:val="00B86006"/>
    <w:rsid w:val="00B86D86"/>
    <w:rsid w:val="00BA2A96"/>
    <w:rsid w:val="00BA5FE5"/>
    <w:rsid w:val="00BC1FD9"/>
    <w:rsid w:val="00BC30FF"/>
    <w:rsid w:val="00BC500D"/>
    <w:rsid w:val="00BD7FD7"/>
    <w:rsid w:val="00BF1606"/>
    <w:rsid w:val="00BF1647"/>
    <w:rsid w:val="00BF5A25"/>
    <w:rsid w:val="00C06428"/>
    <w:rsid w:val="00C11347"/>
    <w:rsid w:val="00C35018"/>
    <w:rsid w:val="00C40A34"/>
    <w:rsid w:val="00C4484E"/>
    <w:rsid w:val="00C46F7C"/>
    <w:rsid w:val="00C519B5"/>
    <w:rsid w:val="00C55EDB"/>
    <w:rsid w:val="00C573E9"/>
    <w:rsid w:val="00C729DA"/>
    <w:rsid w:val="00C764B7"/>
    <w:rsid w:val="00C90B56"/>
    <w:rsid w:val="00CA3F25"/>
    <w:rsid w:val="00CB5B9D"/>
    <w:rsid w:val="00CB6428"/>
    <w:rsid w:val="00CC01A5"/>
    <w:rsid w:val="00CC2134"/>
    <w:rsid w:val="00CD255A"/>
    <w:rsid w:val="00D126EC"/>
    <w:rsid w:val="00D14955"/>
    <w:rsid w:val="00D24CD6"/>
    <w:rsid w:val="00D24FA6"/>
    <w:rsid w:val="00D544D2"/>
    <w:rsid w:val="00D660F8"/>
    <w:rsid w:val="00D744C5"/>
    <w:rsid w:val="00D827AF"/>
    <w:rsid w:val="00D8451F"/>
    <w:rsid w:val="00D8474D"/>
    <w:rsid w:val="00D84D5B"/>
    <w:rsid w:val="00D86771"/>
    <w:rsid w:val="00D90C73"/>
    <w:rsid w:val="00D90F17"/>
    <w:rsid w:val="00D9480E"/>
    <w:rsid w:val="00D94FFD"/>
    <w:rsid w:val="00DA7038"/>
    <w:rsid w:val="00DB4AF2"/>
    <w:rsid w:val="00DB572A"/>
    <w:rsid w:val="00DC14B3"/>
    <w:rsid w:val="00DC399C"/>
    <w:rsid w:val="00DC7D6D"/>
    <w:rsid w:val="00DD2999"/>
    <w:rsid w:val="00DD2B43"/>
    <w:rsid w:val="00DD2CF8"/>
    <w:rsid w:val="00DD5C58"/>
    <w:rsid w:val="00DE240B"/>
    <w:rsid w:val="00DE529C"/>
    <w:rsid w:val="00DE6D9E"/>
    <w:rsid w:val="00DF3482"/>
    <w:rsid w:val="00DF450F"/>
    <w:rsid w:val="00E04A58"/>
    <w:rsid w:val="00E07425"/>
    <w:rsid w:val="00E07A05"/>
    <w:rsid w:val="00E16025"/>
    <w:rsid w:val="00E167FD"/>
    <w:rsid w:val="00E16F50"/>
    <w:rsid w:val="00E24179"/>
    <w:rsid w:val="00E31783"/>
    <w:rsid w:val="00E36636"/>
    <w:rsid w:val="00E43A34"/>
    <w:rsid w:val="00E44D37"/>
    <w:rsid w:val="00E52850"/>
    <w:rsid w:val="00E609A5"/>
    <w:rsid w:val="00E61928"/>
    <w:rsid w:val="00E656D2"/>
    <w:rsid w:val="00E7276C"/>
    <w:rsid w:val="00E80370"/>
    <w:rsid w:val="00E84382"/>
    <w:rsid w:val="00E9180B"/>
    <w:rsid w:val="00EA0646"/>
    <w:rsid w:val="00EA2BA4"/>
    <w:rsid w:val="00EA3103"/>
    <w:rsid w:val="00EB15C1"/>
    <w:rsid w:val="00EC325A"/>
    <w:rsid w:val="00EC3A8E"/>
    <w:rsid w:val="00EC57F0"/>
    <w:rsid w:val="00ED68AF"/>
    <w:rsid w:val="00EF2E7C"/>
    <w:rsid w:val="00F01A6E"/>
    <w:rsid w:val="00F11811"/>
    <w:rsid w:val="00F20178"/>
    <w:rsid w:val="00F23C6C"/>
    <w:rsid w:val="00F24BC8"/>
    <w:rsid w:val="00F25045"/>
    <w:rsid w:val="00F30F3E"/>
    <w:rsid w:val="00F32002"/>
    <w:rsid w:val="00F4605D"/>
    <w:rsid w:val="00F51EF5"/>
    <w:rsid w:val="00F74928"/>
    <w:rsid w:val="00F8197E"/>
    <w:rsid w:val="00F833B1"/>
    <w:rsid w:val="00F87D90"/>
    <w:rsid w:val="00F90495"/>
    <w:rsid w:val="00FA4179"/>
    <w:rsid w:val="00FB4362"/>
    <w:rsid w:val="00FB53A1"/>
    <w:rsid w:val="00FD30CF"/>
    <w:rsid w:val="00FE0E46"/>
    <w:rsid w:val="00FF0AEC"/>
    <w:rsid w:val="00FF1DF4"/>
    <w:rsid w:val="00FF4165"/>
    <w:rsid w:val="01DB6127"/>
    <w:rsid w:val="0295277A"/>
    <w:rsid w:val="06085010"/>
    <w:rsid w:val="06636682"/>
    <w:rsid w:val="07D93108"/>
    <w:rsid w:val="0DC108C7"/>
    <w:rsid w:val="10D4446D"/>
    <w:rsid w:val="113741D2"/>
    <w:rsid w:val="11AC0F5B"/>
    <w:rsid w:val="19BC1F42"/>
    <w:rsid w:val="1D34261E"/>
    <w:rsid w:val="1F9A66E1"/>
    <w:rsid w:val="22EF3388"/>
    <w:rsid w:val="23612324"/>
    <w:rsid w:val="25496D80"/>
    <w:rsid w:val="256C2A6E"/>
    <w:rsid w:val="289522DC"/>
    <w:rsid w:val="29CE1F49"/>
    <w:rsid w:val="31ED3189"/>
    <w:rsid w:val="344C063B"/>
    <w:rsid w:val="38B52C4D"/>
    <w:rsid w:val="3EF43DA9"/>
    <w:rsid w:val="409C46F8"/>
    <w:rsid w:val="420F4A55"/>
    <w:rsid w:val="4BBF129A"/>
    <w:rsid w:val="4C5C289C"/>
    <w:rsid w:val="4E4B5067"/>
    <w:rsid w:val="505563DC"/>
    <w:rsid w:val="52271947"/>
    <w:rsid w:val="527E074E"/>
    <w:rsid w:val="5511700B"/>
    <w:rsid w:val="553630E0"/>
    <w:rsid w:val="57483C61"/>
    <w:rsid w:val="579503FF"/>
    <w:rsid w:val="59633BAD"/>
    <w:rsid w:val="5E4755EA"/>
    <w:rsid w:val="5F26177B"/>
    <w:rsid w:val="60011A2A"/>
    <w:rsid w:val="6023392A"/>
    <w:rsid w:val="60535296"/>
    <w:rsid w:val="623A7E5F"/>
    <w:rsid w:val="681F1E72"/>
    <w:rsid w:val="6A3C022E"/>
    <w:rsid w:val="6D205BE5"/>
    <w:rsid w:val="72FD2525"/>
    <w:rsid w:val="755C3532"/>
    <w:rsid w:val="77DB72D8"/>
    <w:rsid w:val="77FBD58C"/>
    <w:rsid w:val="7F0F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autoRedefine/>
    <w:qFormat/>
    <w:uiPriority w:val="0"/>
    <w:pPr>
      <w:jc w:val="left"/>
    </w:pPr>
  </w:style>
  <w:style w:type="paragraph" w:styleId="4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5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9"/>
    <w:autoRedefine/>
    <w:qFormat/>
    <w:uiPriority w:val="0"/>
    <w:rPr>
      <w:b/>
      <w:bCs/>
    </w:rPr>
  </w:style>
  <w:style w:type="character" w:styleId="10">
    <w:name w:val="line number"/>
    <w:autoRedefine/>
    <w:qFormat/>
    <w:uiPriority w:val="0"/>
  </w:style>
  <w:style w:type="character" w:styleId="11">
    <w:name w:val="annotation reference"/>
    <w:autoRedefine/>
    <w:qFormat/>
    <w:uiPriority w:val="0"/>
    <w:rPr>
      <w:sz w:val="21"/>
      <w:szCs w:val="21"/>
    </w:rPr>
  </w:style>
  <w:style w:type="character" w:customStyle="1" w:styleId="12">
    <w:name w:val="页脚 Char"/>
    <w:link w:val="5"/>
    <w:autoRedefine/>
    <w:qFormat/>
    <w:uiPriority w:val="0"/>
    <w:rPr>
      <w:sz w:val="18"/>
      <w:szCs w:val="18"/>
    </w:rPr>
  </w:style>
  <w:style w:type="character" w:customStyle="1" w:styleId="13">
    <w:name w:val="页眉 Char"/>
    <w:link w:val="6"/>
    <w:autoRedefine/>
    <w:qFormat/>
    <w:uiPriority w:val="0"/>
    <w:rPr>
      <w:sz w:val="18"/>
      <w:szCs w:val="18"/>
    </w:rPr>
  </w:style>
  <w:style w:type="paragraph" w:styleId="14">
    <w:name w:val="List Paragraph"/>
    <w:basedOn w:val="1"/>
    <w:autoRedefine/>
    <w:qFormat/>
    <w:uiPriority w:val="0"/>
    <w:pPr>
      <w:ind w:firstLine="420" w:firstLineChars="200"/>
    </w:pPr>
  </w:style>
  <w:style w:type="character" w:customStyle="1" w:styleId="15">
    <w:name w:val="批注框文本 Char"/>
    <w:link w:val="4"/>
    <w:autoRedefine/>
    <w:qFormat/>
    <w:uiPriority w:val="0"/>
    <w:rPr>
      <w:kern w:val="2"/>
      <w:sz w:val="18"/>
      <w:szCs w:val="18"/>
    </w:rPr>
  </w:style>
  <w:style w:type="character" w:customStyle="1" w:styleId="16">
    <w:name w:val="标题 1 Char"/>
    <w:link w:val="2"/>
    <w:autoRedefine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paragraph" w:customStyle="1" w:styleId="17">
    <w:name w:val="TOC Heading"/>
    <w:basedOn w:val="2"/>
    <w:next w:val="1"/>
    <w:autoRedefine/>
    <w:qFormat/>
    <w:uiPriority w:val="0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18">
    <w:name w:val="批注文字 Char"/>
    <w:link w:val="3"/>
    <w:autoRedefine/>
    <w:qFormat/>
    <w:uiPriority w:val="0"/>
    <w:rPr>
      <w:kern w:val="2"/>
      <w:sz w:val="21"/>
      <w:szCs w:val="22"/>
    </w:rPr>
  </w:style>
  <w:style w:type="character" w:customStyle="1" w:styleId="19">
    <w:name w:val="批注主题 Char"/>
    <w:link w:val="7"/>
    <w:autoRedefine/>
    <w:qFormat/>
    <w:uiPriority w:val="0"/>
    <w:rPr>
      <w:b/>
      <w:bCs/>
      <w:kern w:val="2"/>
      <w:sz w:val="21"/>
      <w:szCs w:val="22"/>
    </w:rPr>
  </w:style>
  <w:style w:type="character" w:customStyle="1" w:styleId="20">
    <w:name w:val="fontstyle01"/>
    <w:autoRedefine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21">
    <w:name w:val="fontstyle21"/>
    <w:autoRedefine/>
    <w:qFormat/>
    <w:uiPriority w:val="0"/>
    <w:rPr>
      <w:rFonts w:hint="default" w:ascii="TimesNewRomanPSMT" w:hAnsi="TimesNewRomanPSMT"/>
      <w:color w:val="000000"/>
      <w:sz w:val="32"/>
      <w:szCs w:val="32"/>
    </w:rPr>
  </w:style>
  <w:style w:type="character" w:customStyle="1" w:styleId="22">
    <w:name w:val="fontstyle11"/>
    <w:autoRedefine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23">
    <w:name w:val="fontstyle31"/>
    <w:autoRedefine/>
    <w:qFormat/>
    <w:uiPriority w:val="0"/>
    <w:rPr>
      <w:rFonts w:hint="default" w:ascii="TimesNewRomanPSMT" w:hAnsi="TimesNewRomanPSMT"/>
      <w:color w:val="000000"/>
      <w:sz w:val="32"/>
      <w:szCs w:val="32"/>
    </w:rPr>
  </w:style>
  <w:style w:type="character" w:customStyle="1" w:styleId="24">
    <w:name w:val="font101"/>
    <w:basedOn w:val="9"/>
    <w:autoRedefine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25">
    <w:name w:val="font41"/>
    <w:basedOn w:val="9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beijing</Company>
  <Pages>30</Pages>
  <Words>1440</Words>
  <Characters>8209</Characters>
  <Lines>68</Lines>
  <Paragraphs>19</Paragraphs>
  <TotalTime>67</TotalTime>
  <ScaleCrop>false</ScaleCrop>
  <LinksUpToDate>false</LinksUpToDate>
  <CharactersWithSpaces>9630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2024-01-30T17:03:00Z</dcterms:created>
  <dc:creator>home</dc:creator>
  <cp:lastModifiedBy>香蕉梨的夏天</cp:lastModifiedBy>
  <cp:lastPrinted>2024-03-11T09:26:00Z</cp:lastPrinted>
  <dcterms:modified xsi:type="dcterms:W3CDTF">2024-03-13T09:59:05Z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68544DC84AF94E37AB77F5DC6CA4A079_13</vt:lpwstr>
  </property>
</Properties>
</file>