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ascii="黑体" w:eastAsia="黑体"/>
          <w:sz w:val="30"/>
          <w:szCs w:val="30"/>
        </w:rPr>
      </w:pPr>
      <w:bookmarkStart w:id="0" w:name="_GoBack"/>
      <w:bookmarkEnd w:id="0"/>
      <w:r>
        <w:rPr>
          <w:rFonts w:hint="eastAsia" w:ascii="黑体" w:eastAsia="黑体"/>
          <w:sz w:val="30"/>
          <w:szCs w:val="30"/>
        </w:rPr>
        <w:t>附件2</w:t>
      </w:r>
    </w:p>
    <w:p>
      <w:pPr>
        <w:spacing w:line="560" w:lineRule="exact"/>
        <w:jc w:val="center"/>
        <w:rPr>
          <w:rFonts w:ascii="仿宋_GB2312" w:eastAsia="仿宋_GB2312"/>
          <w:b/>
          <w:sz w:val="28"/>
          <w:szCs w:val="28"/>
        </w:rPr>
      </w:pPr>
      <w:r>
        <w:rPr>
          <w:rFonts w:hint="eastAsia" w:ascii="仿宋_GB2312" w:eastAsia="仿宋_GB2312"/>
          <w:b/>
          <w:sz w:val="28"/>
          <w:szCs w:val="28"/>
        </w:rPr>
        <w:t>部门/单位整体支出绩效目标表</w:t>
      </w:r>
    </w:p>
    <w:p>
      <w:pPr>
        <w:spacing w:line="560" w:lineRule="exact"/>
        <w:jc w:val="center"/>
        <w:rPr>
          <w:rFonts w:ascii="仿宋_GB2312" w:eastAsia="仿宋_GB2312"/>
          <w:b/>
          <w:sz w:val="24"/>
          <w:szCs w:val="24"/>
        </w:rPr>
      </w:pPr>
      <w:r>
        <w:rPr>
          <w:rFonts w:hint="eastAsia" w:ascii="仿宋_GB2312" w:eastAsia="仿宋_GB2312"/>
          <w:b/>
          <w:sz w:val="24"/>
          <w:szCs w:val="24"/>
        </w:rPr>
        <w:t>（2024年度）</w:t>
      </w:r>
    </w:p>
    <w:tbl>
      <w:tblPr>
        <w:tblStyle w:val="8"/>
        <w:tblW w:w="10706" w:type="dxa"/>
        <w:jc w:val="center"/>
        <w:tblLayout w:type="fixed"/>
        <w:tblCellMar>
          <w:top w:w="0" w:type="dxa"/>
          <w:left w:w="108" w:type="dxa"/>
          <w:bottom w:w="0" w:type="dxa"/>
          <w:right w:w="108" w:type="dxa"/>
        </w:tblCellMar>
      </w:tblPr>
      <w:tblGrid>
        <w:gridCol w:w="1578"/>
        <w:gridCol w:w="2334"/>
        <w:gridCol w:w="1606"/>
        <w:gridCol w:w="2610"/>
        <w:gridCol w:w="383"/>
        <w:gridCol w:w="1000"/>
        <w:gridCol w:w="1195"/>
      </w:tblGrid>
      <w:tr>
        <w:tblPrEx>
          <w:tblCellMar>
            <w:top w:w="0" w:type="dxa"/>
            <w:left w:w="108" w:type="dxa"/>
            <w:bottom w:w="0" w:type="dxa"/>
            <w:right w:w="108" w:type="dxa"/>
          </w:tblCellMar>
        </w:tblPrEx>
        <w:trPr>
          <w:cantSplit/>
          <w:trHeight w:val="20" w:hRule="atLeast"/>
          <w:jc w:val="center"/>
        </w:trPr>
        <w:tc>
          <w:tcPr>
            <w:tcW w:w="1578" w:type="dxa"/>
            <w:tcBorders>
              <w:top w:val="single" w:color="000000" w:sz="6" w:space="0"/>
              <w:left w:val="nil"/>
              <w:bottom w:val="single" w:color="000000" w:sz="6" w:space="0"/>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部门（单位）名称</w:t>
            </w:r>
          </w:p>
        </w:tc>
        <w:tc>
          <w:tcPr>
            <w:tcW w:w="9128" w:type="dxa"/>
            <w:gridSpan w:val="6"/>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20"/>
                <w:szCs w:val="20"/>
                <w:u w:val="none"/>
                <w:lang w:val="en-US" w:eastAsia="zh-CN" w:bidi="ar"/>
              </w:rPr>
              <w:t>兰州新区西岔综合门诊部</w:t>
            </w:r>
          </w:p>
        </w:tc>
      </w:tr>
      <w:tr>
        <w:tblPrEx>
          <w:tblCellMar>
            <w:top w:w="0" w:type="dxa"/>
            <w:left w:w="108" w:type="dxa"/>
            <w:bottom w:w="0" w:type="dxa"/>
            <w:right w:w="108" w:type="dxa"/>
          </w:tblCellMar>
        </w:tblPrEx>
        <w:trPr>
          <w:cantSplit/>
          <w:trHeight w:val="321" w:hRule="atLeast"/>
          <w:jc w:val="center"/>
        </w:trPr>
        <w:tc>
          <w:tcPr>
            <w:tcW w:w="1578" w:type="dxa"/>
            <w:vMerge w:val="restart"/>
            <w:tcBorders>
              <w:top w:val="single" w:color="000000" w:sz="6" w:space="0"/>
              <w:left w:val="nil"/>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总 体 目 标</w:t>
            </w:r>
          </w:p>
        </w:tc>
        <w:tc>
          <w:tcPr>
            <w:tcW w:w="9128" w:type="dxa"/>
            <w:gridSpan w:val="6"/>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left"/>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目标1：保证2024年度人员工资、社保正常发放；</w:t>
            </w:r>
          </w:p>
        </w:tc>
      </w:tr>
      <w:tr>
        <w:tblPrEx>
          <w:tblCellMar>
            <w:top w:w="0" w:type="dxa"/>
            <w:left w:w="108" w:type="dxa"/>
            <w:bottom w:w="0" w:type="dxa"/>
            <w:right w:w="108" w:type="dxa"/>
          </w:tblCellMar>
        </w:tblPrEx>
        <w:trPr>
          <w:cantSplit/>
          <w:trHeight w:val="20" w:hRule="atLeast"/>
          <w:jc w:val="center"/>
        </w:trPr>
        <w:tc>
          <w:tcPr>
            <w:tcW w:w="1578" w:type="dxa"/>
            <w:vMerge w:val="continue"/>
            <w:tcBorders>
              <w:top w:val="single" w:color="000000" w:sz="6" w:space="0"/>
              <w:left w:val="nil"/>
              <w:right w:val="single" w:color="000000" w:sz="6" w:space="0"/>
              <w:tl2br w:val="nil"/>
              <w:tr2bl w:val="nil"/>
            </w:tcBorders>
            <w:vAlign w:val="center"/>
          </w:tcPr>
          <w:p>
            <w:pPr>
              <w:jc w:val="center"/>
              <w:rPr>
                <w:rFonts w:asciiTheme="minorEastAsia" w:hAnsiTheme="minorEastAsia" w:eastAsiaTheme="minorEastAsia"/>
                <w:color w:val="000000"/>
                <w:sz w:val="18"/>
                <w:szCs w:val="18"/>
              </w:rPr>
            </w:pPr>
          </w:p>
        </w:tc>
        <w:tc>
          <w:tcPr>
            <w:tcW w:w="9128" w:type="dxa"/>
            <w:gridSpan w:val="6"/>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left"/>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目标2：保证2024年度医院各项工作开展；</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color w:val="000000"/>
                <w:sz w:val="18"/>
                <w:szCs w:val="18"/>
              </w:rPr>
            </w:pPr>
          </w:p>
        </w:tc>
        <w:tc>
          <w:tcPr>
            <w:tcW w:w="9128" w:type="dxa"/>
            <w:gridSpan w:val="6"/>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left"/>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 xml:space="preserve">目标3：开展精神卫生、创伤等专科服务； </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color w:val="000000"/>
                <w:sz w:val="18"/>
                <w:szCs w:val="18"/>
              </w:rPr>
            </w:pPr>
          </w:p>
        </w:tc>
        <w:tc>
          <w:tcPr>
            <w:tcW w:w="9128" w:type="dxa"/>
            <w:gridSpan w:val="6"/>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left"/>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目标4：开展辖区大中专院校健康教育、健康体检、心理咨询等诊疗任务；</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color w:val="000000"/>
                <w:sz w:val="18"/>
                <w:szCs w:val="18"/>
              </w:rPr>
            </w:pPr>
          </w:p>
        </w:tc>
        <w:tc>
          <w:tcPr>
            <w:tcW w:w="9128" w:type="dxa"/>
            <w:gridSpan w:val="6"/>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left"/>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目标5：加强领导，统一安排，兰州新区西岔综合门诊部作为新区卫生健康委员会直属管理的二级合公立院，以人为本，全心全意为人民健康服务；进一步解决居民以及辖区大中专学生看病难看病远的难题；</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color w:val="000000"/>
                <w:sz w:val="18"/>
                <w:szCs w:val="18"/>
              </w:rPr>
            </w:pPr>
          </w:p>
        </w:tc>
        <w:tc>
          <w:tcPr>
            <w:tcW w:w="9128" w:type="dxa"/>
            <w:gridSpan w:val="6"/>
            <w:tcBorders>
              <w:top w:val="single" w:color="000000" w:sz="6" w:space="0"/>
              <w:left w:val="single" w:color="000000" w:sz="6" w:space="0"/>
              <w:right w:val="single" w:color="000000" w:sz="6" w:space="0"/>
              <w:tl2br w:val="nil"/>
              <w:tr2bl w:val="nil"/>
            </w:tcBorders>
            <w:vAlign w:val="center"/>
          </w:tcPr>
          <w:p>
            <w:pPr>
              <w:keepNext w:val="0"/>
              <w:keepLines w:val="0"/>
              <w:widowControl/>
              <w:suppressLineNumbers w:val="0"/>
              <w:jc w:val="left"/>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目标6：全力发展医疗业务，医疗收入实现稳步提升。</w:t>
            </w:r>
          </w:p>
        </w:tc>
      </w:tr>
      <w:tr>
        <w:tblPrEx>
          <w:tblCellMar>
            <w:top w:w="0" w:type="dxa"/>
            <w:left w:w="108" w:type="dxa"/>
            <w:bottom w:w="0" w:type="dxa"/>
            <w:right w:w="108" w:type="dxa"/>
          </w:tblCellMar>
        </w:tblPrEx>
        <w:trPr>
          <w:cantSplit/>
          <w:trHeight w:val="20" w:hRule="atLeast"/>
          <w:jc w:val="center"/>
        </w:trPr>
        <w:tc>
          <w:tcPr>
            <w:tcW w:w="1578" w:type="dxa"/>
            <w:vMerge w:val="restart"/>
            <w:tcBorders>
              <w:left w:val="nil"/>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预 算 情 况（万元）</w:t>
            </w:r>
          </w:p>
        </w:tc>
        <w:tc>
          <w:tcPr>
            <w:tcW w:w="3940" w:type="dxa"/>
            <w:gridSpan w:val="2"/>
            <w:tcBorders>
              <w:left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按支出类型分</w:t>
            </w:r>
          </w:p>
        </w:tc>
        <w:tc>
          <w:tcPr>
            <w:tcW w:w="2610"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预算金额</w:t>
            </w:r>
          </w:p>
        </w:tc>
        <w:tc>
          <w:tcPr>
            <w:tcW w:w="138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color w:val="000000"/>
                <w:sz w:val="18"/>
                <w:szCs w:val="18"/>
              </w:rPr>
            </w:pPr>
            <w:r>
              <w:rPr>
                <w:rFonts w:hint="eastAsia" w:ascii="宋体" w:hAnsi="宋体" w:eastAsia="宋体" w:cs="宋体"/>
                <w:i w:val="0"/>
                <w:iCs w:val="0"/>
                <w:color w:val="000000"/>
                <w:kern w:val="0"/>
                <w:sz w:val="18"/>
                <w:szCs w:val="18"/>
                <w:u w:val="none"/>
                <w:lang w:val="en-US" w:eastAsia="zh-CN" w:bidi="ar"/>
              </w:rPr>
              <w:t>按来源类型分</w:t>
            </w:r>
          </w:p>
        </w:tc>
        <w:tc>
          <w:tcPr>
            <w:tcW w:w="1195" w:type="dxa"/>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预算金额</w:t>
            </w:r>
          </w:p>
        </w:tc>
      </w:tr>
      <w:tr>
        <w:tblPrEx>
          <w:tblCellMar>
            <w:top w:w="0" w:type="dxa"/>
            <w:left w:w="108" w:type="dxa"/>
            <w:bottom w:w="0" w:type="dxa"/>
            <w:right w:w="108" w:type="dxa"/>
          </w:tblCellMar>
        </w:tblPrEx>
        <w:trPr>
          <w:cantSplit/>
          <w:trHeight w:val="274" w:hRule="atLeast"/>
          <w:jc w:val="center"/>
        </w:trPr>
        <w:tc>
          <w:tcPr>
            <w:tcW w:w="1578" w:type="dxa"/>
            <w:vMerge w:val="continue"/>
            <w:tcBorders>
              <w:top w:val="single" w:color="000000" w:sz="6" w:space="0"/>
              <w:left w:val="nil"/>
              <w:right w:val="single" w:color="000000" w:sz="6" w:space="0"/>
            </w:tcBorders>
            <w:vAlign w:val="center"/>
          </w:tcPr>
          <w:p>
            <w:pPr>
              <w:jc w:val="center"/>
              <w:rPr>
                <w:rFonts w:asciiTheme="minorEastAsia" w:hAnsiTheme="minorEastAsia" w:eastAsiaTheme="minorEastAsia"/>
                <w:bCs/>
                <w:color w:val="000000"/>
                <w:sz w:val="18"/>
                <w:szCs w:val="18"/>
              </w:rPr>
            </w:pPr>
          </w:p>
        </w:tc>
        <w:tc>
          <w:tcPr>
            <w:tcW w:w="2334" w:type="dxa"/>
            <w:vMerge w:val="restart"/>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基本支出</w:t>
            </w:r>
          </w:p>
        </w:tc>
        <w:tc>
          <w:tcPr>
            <w:tcW w:w="1606" w:type="dxa"/>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人员经费</w:t>
            </w:r>
          </w:p>
        </w:tc>
        <w:tc>
          <w:tcPr>
            <w:tcW w:w="2610" w:type="dxa"/>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473.39</w:t>
            </w:r>
          </w:p>
        </w:tc>
        <w:tc>
          <w:tcPr>
            <w:tcW w:w="1383"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当年财政拨款</w:t>
            </w:r>
          </w:p>
        </w:tc>
        <w:tc>
          <w:tcPr>
            <w:tcW w:w="1195" w:type="dxa"/>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520.64</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inorEastAsia" w:hAnsiTheme="minorEastAsia" w:eastAsiaTheme="minorEastAsia"/>
                <w:bCs/>
                <w:color w:val="000000"/>
                <w:sz w:val="18"/>
                <w:szCs w:val="18"/>
              </w:rPr>
            </w:pPr>
          </w:p>
        </w:tc>
        <w:tc>
          <w:tcPr>
            <w:tcW w:w="1606" w:type="dxa"/>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公用经费</w:t>
            </w:r>
          </w:p>
        </w:tc>
        <w:tc>
          <w:tcPr>
            <w:tcW w:w="2610" w:type="dxa"/>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47.25</w:t>
            </w:r>
          </w:p>
        </w:tc>
        <w:tc>
          <w:tcPr>
            <w:tcW w:w="1383"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上年结转资金</w:t>
            </w:r>
          </w:p>
        </w:tc>
        <w:tc>
          <w:tcPr>
            <w:tcW w:w="1195" w:type="dxa"/>
            <w:tcBorders>
              <w:top w:val="single" w:color="000000" w:sz="6" w:space="0"/>
              <w:left w:val="single" w:color="000000" w:sz="6" w:space="0"/>
              <w:bottom w:val="single" w:color="000000" w:sz="6" w:space="0"/>
              <w:right w:val="nil"/>
            </w:tcBorders>
            <w:vAlign w:val="center"/>
          </w:tcPr>
          <w:p>
            <w:pPr>
              <w:jc w:val="center"/>
            </w:pP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inorEastAsia" w:hAnsiTheme="minorEastAsia" w:eastAsiaTheme="minorEastAsia"/>
                <w:bCs/>
                <w:color w:val="000000"/>
                <w:sz w:val="18"/>
                <w:szCs w:val="18"/>
              </w:rPr>
            </w:pPr>
          </w:p>
        </w:tc>
        <w:tc>
          <w:tcPr>
            <w:tcW w:w="1606" w:type="dxa"/>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合计</w:t>
            </w:r>
          </w:p>
        </w:tc>
        <w:tc>
          <w:tcPr>
            <w:tcW w:w="2610" w:type="dxa"/>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520.64</w:t>
            </w:r>
          </w:p>
        </w:tc>
        <w:tc>
          <w:tcPr>
            <w:tcW w:w="1383"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其他资金</w:t>
            </w:r>
          </w:p>
        </w:tc>
        <w:tc>
          <w:tcPr>
            <w:tcW w:w="1195" w:type="dxa"/>
            <w:tcBorders>
              <w:top w:val="single" w:color="000000" w:sz="6" w:space="0"/>
              <w:left w:val="single" w:color="000000" w:sz="6" w:space="0"/>
              <w:bottom w:val="single" w:color="000000" w:sz="6" w:space="0"/>
              <w:right w:val="nil"/>
            </w:tcBorders>
            <w:vAlign w:val="center"/>
          </w:tcPr>
          <w:p>
            <w:pPr>
              <w:jc w:val="center"/>
            </w:pPr>
          </w:p>
        </w:tc>
      </w:tr>
      <w:tr>
        <w:tblPrEx>
          <w:tblCellMar>
            <w:top w:w="0" w:type="dxa"/>
            <w:left w:w="108" w:type="dxa"/>
            <w:bottom w:w="0" w:type="dxa"/>
            <w:right w:w="108" w:type="dxa"/>
          </w:tblCellMar>
        </w:tblPrEx>
        <w:trPr>
          <w:cantSplit/>
          <w:trHeight w:val="289" w:hRule="atLeast"/>
          <w:jc w:val="center"/>
        </w:trPr>
        <w:tc>
          <w:tcPr>
            <w:tcW w:w="1578" w:type="dxa"/>
            <w:vMerge w:val="continue"/>
            <w:tcBorders>
              <w:left w:val="nil"/>
              <w:right w:val="single" w:color="000000" w:sz="6" w:space="0"/>
            </w:tcBorders>
            <w:vAlign w:val="center"/>
          </w:tcPr>
          <w:p>
            <w:pPr>
              <w:jc w:val="center"/>
              <w:rPr>
                <w:rFonts w:asciiTheme="minorEastAsia" w:hAnsiTheme="minorEastAsia" w:eastAsiaTheme="minorEastAsia"/>
                <w:bCs/>
                <w:color w:val="000000"/>
                <w:sz w:val="18"/>
                <w:szCs w:val="18"/>
              </w:rPr>
            </w:pPr>
          </w:p>
        </w:tc>
        <w:tc>
          <w:tcPr>
            <w:tcW w:w="3940" w:type="dxa"/>
            <w:gridSpan w:val="2"/>
            <w:vMerge w:val="restart"/>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项目支出</w:t>
            </w:r>
          </w:p>
        </w:tc>
        <w:tc>
          <w:tcPr>
            <w:tcW w:w="2610" w:type="dxa"/>
            <w:vMerge w:val="restart"/>
            <w:tcBorders>
              <w:top w:val="single" w:color="000000" w:sz="6" w:space="0"/>
              <w:left w:val="single" w:color="000000" w:sz="6" w:space="0"/>
              <w:bottom w:val="single" w:color="000000" w:sz="6" w:space="0"/>
              <w:right w:val="nil"/>
            </w:tcBorders>
            <w:vAlign w:val="center"/>
          </w:tcPr>
          <w:p>
            <w:pPr>
              <w:jc w:val="center"/>
              <w:rPr>
                <w:rFonts w:asciiTheme="minorEastAsia" w:hAnsiTheme="minorEastAsia" w:eastAsiaTheme="minorEastAsia"/>
                <w:bCs/>
                <w:color w:val="000000"/>
                <w:sz w:val="18"/>
                <w:szCs w:val="18"/>
              </w:rPr>
            </w:pPr>
          </w:p>
        </w:tc>
        <w:tc>
          <w:tcPr>
            <w:tcW w:w="1383"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收入预算合计</w:t>
            </w:r>
          </w:p>
        </w:tc>
        <w:tc>
          <w:tcPr>
            <w:tcW w:w="1195" w:type="dxa"/>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0</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cBorders>
            <w:vAlign w:val="center"/>
          </w:tcPr>
          <w:p>
            <w:pPr>
              <w:jc w:val="center"/>
              <w:rPr>
                <w:rFonts w:asciiTheme="minorEastAsia" w:hAnsiTheme="minorEastAsia" w:eastAsiaTheme="minorEastAsia"/>
                <w:bCs/>
                <w:color w:val="000000"/>
                <w:sz w:val="18"/>
                <w:szCs w:val="18"/>
              </w:rPr>
            </w:pPr>
          </w:p>
        </w:tc>
        <w:tc>
          <w:tcPr>
            <w:tcW w:w="3940" w:type="dxa"/>
            <w:gridSpan w:val="2"/>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inorEastAsia" w:hAnsiTheme="minorEastAsia" w:eastAsiaTheme="minorEastAsia"/>
                <w:bCs/>
                <w:color w:val="000000"/>
                <w:sz w:val="18"/>
                <w:szCs w:val="18"/>
              </w:rPr>
            </w:pPr>
          </w:p>
        </w:tc>
        <w:tc>
          <w:tcPr>
            <w:tcW w:w="2610" w:type="dxa"/>
            <w:vMerge w:val="continue"/>
            <w:tcBorders>
              <w:top w:val="single" w:color="000000" w:sz="6" w:space="0"/>
              <w:left w:val="single" w:color="000000" w:sz="6" w:space="0"/>
              <w:bottom w:val="single" w:color="000000" w:sz="6" w:space="0"/>
              <w:right w:val="nil"/>
            </w:tcBorders>
            <w:vAlign w:val="center"/>
          </w:tcPr>
          <w:p>
            <w:pPr>
              <w:jc w:val="center"/>
              <w:rPr>
                <w:rFonts w:asciiTheme="minorEastAsia" w:hAnsiTheme="minorEastAsia" w:eastAsiaTheme="minorEastAsia"/>
                <w:bCs/>
                <w:color w:val="000000"/>
                <w:sz w:val="18"/>
                <w:szCs w:val="18"/>
              </w:rPr>
            </w:pPr>
          </w:p>
        </w:tc>
        <w:tc>
          <w:tcPr>
            <w:tcW w:w="1383"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支出预算合计</w:t>
            </w:r>
          </w:p>
        </w:tc>
        <w:tc>
          <w:tcPr>
            <w:tcW w:w="1195" w:type="dxa"/>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0</w:t>
            </w:r>
          </w:p>
        </w:tc>
      </w:tr>
      <w:tr>
        <w:tblPrEx>
          <w:tblCellMar>
            <w:top w:w="0" w:type="dxa"/>
            <w:left w:w="108" w:type="dxa"/>
            <w:bottom w:w="0" w:type="dxa"/>
            <w:right w:w="108" w:type="dxa"/>
          </w:tblCellMar>
        </w:tblPrEx>
        <w:trPr>
          <w:cantSplit/>
          <w:trHeight w:val="20" w:hRule="atLeast"/>
          <w:jc w:val="center"/>
        </w:trPr>
        <w:tc>
          <w:tcPr>
            <w:tcW w:w="1578" w:type="dxa"/>
            <w:vMerge w:val="restart"/>
            <w:tcBorders>
              <w:left w:val="nil"/>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绩 效 指 标</w:t>
            </w:r>
          </w:p>
        </w:tc>
        <w:tc>
          <w:tcPr>
            <w:tcW w:w="2334" w:type="dxa"/>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一级指标</w:t>
            </w:r>
          </w:p>
        </w:tc>
        <w:tc>
          <w:tcPr>
            <w:tcW w:w="1606" w:type="dxa"/>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二级指标</w:t>
            </w:r>
          </w:p>
        </w:tc>
        <w:tc>
          <w:tcPr>
            <w:tcW w:w="2993"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三级指标</w:t>
            </w:r>
          </w:p>
        </w:tc>
        <w:tc>
          <w:tcPr>
            <w:tcW w:w="2195"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指标值</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cBorders>
            <w:vAlign w:val="center"/>
          </w:tcPr>
          <w:p>
            <w:pPr>
              <w:jc w:val="center"/>
              <w:rPr>
                <w:rFonts w:asciiTheme="minorEastAsia" w:hAnsiTheme="minorEastAsia" w:eastAsiaTheme="minorEastAsia"/>
                <w:bCs/>
                <w:color w:val="000000"/>
                <w:sz w:val="18"/>
                <w:szCs w:val="18"/>
              </w:rPr>
            </w:pPr>
          </w:p>
        </w:tc>
        <w:tc>
          <w:tcPr>
            <w:tcW w:w="2334" w:type="dxa"/>
            <w:vMerge w:val="restart"/>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部门管理</w:t>
            </w:r>
          </w:p>
        </w:tc>
        <w:tc>
          <w:tcPr>
            <w:tcW w:w="1606" w:type="dxa"/>
            <w:vMerge w:val="restart"/>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资金投入</w:t>
            </w:r>
          </w:p>
        </w:tc>
        <w:tc>
          <w:tcPr>
            <w:tcW w:w="2993"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基本支出预算执行率</w:t>
            </w:r>
          </w:p>
        </w:tc>
        <w:tc>
          <w:tcPr>
            <w:tcW w:w="2195"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100%</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inorEastAsia" w:hAnsiTheme="minorEastAsia" w:eastAsiaTheme="minorEastAsia"/>
                <w:bCs/>
                <w:color w:val="000000"/>
                <w:sz w:val="18"/>
                <w:szCs w:val="18"/>
              </w:rPr>
            </w:pPr>
          </w:p>
        </w:tc>
        <w:tc>
          <w:tcPr>
            <w:tcW w:w="1606"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inorEastAsia" w:hAnsiTheme="minorEastAsia" w:eastAsiaTheme="minorEastAsia"/>
                <w:bCs/>
                <w:color w:val="000000"/>
                <w:sz w:val="18"/>
                <w:szCs w:val="18"/>
              </w:rPr>
            </w:pPr>
          </w:p>
        </w:tc>
        <w:tc>
          <w:tcPr>
            <w:tcW w:w="2993"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项目支出预算执行率</w:t>
            </w:r>
          </w:p>
        </w:tc>
        <w:tc>
          <w:tcPr>
            <w:tcW w:w="2195"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100%</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inorEastAsia" w:hAnsiTheme="minorEastAsia" w:eastAsiaTheme="minorEastAsia"/>
                <w:bCs/>
                <w:color w:val="000000"/>
                <w:sz w:val="18"/>
                <w:szCs w:val="18"/>
              </w:rPr>
            </w:pPr>
          </w:p>
        </w:tc>
        <w:tc>
          <w:tcPr>
            <w:tcW w:w="1606" w:type="dxa"/>
            <w:vMerge w:val="continue"/>
            <w:tcBorders>
              <w:top w:val="single" w:color="000000" w:sz="6" w:space="0"/>
              <w:left w:val="single" w:color="000000" w:sz="6" w:space="0"/>
              <w:bottom w:val="single" w:color="000000" w:sz="6" w:space="0"/>
              <w:right w:val="single" w:color="000000" w:sz="6" w:space="0"/>
            </w:tcBorders>
            <w:vAlign w:val="center"/>
          </w:tcPr>
          <w:p>
            <w:pPr>
              <w:jc w:val="center"/>
              <w:rPr>
                <w:rFonts w:asciiTheme="minorEastAsia" w:hAnsiTheme="minorEastAsia" w:eastAsiaTheme="minorEastAsia"/>
                <w:bCs/>
                <w:color w:val="000000"/>
                <w:sz w:val="18"/>
                <w:szCs w:val="18"/>
              </w:rPr>
            </w:pPr>
          </w:p>
        </w:tc>
        <w:tc>
          <w:tcPr>
            <w:tcW w:w="2993"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三公经费控制情况</w:t>
            </w:r>
          </w:p>
        </w:tc>
        <w:tc>
          <w:tcPr>
            <w:tcW w:w="2195" w:type="dxa"/>
            <w:gridSpan w:val="2"/>
            <w:tcBorders>
              <w:top w:val="single" w:color="000000" w:sz="6" w:space="0"/>
              <w:left w:val="single" w:color="000000" w:sz="6" w:space="0"/>
              <w:bottom w:val="single" w:color="000000" w:sz="6" w:space="0"/>
              <w:right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下降</w:t>
            </w:r>
          </w:p>
        </w:tc>
      </w:tr>
      <w:tr>
        <w:tblPrEx>
          <w:tblCellMar>
            <w:top w:w="0" w:type="dxa"/>
            <w:left w:w="108" w:type="dxa"/>
            <w:bottom w:w="0" w:type="dxa"/>
            <w:right w:w="108" w:type="dxa"/>
          </w:tblCellMar>
        </w:tblPrEx>
        <w:trPr>
          <w:cantSplit/>
          <w:trHeight w:val="9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专项经费支出安排合理性</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pPr>
            <w:r>
              <w:rPr>
                <w:rFonts w:hint="eastAsia" w:ascii="宋体" w:hAnsi="宋体" w:eastAsia="宋体" w:cs="宋体"/>
                <w:i w:val="0"/>
                <w:iCs w:val="0"/>
                <w:color w:val="000000"/>
                <w:kern w:val="0"/>
                <w:sz w:val="18"/>
                <w:szCs w:val="18"/>
                <w:u w:val="none"/>
                <w:lang w:val="en-US" w:eastAsia="zh-CN" w:bidi="ar"/>
              </w:rPr>
              <w:t>合理</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财务管理</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财务管理制度健全性</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健全</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资金使用合规性</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合规</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政府采购合规性</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合规</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人员管理</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人员编制合规性</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合规</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人事管理制度健全性</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健全</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资产管理</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资产管理制度健全性</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健全</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资产清查情况</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有</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部门工作管理</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医疗业务开展情况</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开展</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公共卫生开展情况</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开展</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履职效果</w:t>
            </w:r>
          </w:p>
        </w:tc>
        <w:tc>
          <w:tcPr>
            <w:tcW w:w="1606"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诊疗服务</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提供预防保健，基本医疗，健康教育，康复等综合性服务</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提供</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公共卫生管理</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承担辖区内公共卫生管理</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满意度</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受益者满意度</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数量指标</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提高基本公共卫生覆盖能力</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数量指标</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医疗收入稳步提升</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上涨20%</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质量指标</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满足周边群众医疗需求</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满足</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质量指标</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保障本单位相关工作正常开展（%）</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restart"/>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能力建设</w:t>
            </w:r>
          </w:p>
        </w:tc>
        <w:tc>
          <w:tcPr>
            <w:tcW w:w="1606"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档案管理</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档案管理情况</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完备</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信息化建设情况</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信息化管理覆盖率</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r>
      <w:tr>
        <w:tblPrEx>
          <w:tblCellMar>
            <w:top w:w="0" w:type="dxa"/>
            <w:left w:w="108" w:type="dxa"/>
            <w:bottom w:w="0" w:type="dxa"/>
            <w:right w:w="108" w:type="dxa"/>
          </w:tblCellMar>
        </w:tblPrEx>
        <w:trPr>
          <w:cantSplit/>
          <w:trHeight w:val="20" w:hRule="atLeast"/>
          <w:jc w:val="center"/>
        </w:trPr>
        <w:tc>
          <w:tcPr>
            <w:tcW w:w="1578" w:type="dxa"/>
            <w:vMerge w:val="continue"/>
            <w:tcBorders>
              <w:left w:val="nil"/>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2334" w:type="dxa"/>
            <w:vMerge w:val="continue"/>
            <w:tcBorders>
              <w:top w:val="single" w:color="000000" w:sz="6" w:space="0"/>
              <w:left w:val="single" w:color="000000" w:sz="6" w:space="0"/>
              <w:bottom w:val="single" w:color="000000" w:sz="6" w:space="0"/>
              <w:right w:val="single" w:color="000000" w:sz="6" w:space="0"/>
              <w:tl2br w:val="nil"/>
              <w:tr2bl w:val="nil"/>
            </w:tcBorders>
            <w:vAlign w:val="center"/>
          </w:tcPr>
          <w:p>
            <w:pPr>
              <w:jc w:val="center"/>
              <w:rPr>
                <w:rFonts w:asciiTheme="minorEastAsia" w:hAnsiTheme="minorEastAsia" w:eastAsiaTheme="minorEastAsia"/>
                <w:bCs/>
                <w:color w:val="000000"/>
                <w:sz w:val="18"/>
                <w:szCs w:val="18"/>
              </w:rPr>
            </w:pPr>
          </w:p>
        </w:tc>
        <w:tc>
          <w:tcPr>
            <w:tcW w:w="1606" w:type="dxa"/>
            <w:tcBorders>
              <w:top w:val="single" w:color="000000" w:sz="6" w:space="0"/>
              <w:left w:val="single" w:color="000000" w:sz="6" w:space="0"/>
              <w:bottom w:val="single" w:color="000000" w:sz="6" w:space="0"/>
              <w:right w:val="single" w:color="000000" w:sz="6" w:space="0"/>
              <w:tl2br w:val="nil"/>
              <w:tr2bl w:val="nil"/>
            </w:tcBorders>
            <w:vAlign w:val="center"/>
          </w:tcPr>
          <w:p>
            <w:pPr>
              <w:keepNext w:val="0"/>
              <w:keepLines w:val="0"/>
              <w:widowControl/>
              <w:suppressLineNumbers w:val="0"/>
              <w:jc w:val="center"/>
              <w:textAlignment w:val="center"/>
              <w:rPr>
                <w:rFonts w:asciiTheme="minorEastAsia" w:hAnsiTheme="minorEastAsia" w:eastAsiaTheme="minorEastAsia"/>
                <w:bCs/>
                <w:color w:val="000000"/>
                <w:sz w:val="18"/>
                <w:szCs w:val="18"/>
              </w:rPr>
            </w:pPr>
            <w:r>
              <w:rPr>
                <w:rFonts w:hint="eastAsia" w:ascii="宋体" w:hAnsi="宋体" w:eastAsia="宋体" w:cs="宋体"/>
                <w:i w:val="0"/>
                <w:iCs w:val="0"/>
                <w:color w:val="000000"/>
                <w:kern w:val="0"/>
                <w:sz w:val="18"/>
                <w:szCs w:val="18"/>
                <w:u w:val="none"/>
                <w:lang w:val="en-US" w:eastAsia="zh-CN" w:bidi="ar"/>
              </w:rPr>
              <w:t>公卫建档情况</w:t>
            </w:r>
          </w:p>
        </w:tc>
        <w:tc>
          <w:tcPr>
            <w:tcW w:w="2993"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公卫建档覆盖率</w:t>
            </w:r>
          </w:p>
        </w:tc>
        <w:tc>
          <w:tcPr>
            <w:tcW w:w="2195" w:type="dxa"/>
            <w:gridSpan w:val="2"/>
            <w:tcBorders>
              <w:top w:val="single" w:color="000000" w:sz="6" w:space="0"/>
              <w:left w:val="single" w:color="000000" w:sz="6" w:space="0"/>
              <w:bottom w:val="single" w:color="000000" w:sz="6" w:space="0"/>
              <w:right w:val="nil"/>
              <w:tl2br w:val="nil"/>
              <w:tr2bl w:val="nil"/>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w:t>
            </w:r>
            <w:r>
              <w:rPr>
                <w:rFonts w:ascii="Arial" w:hAnsi="Arial" w:eastAsia="宋体" w:cs="Arial"/>
                <w:i w:val="0"/>
                <w:iCs w:val="0"/>
                <w:color w:val="000000"/>
                <w:kern w:val="0"/>
                <w:sz w:val="20"/>
                <w:szCs w:val="20"/>
                <w:u w:val="none"/>
                <w:lang w:val="en-US" w:eastAsia="zh-CN" w:bidi="ar"/>
              </w:rPr>
              <w:t>90%</w:t>
            </w:r>
          </w:p>
        </w:tc>
      </w:tr>
    </w:tbl>
    <w:p>
      <w:pPr>
        <w:spacing w:line="560" w:lineRule="exact"/>
        <w:jc w:val="center"/>
        <w:rPr>
          <w:rFonts w:ascii="仿宋_GB2312" w:eastAsia="仿宋_GB2312"/>
          <w:b/>
          <w:sz w:val="28"/>
          <w:szCs w:val="28"/>
        </w:rPr>
      </w:pPr>
      <w:r>
        <w:rPr>
          <w:rFonts w:ascii="仿宋_GB2312" w:eastAsia="仿宋_GB2312"/>
          <w:b/>
          <w:sz w:val="28"/>
          <w:szCs w:val="28"/>
        </w:rPr>
        <w:br w:type="page"/>
      </w:r>
      <w:r>
        <w:rPr>
          <w:rFonts w:hint="eastAsia" w:ascii="仿宋_GB2312" w:eastAsia="仿宋_GB2312"/>
          <w:b/>
          <w:sz w:val="28"/>
          <w:szCs w:val="28"/>
        </w:rPr>
        <w:t>项目支出绩效目标表</w:t>
      </w:r>
    </w:p>
    <w:p>
      <w:pPr>
        <w:spacing w:line="560" w:lineRule="exact"/>
        <w:jc w:val="center"/>
        <w:rPr>
          <w:rFonts w:ascii="仿宋_GB2312" w:eastAsia="仿宋_GB2312"/>
          <w:b/>
          <w:sz w:val="24"/>
          <w:szCs w:val="24"/>
        </w:rPr>
      </w:pPr>
      <w:r>
        <w:rPr>
          <w:rFonts w:hint="eastAsia" w:ascii="仿宋_GB2312" w:eastAsia="仿宋_GB2312"/>
          <w:b/>
          <w:sz w:val="24"/>
          <w:szCs w:val="24"/>
        </w:rPr>
        <w:t>（2024年度）</w:t>
      </w:r>
    </w:p>
    <w:tbl>
      <w:tblPr>
        <w:tblStyle w:val="8"/>
        <w:tblW w:w="5291"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548"/>
        <w:gridCol w:w="108"/>
        <w:gridCol w:w="2782"/>
        <w:gridCol w:w="544"/>
        <w:gridCol w:w="1497"/>
        <w:gridCol w:w="774"/>
        <w:gridCol w:w="251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Align w:val="center"/>
          </w:tcPr>
          <w:p>
            <w:pPr>
              <w:widowControl/>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项目名称</w:t>
            </w:r>
          </w:p>
        </w:tc>
        <w:tc>
          <w:tcPr>
            <w:tcW w:w="3943" w:type="pct"/>
            <w:gridSpan w:val="6"/>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Align w:val="center"/>
          </w:tcPr>
          <w:p>
            <w:pPr>
              <w:widowControl/>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主管部门及</w:t>
            </w:r>
            <w:r>
              <w:rPr>
                <w:rFonts w:cs="宋体" w:asciiTheme="minorEastAsia" w:hAnsiTheme="minorEastAsia" w:eastAsiaTheme="minorEastAsia"/>
                <w:kern w:val="0"/>
                <w:sz w:val="18"/>
                <w:szCs w:val="18"/>
              </w:rPr>
              <w:t>代码</w:t>
            </w:r>
          </w:p>
        </w:tc>
        <w:tc>
          <w:tcPr>
            <w:tcW w:w="1647" w:type="pct"/>
            <w:gridSpan w:val="3"/>
            <w:vAlign w:val="center"/>
          </w:tcPr>
          <w:p>
            <w:pPr>
              <w:widowControl/>
              <w:spacing w:line="360" w:lineRule="exact"/>
              <w:jc w:val="center"/>
              <w:rPr>
                <w:rFonts w:cs="宋体" w:asciiTheme="minorEastAsia" w:hAnsiTheme="minorEastAsia" w:eastAsiaTheme="minorEastAsia"/>
                <w:kern w:val="0"/>
                <w:sz w:val="18"/>
                <w:szCs w:val="18"/>
              </w:rPr>
            </w:pPr>
          </w:p>
        </w:tc>
        <w:tc>
          <w:tcPr>
            <w:tcW w:w="1089" w:type="pct"/>
            <w:gridSpan w:val="2"/>
            <w:vAlign w:val="center"/>
          </w:tcPr>
          <w:p>
            <w:pPr>
              <w:widowControl/>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实施单位</w:t>
            </w:r>
          </w:p>
        </w:tc>
        <w:tc>
          <w:tcPr>
            <w:tcW w:w="1207" w:type="pct"/>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Merge w:val="restart"/>
            <w:vAlign w:val="center"/>
          </w:tcPr>
          <w:p>
            <w:pPr>
              <w:widowControl/>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项目资金</w:t>
            </w:r>
          </w:p>
          <w:p>
            <w:pPr>
              <w:widowControl/>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（万元）</w:t>
            </w:r>
          </w:p>
        </w:tc>
        <w:tc>
          <w:tcPr>
            <w:tcW w:w="1647" w:type="pct"/>
            <w:gridSpan w:val="3"/>
            <w:vAlign w:val="center"/>
          </w:tcPr>
          <w:p>
            <w:pPr>
              <w:widowControl/>
              <w:spacing w:line="36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年度资金总额：</w:t>
            </w:r>
          </w:p>
        </w:tc>
        <w:tc>
          <w:tcPr>
            <w:tcW w:w="2296" w:type="pct"/>
            <w:gridSpan w:val="3"/>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647" w:type="pct"/>
            <w:gridSpan w:val="3"/>
            <w:vAlign w:val="center"/>
          </w:tcPr>
          <w:p>
            <w:pPr>
              <w:widowControl/>
              <w:spacing w:line="360" w:lineRule="exact"/>
              <w:ind w:firstLine="360" w:firstLineChars="200"/>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其中</w:t>
            </w:r>
            <w:r>
              <w:rPr>
                <w:rFonts w:cs="宋体" w:asciiTheme="minorEastAsia" w:hAnsiTheme="minorEastAsia" w:eastAsiaTheme="minorEastAsia"/>
                <w:kern w:val="0"/>
                <w:sz w:val="18"/>
                <w:szCs w:val="18"/>
              </w:rPr>
              <w:t>：</w:t>
            </w:r>
            <w:r>
              <w:rPr>
                <w:rFonts w:hint="eastAsia" w:cs="宋体" w:asciiTheme="minorEastAsia" w:hAnsiTheme="minorEastAsia" w:eastAsiaTheme="minorEastAsia"/>
                <w:kern w:val="0"/>
                <w:sz w:val="18"/>
                <w:szCs w:val="18"/>
              </w:rPr>
              <w:t>当年</w:t>
            </w:r>
            <w:r>
              <w:rPr>
                <w:rFonts w:cs="宋体" w:asciiTheme="minorEastAsia" w:hAnsiTheme="minorEastAsia" w:eastAsiaTheme="minorEastAsia"/>
                <w:kern w:val="0"/>
                <w:sz w:val="18"/>
                <w:szCs w:val="18"/>
              </w:rPr>
              <w:t>财政拨款</w:t>
            </w:r>
          </w:p>
        </w:tc>
        <w:tc>
          <w:tcPr>
            <w:tcW w:w="2296" w:type="pct"/>
            <w:gridSpan w:val="3"/>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647" w:type="pct"/>
            <w:gridSpan w:val="3"/>
            <w:vAlign w:val="center"/>
          </w:tcPr>
          <w:p>
            <w:pPr>
              <w:widowControl/>
              <w:spacing w:line="360" w:lineRule="exact"/>
              <w:ind w:firstLine="900" w:firstLineChars="500"/>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上年结转资金</w:t>
            </w:r>
          </w:p>
        </w:tc>
        <w:tc>
          <w:tcPr>
            <w:tcW w:w="2296" w:type="pct"/>
            <w:gridSpan w:val="3"/>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57"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647" w:type="pct"/>
            <w:gridSpan w:val="3"/>
            <w:vAlign w:val="center"/>
          </w:tcPr>
          <w:p>
            <w:pPr>
              <w:widowControl/>
              <w:spacing w:line="360" w:lineRule="exact"/>
              <w:ind w:firstLine="900" w:firstLineChars="500"/>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其他资金</w:t>
            </w:r>
          </w:p>
        </w:tc>
        <w:tc>
          <w:tcPr>
            <w:tcW w:w="2296" w:type="pct"/>
            <w:gridSpan w:val="3"/>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Align w:val="center"/>
          </w:tcPr>
          <w:p>
            <w:pPr>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总</w:t>
            </w:r>
          </w:p>
          <w:p>
            <w:pPr>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体</w:t>
            </w:r>
          </w:p>
          <w:p>
            <w:pPr>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w:t>
            </w:r>
          </w:p>
          <w:p>
            <w:pPr>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标</w:t>
            </w:r>
          </w:p>
        </w:tc>
        <w:tc>
          <w:tcPr>
            <w:tcW w:w="4685" w:type="pct"/>
            <w:gridSpan w:val="7"/>
            <w:vAlign w:val="center"/>
          </w:tcPr>
          <w:p>
            <w:pPr>
              <w:widowControl/>
              <w:spacing w:line="36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目标1：</w:t>
            </w:r>
          </w:p>
          <w:p>
            <w:pPr>
              <w:widowControl/>
              <w:spacing w:line="36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目标2：</w:t>
            </w:r>
          </w:p>
          <w:p>
            <w:pPr>
              <w:widowControl/>
              <w:spacing w:line="360" w:lineRule="exact"/>
              <w:jc w:val="left"/>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目标3：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315" w:type="pct"/>
            <w:vMerge w:val="restart"/>
            <w:vAlign w:val="center"/>
          </w:tcPr>
          <w:p>
            <w:pPr>
              <w:widowControl/>
              <w:spacing w:line="360" w:lineRule="exact"/>
              <w:jc w:val="center"/>
              <w:rPr>
                <w:rFonts w:cs="宋体" w:asciiTheme="minorEastAsia" w:hAnsiTheme="minorEastAsia" w:eastAsiaTheme="minorEastAsia"/>
                <w:bCs/>
                <w:kern w:val="0"/>
                <w:sz w:val="18"/>
                <w:szCs w:val="18"/>
              </w:rPr>
            </w:pPr>
            <w:r>
              <w:rPr>
                <w:rFonts w:hint="eastAsia" w:cs="宋体" w:asciiTheme="minorEastAsia" w:hAnsiTheme="minorEastAsia" w:eastAsiaTheme="minorEastAsia"/>
                <w:bCs/>
                <w:kern w:val="0"/>
                <w:sz w:val="18"/>
                <w:szCs w:val="18"/>
              </w:rPr>
              <w:t>绩效指标</w:t>
            </w:r>
          </w:p>
        </w:tc>
        <w:tc>
          <w:tcPr>
            <w:tcW w:w="794" w:type="pct"/>
            <w:gridSpan w:val="2"/>
            <w:vAlign w:val="center"/>
          </w:tcPr>
          <w:p>
            <w:pPr>
              <w:widowControl/>
              <w:spacing w:line="360" w:lineRule="exact"/>
              <w:jc w:val="center"/>
              <w:rPr>
                <w:rFonts w:cs="宋体" w:asciiTheme="minorEastAsia" w:hAnsiTheme="minorEastAsia" w:eastAsiaTheme="minorEastAsia"/>
                <w:bCs/>
                <w:kern w:val="0"/>
                <w:sz w:val="18"/>
                <w:szCs w:val="18"/>
              </w:rPr>
            </w:pPr>
            <w:r>
              <w:rPr>
                <w:rFonts w:hint="eastAsia" w:cs="宋体" w:asciiTheme="minorEastAsia" w:hAnsiTheme="minorEastAsia" w:eastAsiaTheme="minorEastAsia"/>
                <w:bCs/>
                <w:kern w:val="0"/>
                <w:sz w:val="18"/>
                <w:szCs w:val="18"/>
              </w:rPr>
              <w:t>一级指标</w:t>
            </w:r>
          </w:p>
        </w:tc>
        <w:tc>
          <w:tcPr>
            <w:tcW w:w="1334" w:type="pct"/>
            <w:vAlign w:val="center"/>
          </w:tcPr>
          <w:p>
            <w:pPr>
              <w:widowControl/>
              <w:spacing w:line="360" w:lineRule="exact"/>
              <w:jc w:val="center"/>
              <w:rPr>
                <w:rFonts w:cs="宋体" w:asciiTheme="minorEastAsia" w:hAnsiTheme="minorEastAsia" w:eastAsiaTheme="minorEastAsia"/>
                <w:bCs/>
                <w:kern w:val="0"/>
                <w:sz w:val="18"/>
                <w:szCs w:val="18"/>
              </w:rPr>
            </w:pPr>
            <w:r>
              <w:rPr>
                <w:rFonts w:hint="eastAsia" w:cs="宋体" w:asciiTheme="minorEastAsia" w:hAnsiTheme="minorEastAsia" w:eastAsiaTheme="minorEastAsia"/>
                <w:bCs/>
                <w:kern w:val="0"/>
                <w:sz w:val="18"/>
                <w:szCs w:val="18"/>
              </w:rPr>
              <w:t>二级指标</w:t>
            </w:r>
          </w:p>
        </w:tc>
        <w:tc>
          <w:tcPr>
            <w:tcW w:w="979" w:type="pct"/>
            <w:gridSpan w:val="2"/>
            <w:vAlign w:val="center"/>
          </w:tcPr>
          <w:p>
            <w:pPr>
              <w:widowControl/>
              <w:spacing w:line="360" w:lineRule="exact"/>
              <w:jc w:val="center"/>
              <w:rPr>
                <w:rFonts w:cs="宋体" w:asciiTheme="minorEastAsia" w:hAnsiTheme="minorEastAsia" w:eastAsiaTheme="minorEastAsia"/>
                <w:bCs/>
                <w:kern w:val="0"/>
                <w:sz w:val="18"/>
                <w:szCs w:val="18"/>
              </w:rPr>
            </w:pPr>
            <w:r>
              <w:rPr>
                <w:rFonts w:hint="eastAsia" w:cs="宋体" w:asciiTheme="minorEastAsia" w:hAnsiTheme="minorEastAsia" w:eastAsiaTheme="minorEastAsia"/>
                <w:bCs/>
                <w:kern w:val="0"/>
                <w:sz w:val="18"/>
                <w:szCs w:val="18"/>
              </w:rPr>
              <w:t>三级指标</w:t>
            </w:r>
          </w:p>
        </w:tc>
        <w:tc>
          <w:tcPr>
            <w:tcW w:w="1578" w:type="pct"/>
            <w:gridSpan w:val="2"/>
            <w:vAlign w:val="center"/>
          </w:tcPr>
          <w:p>
            <w:pPr>
              <w:widowControl/>
              <w:spacing w:line="360" w:lineRule="exact"/>
              <w:jc w:val="center"/>
              <w:rPr>
                <w:rFonts w:cs="宋体" w:asciiTheme="minorEastAsia" w:hAnsiTheme="minorEastAsia" w:eastAsiaTheme="minorEastAsia"/>
                <w:bCs/>
                <w:kern w:val="0"/>
                <w:sz w:val="18"/>
                <w:szCs w:val="18"/>
              </w:rPr>
            </w:pPr>
            <w:r>
              <w:rPr>
                <w:rFonts w:hint="eastAsia" w:cs="宋体" w:asciiTheme="minorEastAsia" w:hAnsiTheme="minorEastAsia" w:eastAsiaTheme="minorEastAsia"/>
                <w:bCs/>
                <w:kern w:val="0"/>
                <w:sz w:val="18"/>
                <w:szCs w:val="18"/>
              </w:rPr>
              <w:t>指标值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restart"/>
            <w:vAlign w:val="center"/>
          </w:tcPr>
          <w:p>
            <w:pPr>
              <w:widowControl/>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成本指标</w:t>
            </w:r>
          </w:p>
        </w:tc>
        <w:tc>
          <w:tcPr>
            <w:tcW w:w="1334" w:type="pct"/>
            <w:vAlign w:val="center"/>
          </w:tcPr>
          <w:p>
            <w:pPr>
              <w:widowControl/>
              <w:spacing w:line="360" w:lineRule="exact"/>
              <w:jc w:val="center"/>
              <w:rPr>
                <w:rFonts w:cs="宋体" w:asciiTheme="minorEastAsia" w:hAnsiTheme="minorEastAsia" w:eastAsiaTheme="minorEastAsia"/>
                <w:bCs/>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334" w:type="pct"/>
            <w:vAlign w:val="center"/>
          </w:tcPr>
          <w:p>
            <w:pPr>
              <w:widowControl/>
              <w:spacing w:line="360" w:lineRule="exact"/>
              <w:jc w:val="center"/>
              <w:rPr>
                <w:rFonts w:cs="宋体" w:asciiTheme="minorEastAsia" w:hAnsiTheme="minorEastAsia" w:eastAsiaTheme="minorEastAsia"/>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334" w:type="pct"/>
            <w:vAlign w:val="center"/>
          </w:tcPr>
          <w:p>
            <w:pPr>
              <w:widowControl/>
              <w:spacing w:line="360" w:lineRule="exact"/>
              <w:jc w:val="center"/>
              <w:rPr>
                <w:rFonts w:cs="宋体" w:asciiTheme="minorEastAsia" w:hAnsiTheme="minorEastAsia" w:eastAsiaTheme="minorEastAsia"/>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restart"/>
            <w:vAlign w:val="center"/>
          </w:tcPr>
          <w:p>
            <w:pPr>
              <w:widowControl/>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产出指标</w:t>
            </w:r>
          </w:p>
        </w:tc>
        <w:tc>
          <w:tcPr>
            <w:tcW w:w="1334" w:type="pct"/>
            <w:vAlign w:val="center"/>
          </w:tcPr>
          <w:p>
            <w:pPr>
              <w:widowControl/>
              <w:spacing w:line="360" w:lineRule="exact"/>
              <w:jc w:val="center"/>
              <w:rPr>
                <w:rFonts w:cs="宋体" w:asciiTheme="minorEastAsia" w:hAnsiTheme="minorEastAsia" w:eastAsiaTheme="minorEastAsia"/>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334" w:type="pct"/>
            <w:vAlign w:val="center"/>
          </w:tcPr>
          <w:p>
            <w:pPr>
              <w:widowControl/>
              <w:spacing w:line="360" w:lineRule="exact"/>
              <w:jc w:val="center"/>
              <w:rPr>
                <w:rFonts w:cs="宋体" w:asciiTheme="minorEastAsia" w:hAnsiTheme="minorEastAsia" w:eastAsiaTheme="minorEastAsia"/>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334" w:type="pct"/>
            <w:vAlign w:val="center"/>
          </w:tcPr>
          <w:p>
            <w:pPr>
              <w:widowControl/>
              <w:spacing w:line="360" w:lineRule="exact"/>
              <w:jc w:val="center"/>
              <w:rPr>
                <w:rFonts w:cs="宋体" w:asciiTheme="minorEastAsia" w:hAnsiTheme="minorEastAsia" w:eastAsiaTheme="minorEastAsia"/>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restart"/>
            <w:vAlign w:val="center"/>
          </w:tcPr>
          <w:p>
            <w:pPr>
              <w:widowControl/>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效益指标</w:t>
            </w:r>
          </w:p>
        </w:tc>
        <w:tc>
          <w:tcPr>
            <w:tcW w:w="1334" w:type="pct"/>
            <w:vAlign w:val="center"/>
          </w:tcPr>
          <w:p>
            <w:pPr>
              <w:widowControl/>
              <w:spacing w:line="360" w:lineRule="exact"/>
              <w:jc w:val="center"/>
              <w:rPr>
                <w:rFonts w:cs="宋体" w:asciiTheme="minorEastAsia" w:hAnsiTheme="minorEastAsia" w:eastAsiaTheme="minorEastAsia"/>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334" w:type="pct"/>
            <w:vAlign w:val="center"/>
          </w:tcPr>
          <w:p>
            <w:pPr>
              <w:widowControl/>
              <w:spacing w:line="360" w:lineRule="exact"/>
              <w:jc w:val="center"/>
              <w:rPr>
                <w:rFonts w:cs="宋体" w:asciiTheme="minorEastAsia" w:hAnsiTheme="minorEastAsia" w:eastAsiaTheme="minorEastAsia"/>
                <w:b/>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334" w:type="pct"/>
            <w:vAlign w:val="center"/>
          </w:tcPr>
          <w:p>
            <w:pPr>
              <w:widowControl/>
              <w:spacing w:line="360" w:lineRule="exact"/>
              <w:jc w:val="center"/>
              <w:rPr>
                <w:rFonts w:cs="宋体" w:asciiTheme="minorEastAsia" w:hAnsiTheme="minorEastAsia" w:eastAsiaTheme="minorEastAsia"/>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restart"/>
            <w:vAlign w:val="center"/>
          </w:tcPr>
          <w:p>
            <w:pPr>
              <w:widowControl/>
              <w:spacing w:line="360" w:lineRule="exact"/>
              <w:jc w:val="center"/>
              <w:rPr>
                <w:rFonts w:cs="宋体" w:asciiTheme="minorEastAsia" w:hAnsiTheme="minorEastAsia" w:eastAsiaTheme="minorEastAsia"/>
                <w:kern w:val="0"/>
                <w:sz w:val="18"/>
                <w:szCs w:val="18"/>
              </w:rPr>
            </w:pPr>
            <w:r>
              <w:rPr>
                <w:rFonts w:hint="eastAsia" w:cs="宋体" w:asciiTheme="minorEastAsia" w:hAnsiTheme="minorEastAsia" w:eastAsiaTheme="minorEastAsia"/>
                <w:kern w:val="0"/>
                <w:sz w:val="18"/>
                <w:szCs w:val="18"/>
              </w:rPr>
              <w:t>满意度指标</w:t>
            </w:r>
          </w:p>
        </w:tc>
        <w:tc>
          <w:tcPr>
            <w:tcW w:w="1334" w:type="pct"/>
            <w:vAlign w:val="center"/>
          </w:tcPr>
          <w:p>
            <w:pPr>
              <w:widowControl/>
              <w:spacing w:line="360" w:lineRule="exact"/>
              <w:jc w:val="center"/>
              <w:rPr>
                <w:rFonts w:cs="宋体" w:asciiTheme="minorEastAsia" w:hAnsiTheme="minorEastAsia" w:eastAsiaTheme="minorEastAsia"/>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334" w:type="pct"/>
            <w:vAlign w:val="center"/>
          </w:tcPr>
          <w:p>
            <w:pPr>
              <w:widowControl/>
              <w:spacing w:line="360" w:lineRule="exact"/>
              <w:jc w:val="center"/>
              <w:rPr>
                <w:rFonts w:cs="宋体" w:asciiTheme="minorEastAsia" w:hAnsiTheme="minorEastAsia" w:eastAsiaTheme="minorEastAsia"/>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5" w:type="pct"/>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794" w:type="pct"/>
            <w:gridSpan w:val="2"/>
            <w:vMerge w:val="continue"/>
            <w:vAlign w:val="center"/>
          </w:tcPr>
          <w:p>
            <w:pPr>
              <w:widowControl/>
              <w:spacing w:line="360" w:lineRule="exact"/>
              <w:jc w:val="center"/>
              <w:rPr>
                <w:rFonts w:cs="宋体" w:asciiTheme="minorEastAsia" w:hAnsiTheme="minorEastAsia" w:eastAsiaTheme="minorEastAsia"/>
                <w:kern w:val="0"/>
                <w:sz w:val="18"/>
                <w:szCs w:val="18"/>
              </w:rPr>
            </w:pPr>
          </w:p>
        </w:tc>
        <w:tc>
          <w:tcPr>
            <w:tcW w:w="1334" w:type="pct"/>
            <w:vAlign w:val="center"/>
          </w:tcPr>
          <w:p>
            <w:pPr>
              <w:widowControl/>
              <w:spacing w:line="360" w:lineRule="exact"/>
              <w:jc w:val="center"/>
              <w:rPr>
                <w:rFonts w:cs="宋体" w:asciiTheme="minorEastAsia" w:hAnsiTheme="minorEastAsia" w:eastAsiaTheme="minorEastAsia"/>
                <w:kern w:val="0"/>
                <w:sz w:val="18"/>
                <w:szCs w:val="18"/>
              </w:rPr>
            </w:pPr>
          </w:p>
        </w:tc>
        <w:tc>
          <w:tcPr>
            <w:tcW w:w="979" w:type="pct"/>
            <w:gridSpan w:val="2"/>
            <w:vAlign w:val="center"/>
          </w:tcPr>
          <w:p>
            <w:pPr>
              <w:widowControl/>
              <w:spacing w:line="360" w:lineRule="exact"/>
              <w:jc w:val="center"/>
              <w:rPr>
                <w:rFonts w:cs="宋体" w:asciiTheme="minorEastAsia" w:hAnsiTheme="minorEastAsia" w:eastAsiaTheme="minorEastAsia"/>
                <w:kern w:val="0"/>
                <w:sz w:val="18"/>
                <w:szCs w:val="18"/>
              </w:rPr>
            </w:pPr>
          </w:p>
        </w:tc>
        <w:tc>
          <w:tcPr>
            <w:tcW w:w="1578" w:type="pct"/>
            <w:gridSpan w:val="2"/>
            <w:vAlign w:val="center"/>
          </w:tcPr>
          <w:p>
            <w:pPr>
              <w:widowControl/>
              <w:spacing w:line="360" w:lineRule="exact"/>
              <w:jc w:val="center"/>
              <w:rPr>
                <w:rFonts w:cs="宋体" w:asciiTheme="minorEastAsia" w:hAnsiTheme="minorEastAsia" w:eastAsiaTheme="minorEastAsia"/>
                <w:kern w:val="0"/>
                <w:sz w:val="18"/>
                <w:szCs w:val="18"/>
              </w:rPr>
            </w:pPr>
          </w:p>
        </w:tc>
      </w:tr>
    </w:tbl>
    <w:p>
      <w:pPr>
        <w:tabs>
          <w:tab w:val="left" w:pos="1848"/>
        </w:tabs>
      </w:pPr>
    </w:p>
    <w:sectPr>
      <w:footerReference r:id="rId3"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imesNewRomanPS-BoldMT">
    <w:altName w:val="Segoe Print"/>
    <w:panose1 w:val="00000000000000000000"/>
    <w:charset w:val="00"/>
    <w:family w:val="roman"/>
    <w:pitch w:val="default"/>
    <w:sig w:usb0="00000000" w:usb1="00000000" w:usb2="00000000" w:usb3="00000000" w:csb0="00000000" w:csb1="00000000"/>
  </w:font>
  <w:font w:name="CIDFont+F6">
    <w:altName w:val="仿宋"/>
    <w:panose1 w:val="00000000000000000000"/>
    <w:charset w:val="00"/>
    <w:family w:val="roman"/>
    <w:pitch w:val="default"/>
    <w:sig w:usb0="00000000" w:usb1="00000000" w:usb2="00000000" w:usb3="00000000" w:csb0="00000000" w:csb1="00000000"/>
  </w:font>
  <w:font w:name="CIDFont+F4">
    <w:altName w:val="仿宋"/>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Nimbus Roman No9 L">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27</w: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OGRmMmJmMjg2NTNjMmY5ODk5NjlmYmUyOGYxNTQifQ=="/>
  </w:docVars>
  <w:rsids>
    <w:rsidRoot w:val="00FB4362"/>
    <w:rsid w:val="00000C55"/>
    <w:rsid w:val="00001446"/>
    <w:rsid w:val="0001130C"/>
    <w:rsid w:val="00011F27"/>
    <w:rsid w:val="00012457"/>
    <w:rsid w:val="00021BBF"/>
    <w:rsid w:val="00030443"/>
    <w:rsid w:val="00030F4C"/>
    <w:rsid w:val="0003278A"/>
    <w:rsid w:val="000368FE"/>
    <w:rsid w:val="00042A06"/>
    <w:rsid w:val="00043601"/>
    <w:rsid w:val="000442B5"/>
    <w:rsid w:val="0004639D"/>
    <w:rsid w:val="000465E2"/>
    <w:rsid w:val="0005161F"/>
    <w:rsid w:val="000547D1"/>
    <w:rsid w:val="00055759"/>
    <w:rsid w:val="000612EE"/>
    <w:rsid w:val="00061BAF"/>
    <w:rsid w:val="0006337D"/>
    <w:rsid w:val="00074626"/>
    <w:rsid w:val="00076B62"/>
    <w:rsid w:val="00082093"/>
    <w:rsid w:val="000861D5"/>
    <w:rsid w:val="0009273A"/>
    <w:rsid w:val="000A20A7"/>
    <w:rsid w:val="000A655B"/>
    <w:rsid w:val="000B54DD"/>
    <w:rsid w:val="000C2055"/>
    <w:rsid w:val="000C2B7F"/>
    <w:rsid w:val="000C37BE"/>
    <w:rsid w:val="000C4C50"/>
    <w:rsid w:val="000D0130"/>
    <w:rsid w:val="000D2EEE"/>
    <w:rsid w:val="000D2F19"/>
    <w:rsid w:val="000E0CEA"/>
    <w:rsid w:val="000F3CBF"/>
    <w:rsid w:val="000F3F42"/>
    <w:rsid w:val="000F473D"/>
    <w:rsid w:val="001017F3"/>
    <w:rsid w:val="0011297B"/>
    <w:rsid w:val="00123768"/>
    <w:rsid w:val="00126B08"/>
    <w:rsid w:val="001272E5"/>
    <w:rsid w:val="00127D01"/>
    <w:rsid w:val="00130F5F"/>
    <w:rsid w:val="001374F5"/>
    <w:rsid w:val="00152FDC"/>
    <w:rsid w:val="001561FD"/>
    <w:rsid w:val="0015647B"/>
    <w:rsid w:val="00156619"/>
    <w:rsid w:val="00156C8B"/>
    <w:rsid w:val="00160A8C"/>
    <w:rsid w:val="001700B4"/>
    <w:rsid w:val="00171070"/>
    <w:rsid w:val="001A416A"/>
    <w:rsid w:val="001A6118"/>
    <w:rsid w:val="001B0364"/>
    <w:rsid w:val="001B0B8E"/>
    <w:rsid w:val="001B342F"/>
    <w:rsid w:val="001C1259"/>
    <w:rsid w:val="001D1DA7"/>
    <w:rsid w:val="001E17E4"/>
    <w:rsid w:val="001E2410"/>
    <w:rsid w:val="001E347C"/>
    <w:rsid w:val="001E6110"/>
    <w:rsid w:val="001F3C4D"/>
    <w:rsid w:val="002033EA"/>
    <w:rsid w:val="00214046"/>
    <w:rsid w:val="0022561F"/>
    <w:rsid w:val="00232DBE"/>
    <w:rsid w:val="002355E7"/>
    <w:rsid w:val="00235F73"/>
    <w:rsid w:val="0023681E"/>
    <w:rsid w:val="00241FEC"/>
    <w:rsid w:val="00243562"/>
    <w:rsid w:val="0025164A"/>
    <w:rsid w:val="00265C3D"/>
    <w:rsid w:val="00266C2E"/>
    <w:rsid w:val="00270DF8"/>
    <w:rsid w:val="002754B3"/>
    <w:rsid w:val="0028392B"/>
    <w:rsid w:val="002934F2"/>
    <w:rsid w:val="002A3A19"/>
    <w:rsid w:val="002A3ED4"/>
    <w:rsid w:val="002A7274"/>
    <w:rsid w:val="002B2833"/>
    <w:rsid w:val="002B7BA1"/>
    <w:rsid w:val="002C01BB"/>
    <w:rsid w:val="002C3FA4"/>
    <w:rsid w:val="002E2161"/>
    <w:rsid w:val="002E30F2"/>
    <w:rsid w:val="002E4E72"/>
    <w:rsid w:val="002F0CE0"/>
    <w:rsid w:val="002F4ED9"/>
    <w:rsid w:val="002F75FE"/>
    <w:rsid w:val="002F7FA5"/>
    <w:rsid w:val="003017F4"/>
    <w:rsid w:val="00301AAB"/>
    <w:rsid w:val="00306B68"/>
    <w:rsid w:val="003129FE"/>
    <w:rsid w:val="003322AC"/>
    <w:rsid w:val="00335342"/>
    <w:rsid w:val="00343A8E"/>
    <w:rsid w:val="00345713"/>
    <w:rsid w:val="003566B9"/>
    <w:rsid w:val="00356C98"/>
    <w:rsid w:val="0036367B"/>
    <w:rsid w:val="0036496C"/>
    <w:rsid w:val="00365414"/>
    <w:rsid w:val="00372734"/>
    <w:rsid w:val="00372A33"/>
    <w:rsid w:val="0037374A"/>
    <w:rsid w:val="00377A88"/>
    <w:rsid w:val="00392E2B"/>
    <w:rsid w:val="003A396F"/>
    <w:rsid w:val="003A68FD"/>
    <w:rsid w:val="003A7A18"/>
    <w:rsid w:val="003B3187"/>
    <w:rsid w:val="003B327A"/>
    <w:rsid w:val="003B4612"/>
    <w:rsid w:val="003B76D2"/>
    <w:rsid w:val="003D6D41"/>
    <w:rsid w:val="003E3B0A"/>
    <w:rsid w:val="0040581D"/>
    <w:rsid w:val="00417BF3"/>
    <w:rsid w:val="00425D21"/>
    <w:rsid w:val="00426463"/>
    <w:rsid w:val="00427875"/>
    <w:rsid w:val="004317A0"/>
    <w:rsid w:val="0043556D"/>
    <w:rsid w:val="0043739B"/>
    <w:rsid w:val="00441579"/>
    <w:rsid w:val="004418B5"/>
    <w:rsid w:val="00445789"/>
    <w:rsid w:val="00463FB8"/>
    <w:rsid w:val="00480A2F"/>
    <w:rsid w:val="00480B47"/>
    <w:rsid w:val="00481F19"/>
    <w:rsid w:val="00487BC0"/>
    <w:rsid w:val="00490FF8"/>
    <w:rsid w:val="004A1851"/>
    <w:rsid w:val="004B337A"/>
    <w:rsid w:val="004B5538"/>
    <w:rsid w:val="004C3127"/>
    <w:rsid w:val="004D27C3"/>
    <w:rsid w:val="004D44D2"/>
    <w:rsid w:val="004D491E"/>
    <w:rsid w:val="004E3E51"/>
    <w:rsid w:val="004E625A"/>
    <w:rsid w:val="004F73BD"/>
    <w:rsid w:val="00502474"/>
    <w:rsid w:val="00515110"/>
    <w:rsid w:val="00523062"/>
    <w:rsid w:val="00532434"/>
    <w:rsid w:val="00537019"/>
    <w:rsid w:val="0054271B"/>
    <w:rsid w:val="00545281"/>
    <w:rsid w:val="00551A39"/>
    <w:rsid w:val="00566585"/>
    <w:rsid w:val="00580A2F"/>
    <w:rsid w:val="005A2CB7"/>
    <w:rsid w:val="005B15C7"/>
    <w:rsid w:val="005B51EA"/>
    <w:rsid w:val="005C6B92"/>
    <w:rsid w:val="005F4CC9"/>
    <w:rsid w:val="0060056E"/>
    <w:rsid w:val="006039C9"/>
    <w:rsid w:val="00605602"/>
    <w:rsid w:val="00605D22"/>
    <w:rsid w:val="00620A03"/>
    <w:rsid w:val="00621126"/>
    <w:rsid w:val="0062145A"/>
    <w:rsid w:val="00633C60"/>
    <w:rsid w:val="00645C9F"/>
    <w:rsid w:val="00650775"/>
    <w:rsid w:val="0065388D"/>
    <w:rsid w:val="00655506"/>
    <w:rsid w:val="00674396"/>
    <w:rsid w:val="006849AD"/>
    <w:rsid w:val="006853A7"/>
    <w:rsid w:val="0069507F"/>
    <w:rsid w:val="006955DD"/>
    <w:rsid w:val="00697A98"/>
    <w:rsid w:val="006A0492"/>
    <w:rsid w:val="006A3DED"/>
    <w:rsid w:val="006A6E23"/>
    <w:rsid w:val="006B05FF"/>
    <w:rsid w:val="006C4D2E"/>
    <w:rsid w:val="006D3D60"/>
    <w:rsid w:val="006E1F9C"/>
    <w:rsid w:val="006E4A2C"/>
    <w:rsid w:val="006E721A"/>
    <w:rsid w:val="006F0E11"/>
    <w:rsid w:val="006F40C8"/>
    <w:rsid w:val="00700872"/>
    <w:rsid w:val="00706BB4"/>
    <w:rsid w:val="00714029"/>
    <w:rsid w:val="007203B6"/>
    <w:rsid w:val="007222C1"/>
    <w:rsid w:val="00725205"/>
    <w:rsid w:val="0074091B"/>
    <w:rsid w:val="00740927"/>
    <w:rsid w:val="00744302"/>
    <w:rsid w:val="00747C60"/>
    <w:rsid w:val="007732EA"/>
    <w:rsid w:val="00777EA3"/>
    <w:rsid w:val="007933F9"/>
    <w:rsid w:val="00793C7B"/>
    <w:rsid w:val="007954B6"/>
    <w:rsid w:val="007A5E22"/>
    <w:rsid w:val="007B3768"/>
    <w:rsid w:val="007B5395"/>
    <w:rsid w:val="007C38FB"/>
    <w:rsid w:val="007C6434"/>
    <w:rsid w:val="007D4E4C"/>
    <w:rsid w:val="007D5F13"/>
    <w:rsid w:val="007D69F8"/>
    <w:rsid w:val="007E4819"/>
    <w:rsid w:val="007E4E03"/>
    <w:rsid w:val="007E7289"/>
    <w:rsid w:val="00805F3F"/>
    <w:rsid w:val="00817A5D"/>
    <w:rsid w:val="00821209"/>
    <w:rsid w:val="00821491"/>
    <w:rsid w:val="00831411"/>
    <w:rsid w:val="00842536"/>
    <w:rsid w:val="00843692"/>
    <w:rsid w:val="0085135B"/>
    <w:rsid w:val="0085287C"/>
    <w:rsid w:val="008559B6"/>
    <w:rsid w:val="008559FD"/>
    <w:rsid w:val="00855E65"/>
    <w:rsid w:val="0085612E"/>
    <w:rsid w:val="00880868"/>
    <w:rsid w:val="00880D30"/>
    <w:rsid w:val="008811AD"/>
    <w:rsid w:val="008812FA"/>
    <w:rsid w:val="008B222B"/>
    <w:rsid w:val="008C138F"/>
    <w:rsid w:val="008C204C"/>
    <w:rsid w:val="008C2625"/>
    <w:rsid w:val="008C4FE2"/>
    <w:rsid w:val="008D4D6A"/>
    <w:rsid w:val="008F7014"/>
    <w:rsid w:val="009049E9"/>
    <w:rsid w:val="00907F9B"/>
    <w:rsid w:val="00911503"/>
    <w:rsid w:val="00917C2D"/>
    <w:rsid w:val="009209B6"/>
    <w:rsid w:val="00923CB4"/>
    <w:rsid w:val="009335E0"/>
    <w:rsid w:val="00941732"/>
    <w:rsid w:val="009510F3"/>
    <w:rsid w:val="00954018"/>
    <w:rsid w:val="00955590"/>
    <w:rsid w:val="00970435"/>
    <w:rsid w:val="009704EC"/>
    <w:rsid w:val="00971619"/>
    <w:rsid w:val="00982EAB"/>
    <w:rsid w:val="0098505E"/>
    <w:rsid w:val="00991480"/>
    <w:rsid w:val="009945A7"/>
    <w:rsid w:val="00995E63"/>
    <w:rsid w:val="0099643D"/>
    <w:rsid w:val="009969DC"/>
    <w:rsid w:val="00996BA5"/>
    <w:rsid w:val="009A0F79"/>
    <w:rsid w:val="009A3C75"/>
    <w:rsid w:val="009B03F2"/>
    <w:rsid w:val="009C4EE2"/>
    <w:rsid w:val="009D46B1"/>
    <w:rsid w:val="009E7F6E"/>
    <w:rsid w:val="009F2B6A"/>
    <w:rsid w:val="009F5541"/>
    <w:rsid w:val="00A01204"/>
    <w:rsid w:val="00A022BA"/>
    <w:rsid w:val="00A256AC"/>
    <w:rsid w:val="00A32BE3"/>
    <w:rsid w:val="00A4207A"/>
    <w:rsid w:val="00A5653E"/>
    <w:rsid w:val="00A63533"/>
    <w:rsid w:val="00A641FB"/>
    <w:rsid w:val="00A723C4"/>
    <w:rsid w:val="00A72D2B"/>
    <w:rsid w:val="00A820E9"/>
    <w:rsid w:val="00A82942"/>
    <w:rsid w:val="00A83E24"/>
    <w:rsid w:val="00AA20F8"/>
    <w:rsid w:val="00AA327B"/>
    <w:rsid w:val="00AA55AF"/>
    <w:rsid w:val="00AB19A5"/>
    <w:rsid w:val="00AC2FD6"/>
    <w:rsid w:val="00AC78FC"/>
    <w:rsid w:val="00AD4CFE"/>
    <w:rsid w:val="00AE79BA"/>
    <w:rsid w:val="00AF350E"/>
    <w:rsid w:val="00AF3D8F"/>
    <w:rsid w:val="00AF5273"/>
    <w:rsid w:val="00AF5D3D"/>
    <w:rsid w:val="00B0671C"/>
    <w:rsid w:val="00B13495"/>
    <w:rsid w:val="00B262DD"/>
    <w:rsid w:val="00B278DE"/>
    <w:rsid w:val="00B30287"/>
    <w:rsid w:val="00B30EBD"/>
    <w:rsid w:val="00B351C3"/>
    <w:rsid w:val="00B36AC9"/>
    <w:rsid w:val="00B36E7A"/>
    <w:rsid w:val="00B542CD"/>
    <w:rsid w:val="00B6465B"/>
    <w:rsid w:val="00B772D7"/>
    <w:rsid w:val="00B85451"/>
    <w:rsid w:val="00B86006"/>
    <w:rsid w:val="00B86D86"/>
    <w:rsid w:val="00BA2A96"/>
    <w:rsid w:val="00BA5FE5"/>
    <w:rsid w:val="00BC1FD9"/>
    <w:rsid w:val="00BC30FF"/>
    <w:rsid w:val="00BC500D"/>
    <w:rsid w:val="00BD7FD7"/>
    <w:rsid w:val="00BF1606"/>
    <w:rsid w:val="00BF1647"/>
    <w:rsid w:val="00BF5A25"/>
    <w:rsid w:val="00C06428"/>
    <w:rsid w:val="00C11347"/>
    <w:rsid w:val="00C35018"/>
    <w:rsid w:val="00C40A34"/>
    <w:rsid w:val="00C4484E"/>
    <w:rsid w:val="00C46F7C"/>
    <w:rsid w:val="00C519B5"/>
    <w:rsid w:val="00C55EDB"/>
    <w:rsid w:val="00C573E9"/>
    <w:rsid w:val="00C729DA"/>
    <w:rsid w:val="00C764B7"/>
    <w:rsid w:val="00C90B56"/>
    <w:rsid w:val="00CA3F25"/>
    <w:rsid w:val="00CB5B9D"/>
    <w:rsid w:val="00CB6428"/>
    <w:rsid w:val="00CC01A5"/>
    <w:rsid w:val="00CC2134"/>
    <w:rsid w:val="00CD255A"/>
    <w:rsid w:val="00D126EC"/>
    <w:rsid w:val="00D14955"/>
    <w:rsid w:val="00D24CD6"/>
    <w:rsid w:val="00D24FA6"/>
    <w:rsid w:val="00D544D2"/>
    <w:rsid w:val="00D660F8"/>
    <w:rsid w:val="00D744C5"/>
    <w:rsid w:val="00D827AF"/>
    <w:rsid w:val="00D8451F"/>
    <w:rsid w:val="00D8474D"/>
    <w:rsid w:val="00D84D5B"/>
    <w:rsid w:val="00D86771"/>
    <w:rsid w:val="00D90C73"/>
    <w:rsid w:val="00D90F17"/>
    <w:rsid w:val="00D9480E"/>
    <w:rsid w:val="00D94FFD"/>
    <w:rsid w:val="00DA7038"/>
    <w:rsid w:val="00DB4AF2"/>
    <w:rsid w:val="00DB572A"/>
    <w:rsid w:val="00DC14B3"/>
    <w:rsid w:val="00DC399C"/>
    <w:rsid w:val="00DC7D6D"/>
    <w:rsid w:val="00DD2999"/>
    <w:rsid w:val="00DD2B43"/>
    <w:rsid w:val="00DD2CF8"/>
    <w:rsid w:val="00DD5C58"/>
    <w:rsid w:val="00DE240B"/>
    <w:rsid w:val="00DE529C"/>
    <w:rsid w:val="00DE6D9E"/>
    <w:rsid w:val="00DF3482"/>
    <w:rsid w:val="00DF450F"/>
    <w:rsid w:val="00E04A58"/>
    <w:rsid w:val="00E07425"/>
    <w:rsid w:val="00E07A05"/>
    <w:rsid w:val="00E16025"/>
    <w:rsid w:val="00E167FD"/>
    <w:rsid w:val="00E16F50"/>
    <w:rsid w:val="00E24179"/>
    <w:rsid w:val="00E31783"/>
    <w:rsid w:val="00E36636"/>
    <w:rsid w:val="00E43A34"/>
    <w:rsid w:val="00E44D37"/>
    <w:rsid w:val="00E52850"/>
    <w:rsid w:val="00E609A5"/>
    <w:rsid w:val="00E61928"/>
    <w:rsid w:val="00E656D2"/>
    <w:rsid w:val="00E7276C"/>
    <w:rsid w:val="00E80370"/>
    <w:rsid w:val="00E84382"/>
    <w:rsid w:val="00E9180B"/>
    <w:rsid w:val="00EA0646"/>
    <w:rsid w:val="00EA2BA4"/>
    <w:rsid w:val="00EA3103"/>
    <w:rsid w:val="00EB15C1"/>
    <w:rsid w:val="00EC325A"/>
    <w:rsid w:val="00EC3A8E"/>
    <w:rsid w:val="00EC57F0"/>
    <w:rsid w:val="00ED68AF"/>
    <w:rsid w:val="00EF2E7C"/>
    <w:rsid w:val="00F01A6E"/>
    <w:rsid w:val="00F11811"/>
    <w:rsid w:val="00F20178"/>
    <w:rsid w:val="00F23C6C"/>
    <w:rsid w:val="00F24BC8"/>
    <w:rsid w:val="00F25045"/>
    <w:rsid w:val="00F30F3E"/>
    <w:rsid w:val="00F32002"/>
    <w:rsid w:val="00F4605D"/>
    <w:rsid w:val="00F51EF5"/>
    <w:rsid w:val="00F74928"/>
    <w:rsid w:val="00F8197E"/>
    <w:rsid w:val="00F833B1"/>
    <w:rsid w:val="00F87D90"/>
    <w:rsid w:val="00F90495"/>
    <w:rsid w:val="00FA4179"/>
    <w:rsid w:val="00FB4362"/>
    <w:rsid w:val="00FB53A1"/>
    <w:rsid w:val="00FD30CF"/>
    <w:rsid w:val="00FE0E46"/>
    <w:rsid w:val="00FF0AEC"/>
    <w:rsid w:val="00FF1DF4"/>
    <w:rsid w:val="00FF4165"/>
    <w:rsid w:val="01DB6127"/>
    <w:rsid w:val="0295277A"/>
    <w:rsid w:val="06085010"/>
    <w:rsid w:val="06636682"/>
    <w:rsid w:val="07D93108"/>
    <w:rsid w:val="0DC108C7"/>
    <w:rsid w:val="10D4446D"/>
    <w:rsid w:val="113741D2"/>
    <w:rsid w:val="11AC0F5B"/>
    <w:rsid w:val="19BC1F42"/>
    <w:rsid w:val="1D34261E"/>
    <w:rsid w:val="1F9A66E1"/>
    <w:rsid w:val="22EF3388"/>
    <w:rsid w:val="23612324"/>
    <w:rsid w:val="25496D80"/>
    <w:rsid w:val="256C2A6E"/>
    <w:rsid w:val="289522DC"/>
    <w:rsid w:val="29CE1F49"/>
    <w:rsid w:val="31ED3189"/>
    <w:rsid w:val="344C063B"/>
    <w:rsid w:val="38B52C4D"/>
    <w:rsid w:val="3EF43DA9"/>
    <w:rsid w:val="409C46F8"/>
    <w:rsid w:val="420F4A55"/>
    <w:rsid w:val="4BBF129A"/>
    <w:rsid w:val="4C5C289C"/>
    <w:rsid w:val="4E4B5067"/>
    <w:rsid w:val="505563DC"/>
    <w:rsid w:val="52271947"/>
    <w:rsid w:val="527E074E"/>
    <w:rsid w:val="5511700B"/>
    <w:rsid w:val="553630E0"/>
    <w:rsid w:val="57483C61"/>
    <w:rsid w:val="579503FF"/>
    <w:rsid w:val="59633BAD"/>
    <w:rsid w:val="5E4755EA"/>
    <w:rsid w:val="5F26177B"/>
    <w:rsid w:val="60011A2A"/>
    <w:rsid w:val="6023392A"/>
    <w:rsid w:val="60535296"/>
    <w:rsid w:val="623A7E5F"/>
    <w:rsid w:val="681F1E72"/>
    <w:rsid w:val="6A3C022E"/>
    <w:rsid w:val="6D205BE5"/>
    <w:rsid w:val="72FD2525"/>
    <w:rsid w:val="74B31505"/>
    <w:rsid w:val="755C3532"/>
    <w:rsid w:val="77DB72D8"/>
    <w:rsid w:val="77FBD58C"/>
    <w:rsid w:val="7F0F1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qFormat="1" w:unhideWhenUsed="0" w:uiPriority="0" w:semiHidden="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autoRedefine/>
    <w:qFormat/>
    <w:uiPriority w:val="0"/>
    <w:pPr>
      <w:keepNext/>
      <w:keepLines/>
      <w:spacing w:before="340" w:after="330" w:line="578" w:lineRule="auto"/>
      <w:outlineLvl w:val="0"/>
    </w:pPr>
    <w:rPr>
      <w:rFonts w:ascii="Times New Roman" w:hAnsi="Times New Roman"/>
      <w:b/>
      <w:bCs/>
      <w:kern w:val="44"/>
      <w:sz w:val="44"/>
      <w:szCs w:val="44"/>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18"/>
    <w:autoRedefine/>
    <w:qFormat/>
    <w:uiPriority w:val="0"/>
    <w:pPr>
      <w:jc w:val="left"/>
    </w:pPr>
  </w:style>
  <w:style w:type="paragraph" w:styleId="4">
    <w:name w:val="Balloon Text"/>
    <w:basedOn w:val="1"/>
    <w:link w:val="15"/>
    <w:autoRedefine/>
    <w:qFormat/>
    <w:uiPriority w:val="0"/>
    <w:rPr>
      <w:sz w:val="18"/>
      <w:szCs w:val="18"/>
    </w:rPr>
  </w:style>
  <w:style w:type="paragraph" w:styleId="5">
    <w:name w:val="footer"/>
    <w:basedOn w:val="1"/>
    <w:link w:val="12"/>
    <w:autoRedefine/>
    <w:qFormat/>
    <w:uiPriority w:val="0"/>
    <w:pPr>
      <w:tabs>
        <w:tab w:val="center" w:pos="4153"/>
        <w:tab w:val="right" w:pos="8306"/>
      </w:tabs>
      <w:snapToGrid w:val="0"/>
      <w:jc w:val="left"/>
    </w:pPr>
    <w:rPr>
      <w:sz w:val="18"/>
      <w:szCs w:val="18"/>
    </w:rPr>
  </w:style>
  <w:style w:type="paragraph" w:styleId="6">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autoRedefine/>
    <w:qFormat/>
    <w:uiPriority w:val="0"/>
    <w:rPr>
      <w:b/>
      <w:bCs/>
    </w:rPr>
  </w:style>
  <w:style w:type="character" w:styleId="10">
    <w:name w:val="line number"/>
    <w:autoRedefine/>
    <w:qFormat/>
    <w:uiPriority w:val="0"/>
  </w:style>
  <w:style w:type="character" w:styleId="11">
    <w:name w:val="annotation reference"/>
    <w:autoRedefine/>
    <w:qFormat/>
    <w:uiPriority w:val="0"/>
    <w:rPr>
      <w:sz w:val="21"/>
      <w:szCs w:val="21"/>
    </w:rPr>
  </w:style>
  <w:style w:type="character" w:customStyle="1" w:styleId="12">
    <w:name w:val="页脚 Char"/>
    <w:link w:val="5"/>
    <w:autoRedefine/>
    <w:qFormat/>
    <w:uiPriority w:val="0"/>
    <w:rPr>
      <w:sz w:val="18"/>
      <w:szCs w:val="18"/>
    </w:rPr>
  </w:style>
  <w:style w:type="character" w:customStyle="1" w:styleId="13">
    <w:name w:val="页眉 Char"/>
    <w:link w:val="6"/>
    <w:autoRedefine/>
    <w:qFormat/>
    <w:uiPriority w:val="0"/>
    <w:rPr>
      <w:sz w:val="18"/>
      <w:szCs w:val="18"/>
    </w:rPr>
  </w:style>
  <w:style w:type="paragraph" w:styleId="14">
    <w:name w:val="List Paragraph"/>
    <w:basedOn w:val="1"/>
    <w:autoRedefine/>
    <w:qFormat/>
    <w:uiPriority w:val="0"/>
    <w:pPr>
      <w:ind w:firstLine="420" w:firstLineChars="200"/>
    </w:pPr>
  </w:style>
  <w:style w:type="character" w:customStyle="1" w:styleId="15">
    <w:name w:val="批注框文本 Char"/>
    <w:link w:val="4"/>
    <w:autoRedefine/>
    <w:qFormat/>
    <w:uiPriority w:val="0"/>
    <w:rPr>
      <w:kern w:val="2"/>
      <w:sz w:val="18"/>
      <w:szCs w:val="18"/>
    </w:rPr>
  </w:style>
  <w:style w:type="character" w:customStyle="1" w:styleId="16">
    <w:name w:val="标题 1 Char"/>
    <w:link w:val="2"/>
    <w:autoRedefine/>
    <w:qFormat/>
    <w:uiPriority w:val="0"/>
    <w:rPr>
      <w:rFonts w:ascii="Times New Roman" w:hAnsi="Times New Roman"/>
      <w:b/>
      <w:bCs/>
      <w:kern w:val="44"/>
      <w:sz w:val="44"/>
      <w:szCs w:val="44"/>
    </w:rPr>
  </w:style>
  <w:style w:type="paragraph" w:customStyle="1" w:styleId="17">
    <w:name w:val="TOC Heading"/>
    <w:basedOn w:val="2"/>
    <w:next w:val="1"/>
    <w:autoRedefine/>
    <w:qFormat/>
    <w:uiPriority w:val="0"/>
    <w:pPr>
      <w:widowControl/>
      <w:spacing w:before="480" w:after="0" w:line="276" w:lineRule="auto"/>
      <w:jc w:val="left"/>
      <w:outlineLvl w:val="9"/>
    </w:pPr>
    <w:rPr>
      <w:rFonts w:ascii="Cambria" w:hAnsi="Cambria"/>
      <w:color w:val="365F91"/>
      <w:kern w:val="0"/>
      <w:sz w:val="28"/>
      <w:szCs w:val="28"/>
    </w:rPr>
  </w:style>
  <w:style w:type="character" w:customStyle="1" w:styleId="18">
    <w:name w:val="批注文字 Char"/>
    <w:link w:val="3"/>
    <w:autoRedefine/>
    <w:qFormat/>
    <w:uiPriority w:val="0"/>
    <w:rPr>
      <w:kern w:val="2"/>
      <w:sz w:val="21"/>
      <w:szCs w:val="22"/>
    </w:rPr>
  </w:style>
  <w:style w:type="character" w:customStyle="1" w:styleId="19">
    <w:name w:val="批注主题 Char"/>
    <w:link w:val="7"/>
    <w:autoRedefine/>
    <w:qFormat/>
    <w:uiPriority w:val="0"/>
    <w:rPr>
      <w:b/>
      <w:bCs/>
      <w:kern w:val="2"/>
      <w:sz w:val="21"/>
      <w:szCs w:val="22"/>
    </w:rPr>
  </w:style>
  <w:style w:type="character" w:customStyle="1" w:styleId="20">
    <w:name w:val="fontstyle01"/>
    <w:autoRedefine/>
    <w:qFormat/>
    <w:uiPriority w:val="0"/>
    <w:rPr>
      <w:rFonts w:hint="eastAsia" w:ascii="仿宋_GB2312" w:eastAsia="仿宋_GB2312"/>
      <w:color w:val="000000"/>
      <w:sz w:val="32"/>
      <w:szCs w:val="32"/>
    </w:rPr>
  </w:style>
  <w:style w:type="character" w:customStyle="1" w:styleId="21">
    <w:name w:val="fontstyle21"/>
    <w:autoRedefine/>
    <w:qFormat/>
    <w:uiPriority w:val="0"/>
    <w:rPr>
      <w:rFonts w:hint="default" w:ascii="TimesNewRomanPSMT" w:hAnsi="TimesNewRomanPSMT"/>
      <w:color w:val="000000"/>
      <w:sz w:val="32"/>
      <w:szCs w:val="32"/>
    </w:rPr>
  </w:style>
  <w:style w:type="character" w:customStyle="1" w:styleId="22">
    <w:name w:val="fontstyle11"/>
    <w:autoRedefine/>
    <w:qFormat/>
    <w:uiPriority w:val="0"/>
    <w:rPr>
      <w:rFonts w:hint="eastAsia" w:ascii="仿宋_GB2312" w:eastAsia="仿宋_GB2312"/>
      <w:color w:val="000000"/>
      <w:sz w:val="32"/>
      <w:szCs w:val="32"/>
    </w:rPr>
  </w:style>
  <w:style w:type="character" w:customStyle="1" w:styleId="23">
    <w:name w:val="fontstyle31"/>
    <w:autoRedefine/>
    <w:qFormat/>
    <w:uiPriority w:val="0"/>
    <w:rPr>
      <w:rFonts w:hint="default" w:ascii="TimesNewRomanPSMT" w:hAnsi="TimesNewRomanPSMT"/>
      <w:color w:val="000000"/>
      <w:sz w:val="32"/>
      <w:szCs w:val="32"/>
    </w:rPr>
  </w:style>
  <w:style w:type="character" w:customStyle="1" w:styleId="24">
    <w:name w:val="font101"/>
    <w:basedOn w:val="9"/>
    <w:autoRedefine/>
    <w:qFormat/>
    <w:uiPriority w:val="0"/>
    <w:rPr>
      <w:rFonts w:hint="eastAsia" w:ascii="宋体" w:hAnsi="宋体" w:eastAsia="宋体" w:cs="宋体"/>
      <w:b/>
      <w:bCs/>
      <w:color w:val="000000"/>
      <w:sz w:val="18"/>
      <w:szCs w:val="18"/>
      <w:u w:val="none"/>
    </w:rPr>
  </w:style>
  <w:style w:type="character" w:customStyle="1" w:styleId="25">
    <w:name w:val="font41"/>
    <w:basedOn w:val="9"/>
    <w:autoRedefine/>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beijing</Company>
  <Pages>30</Pages>
  <Words>1440</Words>
  <Characters>8209</Characters>
  <Lines>68</Lines>
  <Paragraphs>19</Paragraphs>
  <TotalTime>67</TotalTime>
  <ScaleCrop>false</ScaleCrop>
  <LinksUpToDate>false</LinksUpToDate>
  <CharactersWithSpaces>9630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2024-01-30T17:03:00Z</dcterms:created>
  <dc:creator>home</dc:creator>
  <cp:lastModifiedBy>香蕉梨的夏天</cp:lastModifiedBy>
  <cp:lastPrinted>2024-03-11T09:26:00Z</cp:lastPrinted>
  <dcterms:modified xsi:type="dcterms:W3CDTF">2024-03-13T09:59:24Z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FE9AFC1D0A6349529FF78FC2DA279002_13</vt:lpwstr>
  </property>
</Properties>
</file>