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40" w:lineRule="exact"/>
        <w:contextualSpacing/>
        <w:rPr>
          <w:rFonts w:ascii="宋体" w:hAnsi="宋体"/>
          <w:b/>
        </w:rPr>
      </w:pPr>
      <w:r>
        <w:rPr>
          <w:rFonts w:hint="eastAsia" w:ascii="黑体" w:eastAsia="黑体"/>
          <w:sz w:val="30"/>
          <w:szCs w:val="30"/>
        </w:rPr>
        <w:t>附件1</w:t>
      </w:r>
    </w:p>
    <w:p>
      <w:pPr>
        <w:spacing w:line="360" w:lineRule="exact"/>
        <w:jc w:val="center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表一、</w:t>
      </w:r>
      <w:r>
        <w:rPr>
          <w:rFonts w:hint="eastAsia" w:ascii="仿宋_GB2312" w:hAnsi="CIDFont+F6" w:eastAsia="仿宋_GB2312"/>
          <w:color w:val="000000"/>
          <w:sz w:val="32"/>
          <w:szCs w:val="32"/>
        </w:rPr>
        <w:t>单位</w:t>
      </w:r>
      <w:r>
        <w:rPr>
          <w:rFonts w:hint="eastAsia" w:ascii="仿宋_GB2312" w:hAnsi="CIDFont+F6" w:eastAsia="仿宋_GB2312"/>
          <w:color w:val="000000"/>
          <w:sz w:val="32"/>
          <w:szCs w:val="32"/>
          <w:lang w:val="en-US" w:eastAsia="zh-CN"/>
        </w:rPr>
        <w:t>预算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收支总体情况表</w:t>
      </w:r>
    </w:p>
    <w:p>
      <w:pPr>
        <w:jc w:val="right"/>
        <w:rPr>
          <w:rFonts w:ascii="宋体" w:hAnsi="宋体" w:cs="Arial"/>
          <w:color w:val="000000"/>
          <w:kern w:val="0"/>
          <w:sz w:val="18"/>
          <w:szCs w:val="18"/>
        </w:rPr>
      </w:pPr>
      <w:r>
        <w:rPr>
          <w:rFonts w:hint="eastAsia" w:ascii="宋体" w:hAnsi="宋体" w:cs="Arial"/>
          <w:color w:val="000000"/>
          <w:kern w:val="0"/>
          <w:sz w:val="18"/>
          <w:szCs w:val="18"/>
        </w:rPr>
        <w:t>单位：万元</w:t>
      </w:r>
    </w:p>
    <w:tbl>
      <w:tblPr>
        <w:tblStyle w:val="9"/>
        <w:tblW w:w="9616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68"/>
        <w:gridCol w:w="1600"/>
        <w:gridCol w:w="3236"/>
        <w:gridCol w:w="141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49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收     入</w:t>
            </w:r>
          </w:p>
        </w:tc>
        <w:tc>
          <w:tcPr>
            <w:tcW w:w="46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支     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368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项目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预算数</w:t>
            </w:r>
          </w:p>
        </w:tc>
        <w:tc>
          <w:tcPr>
            <w:tcW w:w="3236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项目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预算数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3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一、一般公共预算财政拨款收入</w:t>
            </w:r>
          </w:p>
        </w:tc>
        <w:tc>
          <w:tcPr>
            <w:tcW w:w="160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CCCCFF" w:fill="FFFFFF"/>
            <w:noWrap/>
          </w:tcPr>
          <w:p>
            <w:pPr>
              <w:jc w:val="right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927.16</w:t>
            </w:r>
          </w:p>
        </w:tc>
        <w:tc>
          <w:tcPr>
            <w:tcW w:w="3236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一、一般公共服务支出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3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二、政府性基金预算财政拨款收入</w:t>
            </w:r>
          </w:p>
        </w:tc>
        <w:tc>
          <w:tcPr>
            <w:tcW w:w="160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CCCCFF" w:fill="FFFFFF"/>
            <w:noWrap/>
          </w:tcPr>
          <w:p>
            <w:pPr>
              <w:jc w:val="righ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36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二、外交支出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368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三、国有资本经营预算收入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CCCCFF" w:fill="FFFFFF"/>
            <w:noWrap/>
          </w:tcPr>
          <w:p>
            <w:pPr>
              <w:jc w:val="righ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36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三、国防支出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3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四、教育专户核算</w:t>
            </w:r>
          </w:p>
        </w:tc>
        <w:tc>
          <w:tcPr>
            <w:tcW w:w="160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CCCCFF" w:fill="FFFFFF"/>
            <w:noWrap/>
          </w:tcPr>
          <w:p>
            <w:pPr>
              <w:jc w:val="righ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36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四、公共安全支出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3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五、事业收入</w:t>
            </w:r>
          </w:p>
        </w:tc>
        <w:tc>
          <w:tcPr>
            <w:tcW w:w="160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CCCCFF" w:fill="FFFFFF"/>
            <w:noWrap/>
          </w:tcPr>
          <w:p>
            <w:pPr>
              <w:jc w:val="righ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36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五、教育支出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368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六、上级补助收入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CCCCFF" w:fill="FFFFFF"/>
            <w:noWrap/>
          </w:tcPr>
          <w:p>
            <w:pPr>
              <w:jc w:val="righ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36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六、科学技术支出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368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七、附属单位上缴收入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CCCCFF" w:fill="FFFFFF"/>
            <w:noWrap/>
          </w:tcPr>
          <w:p>
            <w:pPr>
              <w:jc w:val="righ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36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七、文化旅游体育与传媒支出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3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八、经营收入</w:t>
            </w:r>
          </w:p>
        </w:tc>
        <w:tc>
          <w:tcPr>
            <w:tcW w:w="160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CCCCFF" w:fill="FFFFFF"/>
            <w:noWrap/>
          </w:tcPr>
          <w:p>
            <w:pPr>
              <w:jc w:val="righ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36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八、社会保障和就业支出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CCCCFF" w:fill="FFFFFF"/>
          </w:tcPr>
          <w:p>
            <w:pPr>
              <w:jc w:val="right"/>
              <w:rPr>
                <w:rFonts w:hint="default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12.16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3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九、其他收入</w:t>
            </w:r>
          </w:p>
        </w:tc>
        <w:tc>
          <w:tcPr>
            <w:tcW w:w="160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CCCCFF" w:fill="FFFFFF"/>
            <w:noWrap/>
          </w:tcPr>
          <w:p>
            <w:pPr>
              <w:jc w:val="righ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36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九、社会保险基金支出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368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36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十、卫生健康支出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CCCCFF" w:fill="FFFFFF"/>
          </w:tcPr>
          <w:p>
            <w:pPr>
              <w:jc w:val="right"/>
              <w:rPr>
                <w:rFonts w:hint="default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1241.23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368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36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十一、节能环保支出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3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36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十二、城乡社区支出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3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36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十三、农林水支出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3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36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十四、交通运输支出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3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36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十五、资源勘探工业信息等支出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3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36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十六、商业服务业等支出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3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36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十七、金融支出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3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36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十八、援助其他地区支出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3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36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十九、自然资源海洋气象等支出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3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36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二十、住房保障支出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CCCCFF" w:fill="FFFFFF"/>
          </w:tcPr>
          <w:p>
            <w:pPr>
              <w:jc w:val="right"/>
              <w:rPr>
                <w:rFonts w:hint="default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8.57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3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36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二十一、粮油物资储备支出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3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36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二十二、国有资本经营预算支出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3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36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二十三、灾害防治及应急管理支出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3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36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二十四、预备费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3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36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二十五、其他支出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3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36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二十六、转移性支出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3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36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二十七、债务还本支出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3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36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二十八、债务付息支出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3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36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二十九、债务发行费用支出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3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36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三十、抗疫特别国债还本支出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  <w:jc w:val="center"/>
        </w:trPr>
        <w:tc>
          <w:tcPr>
            <w:tcW w:w="33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36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3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本年收入合计</w:t>
            </w:r>
          </w:p>
        </w:tc>
        <w:tc>
          <w:tcPr>
            <w:tcW w:w="160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CCCCFF" w:fill="FFFFFF"/>
            <w:noWrap/>
            <w:vAlign w:val="center"/>
          </w:tcPr>
          <w:p>
            <w:pPr>
              <w:widowControl/>
              <w:jc w:val="right"/>
              <w:rPr>
                <w:rFonts w:hint="default" w:ascii="宋体" w:hAnsi="宋体" w:eastAsia="宋体" w:cs="Arial"/>
                <w:b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  <w:lang w:val="en-US" w:eastAsia="zh-CN"/>
              </w:rPr>
              <w:t>927.16</w:t>
            </w:r>
          </w:p>
        </w:tc>
        <w:tc>
          <w:tcPr>
            <w:tcW w:w="3236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本年支出合计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CCCCFF" w:fill="FFFFFF"/>
          </w:tcPr>
          <w:p>
            <w:pPr>
              <w:jc w:val="right"/>
              <w:rPr>
                <w:rFonts w:hint="default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1261.96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3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十、上年结转</w:t>
            </w:r>
          </w:p>
        </w:tc>
        <w:tc>
          <w:tcPr>
            <w:tcW w:w="160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right"/>
              <w:rPr>
                <w:rFonts w:hint="default" w:ascii="宋体" w:hAnsi="宋体" w:eastAsia="宋体" w:cs="Arial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  <w:lang w:val="en-US" w:eastAsia="zh-CN"/>
              </w:rPr>
              <w:t>334.80</w:t>
            </w:r>
          </w:p>
        </w:tc>
        <w:tc>
          <w:tcPr>
            <w:tcW w:w="3236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三十一、结转下年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CCCCFF" w:fill="FFFFFF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3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十一、上年结余</w:t>
            </w:r>
          </w:p>
        </w:tc>
        <w:tc>
          <w:tcPr>
            <w:tcW w:w="160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36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3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收入总计</w:t>
            </w:r>
          </w:p>
        </w:tc>
        <w:tc>
          <w:tcPr>
            <w:tcW w:w="160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CCCCFF" w:fill="FFFFFF"/>
            <w:noWrap/>
            <w:vAlign w:val="center"/>
          </w:tcPr>
          <w:p>
            <w:pPr>
              <w:widowControl/>
              <w:jc w:val="right"/>
              <w:rPr>
                <w:rFonts w:hint="default" w:ascii="宋体" w:hAnsi="宋体" w:eastAsia="宋体" w:cs="Arial"/>
                <w:b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  <w:lang w:val="en-US" w:eastAsia="zh-CN"/>
              </w:rPr>
              <w:t>1261.96</w:t>
            </w:r>
          </w:p>
        </w:tc>
        <w:tc>
          <w:tcPr>
            <w:tcW w:w="323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支出总计</w:t>
            </w:r>
          </w:p>
        </w:tc>
        <w:tc>
          <w:tcPr>
            <w:tcW w:w="1412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CCCCFF" w:fill="FFFFFF"/>
            <w:vAlign w:val="center"/>
          </w:tcPr>
          <w:p>
            <w:pPr>
              <w:widowControl/>
              <w:jc w:val="right"/>
              <w:rPr>
                <w:rFonts w:hint="default" w:ascii="宋体" w:hAnsi="宋体" w:eastAsia="宋体" w:cs="Arial"/>
                <w:b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  <w:lang w:val="en-US" w:eastAsia="zh-CN"/>
              </w:rPr>
              <w:t>1261.96</w:t>
            </w:r>
          </w:p>
        </w:tc>
      </w:tr>
    </w:tbl>
    <w:p>
      <w:pPr>
        <w:widowControl/>
        <w:spacing w:line="560" w:lineRule="exact"/>
        <w:ind w:firstLine="360" w:firstLineChars="200"/>
        <w:jc w:val="left"/>
        <w:rPr>
          <w:rFonts w:ascii="仿宋_GB2312" w:hAnsi="微软雅黑" w:eastAsia="仿宋_GB2312"/>
          <w:sz w:val="18"/>
          <w:szCs w:val="18"/>
        </w:rPr>
        <w:sectPr>
          <w:footerReference r:id="rId3" w:type="default"/>
          <w:pgSz w:w="11906" w:h="16838"/>
          <w:pgMar w:top="1134" w:right="1134" w:bottom="1134" w:left="1134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hAnsi="微软雅黑" w:eastAsia="仿宋_GB2312"/>
          <w:sz w:val="18"/>
          <w:szCs w:val="18"/>
        </w:rPr>
        <w:t>备注：无内容应公开空表并说明情况。</w:t>
      </w:r>
    </w:p>
    <w:p>
      <w:pPr>
        <w:spacing w:line="600" w:lineRule="exact"/>
        <w:jc w:val="center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表二、</w:t>
      </w:r>
      <w:r>
        <w:rPr>
          <w:rFonts w:hint="eastAsia" w:ascii="仿宋_GB2312" w:hAnsi="CIDFont+F6" w:eastAsia="仿宋_GB2312"/>
          <w:color w:val="000000"/>
          <w:sz w:val="32"/>
          <w:szCs w:val="32"/>
        </w:rPr>
        <w:t>单位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收入总体情况表</w:t>
      </w:r>
    </w:p>
    <w:p>
      <w:pPr>
        <w:jc w:val="right"/>
        <w:rPr>
          <w:rFonts w:ascii="宋体" w:hAnsi="宋体" w:cs="Arial"/>
          <w:color w:val="000000"/>
          <w:kern w:val="0"/>
          <w:sz w:val="18"/>
          <w:szCs w:val="18"/>
        </w:rPr>
      </w:pPr>
      <w:r>
        <w:rPr>
          <w:rFonts w:hint="eastAsia" w:ascii="宋体" w:hAnsi="宋体" w:cs="Arial"/>
          <w:color w:val="000000"/>
          <w:kern w:val="0"/>
          <w:sz w:val="18"/>
          <w:szCs w:val="18"/>
        </w:rPr>
        <w:t>单位：万元</w:t>
      </w:r>
    </w:p>
    <w:tbl>
      <w:tblPr>
        <w:tblStyle w:val="9"/>
        <w:tblpPr w:leftFromText="180" w:rightFromText="180" w:vertAnchor="text" w:horzAnchor="page" w:tblpX="1274" w:tblpY="308"/>
        <w:tblOverlap w:val="never"/>
        <w:tblW w:w="9588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12"/>
        <w:gridCol w:w="2976"/>
      </w:tblGrid>
      <w:tr>
        <w:trPr>
          <w:trHeight w:val="20" w:hRule="atLeast"/>
          <w:tblHeader/>
        </w:trPr>
        <w:tc>
          <w:tcPr>
            <w:tcW w:w="66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项目</w:t>
            </w:r>
          </w:p>
        </w:tc>
        <w:tc>
          <w:tcPr>
            <w:tcW w:w="297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预算数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Header/>
        </w:trPr>
        <w:tc>
          <w:tcPr>
            <w:tcW w:w="66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7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一、一般公共预算财政拨款收入</w:t>
            </w: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hint="default" w:ascii="宋体" w:hAnsi="宋体" w:eastAsia="宋体" w:cs="Arial"/>
                <w:b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  <w:lang w:val="en-US" w:eastAsia="zh-CN"/>
              </w:rPr>
              <w:t>927.16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二、政府性基金预算财政拨款收入</w:t>
            </w: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三、国有资本经营预算收入</w:t>
            </w: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四、教育专户核算</w:t>
            </w: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五、事业收入</w:t>
            </w: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六、上级补助收入</w:t>
            </w: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七、附属单位上缴收入</w:t>
            </w: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八、经营收入</w:t>
            </w: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九、其他收入</w:t>
            </w: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 xml:space="preserve">        本年收入合计</w:t>
            </w: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hint="default" w:ascii="宋体" w:hAnsi="宋体" w:eastAsia="宋体" w:cs="Arial"/>
                <w:b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  <w:lang w:val="en-US" w:eastAsia="zh-CN"/>
              </w:rPr>
              <w:t>927.16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hint="default" w:ascii="宋体" w:hAnsi="宋体" w:eastAsia="宋体" w:cs="Arial"/>
                <w:b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十、上年结转</w:t>
            </w: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hint="default" w:ascii="宋体" w:hAnsi="宋体" w:eastAsia="宋体" w:cs="Arial"/>
                <w:b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  <w:lang w:val="en-US" w:eastAsia="zh-CN"/>
              </w:rPr>
              <w:t>334.80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十一、上年结余</w:t>
            </w: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 xml:space="preserve">        收入合计</w:t>
            </w: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hint="default" w:ascii="宋体" w:hAnsi="宋体" w:eastAsia="宋体" w:cs="Arial"/>
                <w:b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  <w:lang w:val="en-US" w:eastAsia="zh-CN"/>
              </w:rPr>
              <w:t>1261.96</w:t>
            </w:r>
          </w:p>
        </w:tc>
      </w:tr>
    </w:tbl>
    <w:p>
      <w:pPr>
        <w:widowControl/>
        <w:spacing w:line="560" w:lineRule="exact"/>
        <w:ind w:firstLine="360" w:firstLineChars="200"/>
        <w:jc w:val="left"/>
        <w:rPr>
          <w:rFonts w:ascii="宋体" w:hAnsi="宋体"/>
          <w:bCs/>
          <w:color w:val="000000"/>
          <w:sz w:val="18"/>
          <w:szCs w:val="18"/>
        </w:rPr>
      </w:pPr>
      <w:r>
        <w:rPr>
          <w:rFonts w:hint="eastAsia" w:ascii="宋体" w:hAnsi="宋体"/>
          <w:bCs/>
          <w:color w:val="000000"/>
          <w:sz w:val="18"/>
          <w:szCs w:val="18"/>
        </w:rPr>
        <w:t>备注：无内容应公开空表并说明情况。</w:t>
      </w:r>
    </w:p>
    <w:p>
      <w:pPr>
        <w:tabs>
          <w:tab w:val="left" w:pos="1272"/>
        </w:tabs>
        <w:rPr>
          <w:rFonts w:ascii="仿宋_GB2312" w:hAnsi="微软雅黑" w:eastAsia="仿宋_GB2312"/>
          <w:sz w:val="18"/>
          <w:szCs w:val="18"/>
        </w:rPr>
      </w:pPr>
      <w:r>
        <w:rPr>
          <w:rFonts w:ascii="仿宋_GB2312" w:hAnsi="微软雅黑" w:eastAsia="仿宋_GB2312"/>
          <w:sz w:val="18"/>
          <w:szCs w:val="18"/>
        </w:rPr>
        <w:tab/>
      </w:r>
    </w:p>
    <w:p>
      <w:pPr>
        <w:tabs>
          <w:tab w:val="left" w:pos="1272"/>
        </w:tabs>
        <w:rPr>
          <w:rFonts w:ascii="仿宋_GB2312" w:hAnsi="微软雅黑" w:eastAsia="仿宋_GB2312"/>
          <w:sz w:val="18"/>
          <w:szCs w:val="18"/>
        </w:rPr>
        <w:sectPr>
          <w:pgSz w:w="11906" w:h="16838"/>
          <w:pgMar w:top="1134" w:right="1134" w:bottom="1134" w:left="1134" w:header="851" w:footer="992" w:gutter="0"/>
          <w:cols w:space="425" w:num="1"/>
          <w:docGrid w:type="lines" w:linePitch="312" w:charSpace="0"/>
        </w:sectPr>
      </w:pPr>
      <w:r>
        <w:rPr>
          <w:rFonts w:ascii="仿宋_GB2312" w:hAnsi="微软雅黑" w:eastAsia="仿宋_GB2312"/>
          <w:sz w:val="18"/>
          <w:szCs w:val="18"/>
        </w:rPr>
        <w:tab/>
      </w:r>
    </w:p>
    <w:p>
      <w:pPr>
        <w:spacing w:line="600" w:lineRule="exact"/>
        <w:jc w:val="center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表三、</w:t>
      </w:r>
      <w:r>
        <w:rPr>
          <w:rFonts w:hint="eastAsia" w:ascii="仿宋_GB2312" w:hAnsi="CIDFont+F6" w:eastAsia="仿宋_GB2312"/>
          <w:color w:val="000000"/>
          <w:sz w:val="32"/>
          <w:szCs w:val="32"/>
        </w:rPr>
        <w:t>单位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支出总体情况表</w:t>
      </w:r>
    </w:p>
    <w:tbl>
      <w:tblPr>
        <w:tblStyle w:val="9"/>
        <w:tblpPr w:leftFromText="180" w:rightFromText="180" w:vertAnchor="text" w:horzAnchor="page" w:tblpX="1217" w:tblpY="298"/>
        <w:tblOverlap w:val="never"/>
        <w:tblW w:w="9712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88"/>
        <w:gridCol w:w="1531"/>
        <w:gridCol w:w="1531"/>
        <w:gridCol w:w="1531"/>
        <w:gridCol w:w="1531"/>
      </w:tblGrid>
      <w:tr>
        <w:trPr>
          <w:trHeight w:val="20" w:hRule="atLeast"/>
          <w:tblHeader/>
        </w:trPr>
        <w:tc>
          <w:tcPr>
            <w:tcW w:w="35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功能分类科目</w:t>
            </w:r>
          </w:p>
        </w:tc>
        <w:tc>
          <w:tcPr>
            <w:tcW w:w="15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支出合计</w:t>
            </w:r>
          </w:p>
        </w:tc>
        <w:tc>
          <w:tcPr>
            <w:tcW w:w="15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基本支出</w:t>
            </w:r>
          </w:p>
        </w:tc>
        <w:tc>
          <w:tcPr>
            <w:tcW w:w="15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项目支出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上年结转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Header/>
        </w:trPr>
        <w:tc>
          <w:tcPr>
            <w:tcW w:w="35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35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/>
                <w:b/>
                <w:sz w:val="18"/>
                <w:szCs w:val="18"/>
              </w:rPr>
              <w:t>总计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>
            <w:pPr>
              <w:jc w:val="right"/>
              <w:rPr>
                <w:rFonts w:hint="default" w:ascii="宋体" w:hAnsi="宋体" w:eastAsia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/>
                <w:sz w:val="18"/>
                <w:szCs w:val="18"/>
                <w:lang w:val="en-US" w:eastAsia="zh-CN"/>
              </w:rPr>
              <w:t>1261.96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>
            <w:pPr>
              <w:jc w:val="right"/>
              <w:rPr>
                <w:rFonts w:hint="default" w:ascii="宋体" w:hAnsi="宋体" w:eastAsia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  <w:lang w:val="en-US" w:eastAsia="zh-CN"/>
              </w:rPr>
              <w:t>223.75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</w:tcPr>
          <w:p>
            <w:pPr>
              <w:jc w:val="right"/>
              <w:rPr>
                <w:rFonts w:hint="default" w:ascii="宋体" w:hAnsi="宋体" w:eastAsia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  <w:lang w:val="en-US" w:eastAsia="zh-CN"/>
              </w:rPr>
              <w:t>703.41</w:t>
            </w:r>
          </w:p>
        </w:tc>
        <w:tc>
          <w:tcPr>
            <w:tcW w:w="1531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</w:tcPr>
          <w:p>
            <w:pPr>
              <w:jc w:val="right"/>
              <w:rPr>
                <w:rFonts w:hint="default" w:ascii="宋体" w:hAnsi="宋体" w:eastAsia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  <w:lang w:val="en-US" w:eastAsia="zh-CN"/>
              </w:rPr>
              <w:t>334.80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35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社会保障和就业支出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>
            <w:pPr>
              <w:jc w:val="right"/>
              <w:rPr>
                <w:rFonts w:hint="default" w:ascii="宋体" w:hAnsi="宋体" w:eastAsia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/>
                <w:sz w:val="18"/>
                <w:szCs w:val="18"/>
                <w:lang w:val="en-US" w:eastAsia="zh-CN"/>
              </w:rPr>
              <w:t>12.16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>
            <w:pPr>
              <w:jc w:val="right"/>
              <w:rPr>
                <w:rFonts w:hint="default" w:ascii="宋体" w:hAnsi="宋体" w:eastAsia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  <w:lang w:val="en-US" w:eastAsia="zh-CN"/>
              </w:rPr>
              <w:t>12.16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</w:tcPr>
          <w:p>
            <w:pPr>
              <w:jc w:val="right"/>
              <w:rPr>
                <w:rFonts w:ascii="宋体" w:hAnsi="宋体"/>
                <w:b w:val="0"/>
                <w:bCs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</w:tcPr>
          <w:p>
            <w:pPr>
              <w:jc w:val="right"/>
              <w:rPr>
                <w:rFonts w:ascii="宋体" w:hAnsi="宋体"/>
                <w:b w:val="0"/>
                <w:bCs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35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卫生健康支出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>
            <w:pPr>
              <w:jc w:val="right"/>
              <w:rPr>
                <w:rFonts w:hint="default" w:ascii="宋体" w:hAnsi="宋体" w:eastAsia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/>
                <w:sz w:val="18"/>
                <w:szCs w:val="18"/>
                <w:lang w:val="en-US" w:eastAsia="zh-CN"/>
              </w:rPr>
              <w:t>1241.23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>
            <w:pPr>
              <w:jc w:val="right"/>
              <w:rPr>
                <w:rFonts w:hint="default" w:ascii="宋体" w:hAnsi="宋体" w:eastAsia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  <w:lang w:val="en-US" w:eastAsia="zh-CN"/>
              </w:rPr>
              <w:t>203.02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</w:tcPr>
          <w:p>
            <w:pPr>
              <w:jc w:val="right"/>
              <w:rPr>
                <w:rFonts w:hint="default" w:ascii="宋体" w:hAnsi="宋体" w:eastAsia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  <w:lang w:val="en-US" w:eastAsia="zh-CN"/>
              </w:rPr>
              <w:t>703.41</w:t>
            </w:r>
          </w:p>
        </w:tc>
        <w:tc>
          <w:tcPr>
            <w:tcW w:w="1531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</w:tcPr>
          <w:p>
            <w:pPr>
              <w:jc w:val="right"/>
              <w:rPr>
                <w:rFonts w:hint="default" w:ascii="宋体" w:hAnsi="宋体" w:eastAsia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  <w:lang w:val="en-US" w:eastAsia="zh-CN"/>
              </w:rPr>
              <w:t>334.80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35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rPr>
                <w:rFonts w:hint="eastAsia"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住房保障支出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>
            <w:pPr>
              <w:jc w:val="right"/>
              <w:rPr>
                <w:rFonts w:hint="default" w:ascii="宋体" w:hAnsi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/>
                <w:sz w:val="18"/>
                <w:szCs w:val="18"/>
                <w:lang w:val="en-US" w:eastAsia="zh-CN"/>
              </w:rPr>
              <w:t>8.57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>
            <w:pPr>
              <w:jc w:val="right"/>
              <w:rPr>
                <w:rFonts w:hint="default" w:ascii="宋体" w:hAnsi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  <w:lang w:val="en-US" w:eastAsia="zh-CN"/>
              </w:rPr>
              <w:t>8.57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</w:tcPr>
          <w:p>
            <w:pPr>
              <w:rPr>
                <w:rFonts w:hint="eastAsia" w:ascii="宋体" w:hAnsi="宋体"/>
                <w:b w:val="0"/>
                <w:bCs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</w:tcPr>
          <w:p>
            <w:pPr>
              <w:jc w:val="right"/>
              <w:rPr>
                <w:rFonts w:ascii="宋体" w:hAnsi="宋体"/>
                <w:b w:val="0"/>
                <w:bCs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35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</w:tcPr>
          <w:p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</w:tcPr>
          <w:p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35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</w:tcPr>
          <w:p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</w:tcPr>
          <w:p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35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35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5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35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</w:tcPr>
          <w:p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</w:tcPr>
          <w:p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</w:tr>
    </w:tbl>
    <w:p>
      <w:pPr>
        <w:jc w:val="right"/>
        <w:rPr>
          <w:rFonts w:ascii="宋体" w:hAnsi="宋体" w:cs="Arial"/>
          <w:color w:val="000000"/>
          <w:kern w:val="0"/>
          <w:sz w:val="18"/>
          <w:szCs w:val="18"/>
        </w:rPr>
      </w:pPr>
      <w:r>
        <w:rPr>
          <w:rFonts w:hint="eastAsia" w:ascii="宋体" w:hAnsi="宋体" w:cs="Arial"/>
          <w:color w:val="000000"/>
          <w:kern w:val="0"/>
          <w:sz w:val="18"/>
          <w:szCs w:val="18"/>
        </w:rPr>
        <w:t>单位：万元</w:t>
      </w:r>
    </w:p>
    <w:p>
      <w:pPr>
        <w:widowControl/>
        <w:spacing w:line="560" w:lineRule="exact"/>
        <w:ind w:firstLine="360" w:firstLineChars="200"/>
        <w:jc w:val="left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备注：无内容应公开空表并说明情况。</w:t>
      </w:r>
    </w:p>
    <w:p>
      <w:pPr>
        <w:rPr>
          <w:rFonts w:ascii="仿宋_GB2312" w:hAnsi="微软雅黑" w:eastAsia="仿宋_GB2312"/>
          <w:sz w:val="18"/>
          <w:szCs w:val="18"/>
        </w:rPr>
      </w:pPr>
    </w:p>
    <w:p>
      <w:pPr>
        <w:rPr>
          <w:rFonts w:ascii="仿宋_GB2312" w:hAnsi="微软雅黑" w:eastAsia="仿宋_GB2312"/>
          <w:sz w:val="18"/>
          <w:szCs w:val="18"/>
        </w:rPr>
      </w:pPr>
    </w:p>
    <w:p>
      <w:pPr>
        <w:rPr>
          <w:rFonts w:ascii="仿宋_GB2312" w:hAnsi="微软雅黑" w:eastAsia="仿宋_GB2312"/>
          <w:sz w:val="18"/>
          <w:szCs w:val="18"/>
        </w:rPr>
      </w:pPr>
    </w:p>
    <w:p>
      <w:pPr>
        <w:rPr>
          <w:rFonts w:ascii="仿宋_GB2312" w:hAnsi="微软雅黑" w:eastAsia="仿宋_GB2312"/>
          <w:sz w:val="18"/>
          <w:szCs w:val="18"/>
        </w:rPr>
      </w:pPr>
    </w:p>
    <w:p>
      <w:pPr>
        <w:rPr>
          <w:rFonts w:ascii="仿宋_GB2312" w:hAnsi="微软雅黑" w:eastAsia="仿宋_GB2312"/>
          <w:sz w:val="18"/>
          <w:szCs w:val="18"/>
        </w:rPr>
      </w:pPr>
    </w:p>
    <w:p>
      <w:pPr>
        <w:rPr>
          <w:rFonts w:ascii="仿宋_GB2312" w:hAnsi="微软雅黑" w:eastAsia="仿宋_GB2312"/>
          <w:sz w:val="18"/>
          <w:szCs w:val="18"/>
        </w:rPr>
      </w:pPr>
    </w:p>
    <w:p>
      <w:pPr>
        <w:rPr>
          <w:rFonts w:ascii="仿宋_GB2312" w:hAnsi="微软雅黑" w:eastAsia="仿宋_GB2312"/>
          <w:sz w:val="18"/>
          <w:szCs w:val="18"/>
        </w:rPr>
      </w:pPr>
    </w:p>
    <w:p>
      <w:pPr>
        <w:rPr>
          <w:rFonts w:ascii="仿宋_GB2312" w:hAnsi="微软雅黑" w:eastAsia="仿宋_GB2312"/>
          <w:sz w:val="18"/>
          <w:szCs w:val="18"/>
        </w:rPr>
      </w:pPr>
    </w:p>
    <w:p>
      <w:pPr>
        <w:tabs>
          <w:tab w:val="left" w:pos="4056"/>
        </w:tabs>
        <w:rPr>
          <w:rFonts w:ascii="仿宋_GB2312" w:hAnsi="微软雅黑" w:eastAsia="仿宋_GB2312"/>
          <w:sz w:val="18"/>
          <w:szCs w:val="18"/>
        </w:rPr>
      </w:pPr>
      <w:r>
        <w:rPr>
          <w:rFonts w:ascii="仿宋_GB2312" w:hAnsi="微软雅黑" w:eastAsia="仿宋_GB2312"/>
          <w:sz w:val="18"/>
          <w:szCs w:val="18"/>
        </w:rPr>
        <w:tab/>
      </w:r>
    </w:p>
    <w:p>
      <w:pPr>
        <w:tabs>
          <w:tab w:val="left" w:pos="4056"/>
        </w:tabs>
        <w:rPr>
          <w:rFonts w:ascii="仿宋_GB2312" w:hAnsi="微软雅黑" w:eastAsia="仿宋_GB2312"/>
          <w:sz w:val="18"/>
          <w:szCs w:val="18"/>
        </w:rPr>
        <w:sectPr>
          <w:pgSz w:w="11906" w:h="16838"/>
          <w:pgMar w:top="1134" w:right="1134" w:bottom="1134" w:left="1134" w:header="851" w:footer="992" w:gutter="0"/>
          <w:cols w:space="425" w:num="1"/>
          <w:docGrid w:type="lines" w:linePitch="312" w:charSpace="0"/>
        </w:sectPr>
      </w:pPr>
      <w:r>
        <w:rPr>
          <w:rFonts w:ascii="仿宋_GB2312" w:hAnsi="微软雅黑" w:eastAsia="仿宋_GB2312"/>
          <w:sz w:val="18"/>
          <w:szCs w:val="18"/>
        </w:rPr>
        <w:tab/>
      </w:r>
    </w:p>
    <w:p>
      <w:pPr>
        <w:spacing w:line="600" w:lineRule="exact"/>
        <w:jc w:val="center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表四、财政拨款收支总体情况表</w:t>
      </w:r>
    </w:p>
    <w:p>
      <w:pPr>
        <w:jc w:val="right"/>
        <w:rPr>
          <w:rFonts w:ascii="宋体" w:hAnsi="宋体" w:cs="Arial"/>
          <w:color w:val="000000"/>
          <w:kern w:val="0"/>
          <w:sz w:val="18"/>
          <w:szCs w:val="18"/>
        </w:rPr>
      </w:pPr>
      <w:r>
        <w:rPr>
          <w:rFonts w:hint="eastAsia" w:ascii="宋体" w:hAnsi="宋体" w:cs="Arial"/>
          <w:color w:val="000000"/>
          <w:kern w:val="0"/>
          <w:sz w:val="18"/>
          <w:szCs w:val="18"/>
        </w:rPr>
        <w:t>单位：万元</w:t>
      </w:r>
    </w:p>
    <w:tbl>
      <w:tblPr>
        <w:tblStyle w:val="9"/>
        <w:tblW w:w="9802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95"/>
        <w:gridCol w:w="1363"/>
        <w:gridCol w:w="3882"/>
        <w:gridCol w:w="136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455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收      入</w:t>
            </w:r>
          </w:p>
        </w:tc>
        <w:tc>
          <w:tcPr>
            <w:tcW w:w="524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支      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项目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预算数</w:t>
            </w: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项目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合计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一、本年收入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right"/>
              <w:rPr>
                <w:rFonts w:hint="default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927.16</w:t>
            </w: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一、本年支出</w:t>
            </w: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jc w:val="right"/>
              <w:rPr>
                <w:rFonts w:hint="default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927.16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（一）一般公共预算财政拨款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right"/>
              <w:rPr>
                <w:rFonts w:hint="default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927.16</w:t>
            </w: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（一）一般公共服务支出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（二）政府性基金预算财政拨款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（二）外交支出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（三）国有资本经营预算财政拨款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（三）国防支出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（四）公共安全支出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（五）教育支出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（六）科学技术支出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（七）文化体育与传媒支出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（八）社会保障和就业支出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jc w:val="right"/>
              <w:rPr>
                <w:rFonts w:hint="default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12.16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（九）社会保险基金支出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jc w:val="right"/>
              <w:rPr>
                <w:rFonts w:hint="default" w:ascii="宋体" w:hAnsi="宋体" w:eastAsia="宋体"/>
                <w:sz w:val="18"/>
                <w:szCs w:val="1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（十）卫生健康支出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jc w:val="right"/>
              <w:rPr>
                <w:rFonts w:hint="default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1241.23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（十一）节能环保支出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（十二）城乡社区支出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（十三）农林水支出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（十四）交通运输支出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（十五）资源勘探工业信息等支出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（十六）商业服务业等支出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（十七）金融支出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（十八）援助其他地区支出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（十九）自然资源海洋气象等支出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（二十）住房保障支出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jc w:val="right"/>
              <w:rPr>
                <w:rFonts w:hint="default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8.57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（二十一）粮油物资储备支出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（二十二）国有资本经营预算支出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（二十三）灾害防治及应急管理支出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（二十四）预备费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（二十五）其他支出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（二十六）债务还本支出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（二十七）债务付息支出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（二十八）债务发行费用支出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（二十九）抗疫特别国债还本支出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Arial"/>
                <w:b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Arial"/>
                <w:b/>
                <w:color w:val="000000"/>
                <w:kern w:val="0"/>
                <w:sz w:val="18"/>
                <w:szCs w:val="18"/>
                <w:lang w:val="en-US" w:eastAsia="zh-CN"/>
              </w:rPr>
              <w:t>本年收入合计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default" w:ascii="宋体" w:hAnsi="宋体" w:eastAsia="宋体" w:cs="Arial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  <w:lang w:val="en-US" w:eastAsia="zh-CN"/>
              </w:rPr>
              <w:t>927.16</w:t>
            </w: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b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Arial"/>
                <w:b/>
                <w:color w:val="000000"/>
                <w:kern w:val="0"/>
                <w:sz w:val="18"/>
                <w:szCs w:val="18"/>
                <w:lang w:val="en-US" w:eastAsia="zh-CN"/>
              </w:rPr>
              <w:t>本年支出合计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jc w:val="right"/>
              <w:rPr>
                <w:rFonts w:hint="default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1261.96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Arial"/>
                <w:b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Arial"/>
                <w:b/>
                <w:color w:val="000000"/>
                <w:kern w:val="0"/>
                <w:sz w:val="18"/>
                <w:szCs w:val="18"/>
                <w:lang w:val="en-US" w:eastAsia="zh-CN"/>
              </w:rPr>
              <w:t>上年结转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default" w:ascii="宋体" w:hAnsi="宋体" w:cs="Arial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  <w:lang w:val="en-US" w:eastAsia="zh-CN"/>
              </w:rPr>
              <w:t>334.80</w:t>
            </w: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b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jc w:val="right"/>
              <w:rPr>
                <w:rFonts w:hint="eastAsia" w:ascii="宋体" w:hAnsi="宋体"/>
                <w:sz w:val="18"/>
                <w:szCs w:val="1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jc w:val="right"/>
              <w:rPr>
                <w:rFonts w:hint="eastAsia" w:ascii="宋体" w:hAnsi="宋体"/>
                <w:sz w:val="18"/>
                <w:szCs w:val="1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收  入  总  计</w:t>
            </w:r>
          </w:p>
        </w:tc>
        <w:tc>
          <w:tcPr>
            <w:tcW w:w="13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ind w:left="0" w:leftChars="0" w:firstLine="0" w:firstLineChars="0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1261.96</w:t>
            </w: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支  出  总  计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right"/>
              <w:rPr>
                <w:rFonts w:hint="default" w:ascii="宋体" w:hAnsi="宋体" w:eastAsia="宋体" w:cs="Arial"/>
                <w:b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  <w:lang w:val="en-US" w:eastAsia="zh-CN"/>
              </w:rPr>
              <w:t>1261.96</w:t>
            </w:r>
          </w:p>
        </w:tc>
      </w:tr>
    </w:tbl>
    <w:p>
      <w:pPr>
        <w:widowControl/>
        <w:spacing w:line="560" w:lineRule="exact"/>
        <w:ind w:firstLine="360" w:firstLineChars="200"/>
        <w:jc w:val="left"/>
        <w:rPr>
          <w:rFonts w:ascii="宋体" w:hAnsi="宋体" w:cs="Arial"/>
          <w:bCs/>
          <w:color w:val="000000"/>
          <w:kern w:val="0"/>
          <w:sz w:val="18"/>
          <w:szCs w:val="18"/>
        </w:rPr>
      </w:pPr>
      <w:r>
        <w:rPr>
          <w:rFonts w:hint="eastAsia" w:ascii="宋体" w:hAnsi="宋体" w:cs="Arial"/>
          <w:bCs/>
          <w:color w:val="000000"/>
          <w:kern w:val="0"/>
          <w:sz w:val="18"/>
          <w:szCs w:val="18"/>
        </w:rPr>
        <w:t>备注：无内容应公开空表并说明情况。</w:t>
      </w:r>
    </w:p>
    <w:p>
      <w:pPr>
        <w:rPr>
          <w:rFonts w:ascii="仿宋_GB2312" w:hAnsi="微软雅黑" w:eastAsia="仿宋_GB2312"/>
          <w:sz w:val="18"/>
          <w:szCs w:val="18"/>
        </w:rPr>
      </w:pPr>
    </w:p>
    <w:p>
      <w:pPr>
        <w:rPr>
          <w:rFonts w:ascii="仿宋_GB2312" w:hAnsi="微软雅黑" w:eastAsia="仿宋_GB2312"/>
          <w:sz w:val="18"/>
          <w:szCs w:val="18"/>
        </w:rPr>
      </w:pPr>
    </w:p>
    <w:p>
      <w:pPr>
        <w:rPr>
          <w:rFonts w:ascii="仿宋_GB2312" w:hAnsi="微软雅黑" w:eastAsia="仿宋_GB2312"/>
          <w:sz w:val="18"/>
          <w:szCs w:val="18"/>
        </w:rPr>
      </w:pPr>
    </w:p>
    <w:p>
      <w:pPr>
        <w:rPr>
          <w:rFonts w:ascii="仿宋_GB2312" w:hAnsi="微软雅黑" w:eastAsia="仿宋_GB2312"/>
          <w:sz w:val="18"/>
          <w:szCs w:val="18"/>
        </w:rPr>
      </w:pPr>
    </w:p>
    <w:p>
      <w:pPr>
        <w:tabs>
          <w:tab w:val="left" w:pos="2784"/>
        </w:tabs>
        <w:rPr>
          <w:rFonts w:ascii="仿宋_GB2312" w:hAnsi="微软雅黑" w:eastAsia="仿宋_GB2312"/>
          <w:sz w:val="18"/>
          <w:szCs w:val="18"/>
        </w:rPr>
      </w:pPr>
    </w:p>
    <w:p>
      <w:pPr>
        <w:tabs>
          <w:tab w:val="left" w:pos="2784"/>
        </w:tabs>
        <w:rPr>
          <w:rFonts w:ascii="仿宋_GB2312" w:hAnsi="微软雅黑" w:eastAsia="仿宋_GB2312"/>
          <w:sz w:val="18"/>
          <w:szCs w:val="18"/>
        </w:rPr>
        <w:sectPr>
          <w:pgSz w:w="11906" w:h="16838"/>
          <w:pgMar w:top="1134" w:right="1134" w:bottom="1134" w:left="1134" w:header="851" w:footer="992" w:gutter="0"/>
          <w:cols w:space="425" w:num="1"/>
          <w:docGrid w:type="lines" w:linePitch="312" w:charSpace="0"/>
        </w:sectPr>
      </w:pPr>
      <w:r>
        <w:rPr>
          <w:rFonts w:ascii="仿宋_GB2312" w:hAnsi="微软雅黑" w:eastAsia="仿宋_GB2312"/>
          <w:sz w:val="18"/>
          <w:szCs w:val="18"/>
        </w:rPr>
        <w:tab/>
      </w:r>
    </w:p>
    <w:p>
      <w:pPr>
        <w:spacing w:line="600" w:lineRule="exact"/>
        <w:jc w:val="center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表五、财政拨款支出表</w:t>
      </w:r>
    </w:p>
    <w:tbl>
      <w:tblPr>
        <w:tblStyle w:val="9"/>
        <w:tblpPr w:leftFromText="180" w:rightFromText="180" w:vertAnchor="text" w:horzAnchor="page" w:tblpX="1317" w:tblpY="293"/>
        <w:tblOverlap w:val="never"/>
        <w:tblW w:w="1440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05"/>
        <w:gridCol w:w="1065"/>
        <w:gridCol w:w="1066"/>
        <w:gridCol w:w="1025"/>
        <w:gridCol w:w="1066"/>
        <w:gridCol w:w="1066"/>
        <w:gridCol w:w="1025"/>
        <w:gridCol w:w="1066"/>
        <w:gridCol w:w="1066"/>
        <w:gridCol w:w="1025"/>
        <w:gridCol w:w="1025"/>
      </w:tblGrid>
      <w:tr>
        <w:trPr>
          <w:trHeight w:val="20" w:hRule="atLeast"/>
          <w:tblHeader/>
        </w:trPr>
        <w:tc>
          <w:tcPr>
            <w:tcW w:w="390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单位名称</w:t>
            </w:r>
          </w:p>
        </w:tc>
        <w:tc>
          <w:tcPr>
            <w:tcW w:w="10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总计</w:t>
            </w:r>
          </w:p>
        </w:tc>
        <w:tc>
          <w:tcPr>
            <w:tcW w:w="315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一般公共预算支出</w:t>
            </w:r>
          </w:p>
        </w:tc>
        <w:tc>
          <w:tcPr>
            <w:tcW w:w="315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政府性基金预算支出</w:t>
            </w:r>
          </w:p>
        </w:tc>
        <w:tc>
          <w:tcPr>
            <w:tcW w:w="311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国有资本经营预算支出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Header/>
        </w:trPr>
        <w:tc>
          <w:tcPr>
            <w:tcW w:w="390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基本支出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项目支出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基本支出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项目支出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基本支出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项目支出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Header/>
        </w:trPr>
        <w:tc>
          <w:tcPr>
            <w:tcW w:w="39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color w:val="000000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390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b/>
                <w:sz w:val="18"/>
                <w:szCs w:val="18"/>
              </w:rPr>
              <w:t>总计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top"/>
          </w:tcPr>
          <w:p>
            <w:pPr>
              <w:jc w:val="right"/>
              <w:rPr>
                <w:rFonts w:hint="default"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927.16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top"/>
          </w:tcPr>
          <w:p>
            <w:pPr>
              <w:jc w:val="right"/>
              <w:rPr>
                <w:rFonts w:hint="default"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927.16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top"/>
          </w:tcPr>
          <w:p>
            <w:pPr>
              <w:jc w:val="right"/>
              <w:rPr>
                <w:rFonts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223.75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top"/>
          </w:tcPr>
          <w:p>
            <w:pPr>
              <w:jc w:val="right"/>
              <w:rPr>
                <w:rFonts w:hint="default"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703.41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3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  <w:lang w:val="en-US" w:eastAsia="zh-CN"/>
              </w:rPr>
              <w:t>兰州新区疾病预防控制中心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top"/>
          </w:tcPr>
          <w:p>
            <w:pPr>
              <w:jc w:val="right"/>
              <w:rPr>
                <w:rFonts w:hint="default"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927.16</w:t>
            </w: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top"/>
          </w:tcPr>
          <w:p>
            <w:pPr>
              <w:jc w:val="right"/>
              <w:rPr>
                <w:rFonts w:hint="default"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927.16</w:t>
            </w: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top"/>
          </w:tcPr>
          <w:p>
            <w:pPr>
              <w:jc w:val="right"/>
              <w:rPr>
                <w:rFonts w:hint="default"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223.75</w:t>
            </w: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top"/>
          </w:tcPr>
          <w:p>
            <w:pPr>
              <w:jc w:val="right"/>
              <w:rPr>
                <w:rFonts w:hint="default"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703.41</w:t>
            </w: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3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3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3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3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3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3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</w:tr>
      <w:tr>
        <w:trPr>
          <w:trHeight w:val="20" w:hRule="atLeast"/>
        </w:trPr>
        <w:tc>
          <w:tcPr>
            <w:tcW w:w="3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390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noWrap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</w:tr>
    </w:tbl>
    <w:p>
      <w:pPr>
        <w:jc w:val="right"/>
        <w:rPr>
          <w:rFonts w:ascii="宋体" w:hAnsi="宋体" w:cs="Arial"/>
          <w:color w:val="000000"/>
          <w:kern w:val="0"/>
          <w:sz w:val="18"/>
          <w:szCs w:val="18"/>
        </w:rPr>
      </w:pPr>
      <w:r>
        <w:rPr>
          <w:rFonts w:hint="eastAsia" w:ascii="宋体" w:hAnsi="宋体" w:cs="Arial"/>
          <w:color w:val="000000"/>
          <w:kern w:val="0"/>
          <w:sz w:val="18"/>
          <w:szCs w:val="18"/>
        </w:rPr>
        <w:t>单位：万元</w:t>
      </w:r>
    </w:p>
    <w:p>
      <w:pPr>
        <w:widowControl/>
        <w:spacing w:line="560" w:lineRule="exact"/>
        <w:ind w:firstLine="360" w:firstLineChars="200"/>
        <w:jc w:val="left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备注：无内容应公开空表并说明情况。</w:t>
      </w:r>
    </w:p>
    <w:p>
      <w:pPr>
        <w:rPr>
          <w:rFonts w:ascii="仿宋_GB2312" w:hAnsi="微软雅黑" w:eastAsia="仿宋_GB2312"/>
          <w:sz w:val="18"/>
          <w:szCs w:val="18"/>
        </w:rPr>
      </w:pPr>
    </w:p>
    <w:p>
      <w:pPr>
        <w:rPr>
          <w:rFonts w:ascii="仿宋_GB2312" w:hAnsi="微软雅黑" w:eastAsia="仿宋_GB2312"/>
          <w:sz w:val="18"/>
          <w:szCs w:val="18"/>
        </w:rPr>
      </w:pPr>
    </w:p>
    <w:p>
      <w:pPr>
        <w:rPr>
          <w:rFonts w:ascii="仿宋_GB2312" w:hAnsi="微软雅黑" w:eastAsia="仿宋_GB2312"/>
          <w:sz w:val="18"/>
          <w:szCs w:val="18"/>
        </w:rPr>
      </w:pPr>
    </w:p>
    <w:p>
      <w:pPr>
        <w:rPr>
          <w:rFonts w:ascii="仿宋_GB2312" w:hAnsi="微软雅黑" w:eastAsia="仿宋_GB2312"/>
          <w:sz w:val="18"/>
          <w:szCs w:val="18"/>
        </w:rPr>
      </w:pPr>
    </w:p>
    <w:p>
      <w:pPr>
        <w:tabs>
          <w:tab w:val="left" w:pos="3936"/>
        </w:tabs>
        <w:rPr>
          <w:rFonts w:ascii="仿宋_GB2312" w:hAnsi="微软雅黑" w:eastAsia="仿宋_GB2312"/>
          <w:sz w:val="18"/>
          <w:szCs w:val="18"/>
        </w:rPr>
      </w:pPr>
      <w:r>
        <w:rPr>
          <w:rFonts w:ascii="仿宋_GB2312" w:hAnsi="微软雅黑" w:eastAsia="仿宋_GB2312"/>
          <w:sz w:val="18"/>
          <w:szCs w:val="18"/>
        </w:rPr>
        <w:tab/>
      </w:r>
    </w:p>
    <w:p>
      <w:pPr>
        <w:tabs>
          <w:tab w:val="left" w:pos="3936"/>
        </w:tabs>
        <w:rPr>
          <w:rFonts w:ascii="仿宋_GB2312" w:hAnsi="微软雅黑" w:eastAsia="仿宋_GB2312"/>
          <w:sz w:val="18"/>
          <w:szCs w:val="18"/>
        </w:rPr>
        <w:sectPr>
          <w:pgSz w:w="16838" w:h="11906" w:orient="landscape"/>
          <w:pgMar w:top="1134" w:right="1134" w:bottom="1134" w:left="1134" w:header="851" w:footer="992" w:gutter="0"/>
          <w:cols w:space="425" w:num="1"/>
          <w:docGrid w:type="lines" w:linePitch="312" w:charSpace="0"/>
        </w:sectPr>
      </w:pPr>
      <w:r>
        <w:rPr>
          <w:rFonts w:ascii="仿宋_GB2312" w:hAnsi="微软雅黑" w:eastAsia="仿宋_GB2312"/>
          <w:sz w:val="18"/>
          <w:szCs w:val="18"/>
        </w:rPr>
        <w:tab/>
      </w:r>
    </w:p>
    <w:p>
      <w:pPr>
        <w:spacing w:line="600" w:lineRule="exact"/>
        <w:jc w:val="center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表六、一般公共预算支出情况表</w:t>
      </w:r>
    </w:p>
    <w:p>
      <w:pPr>
        <w:jc w:val="righ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宋体" w:hAnsi="宋体" w:cs="Arial"/>
          <w:color w:val="000000"/>
          <w:kern w:val="0"/>
          <w:sz w:val="18"/>
          <w:szCs w:val="18"/>
        </w:rPr>
        <w:t>单位：万元</w:t>
      </w:r>
    </w:p>
    <w:tbl>
      <w:tblPr>
        <w:tblStyle w:val="9"/>
        <w:tblW w:w="9591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4"/>
        <w:gridCol w:w="4253"/>
        <w:gridCol w:w="1417"/>
        <w:gridCol w:w="1418"/>
        <w:gridCol w:w="14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Header/>
          <w:jc w:val="center"/>
        </w:trPr>
        <w:tc>
          <w:tcPr>
            <w:tcW w:w="532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功能分类科目</w:t>
            </w:r>
          </w:p>
        </w:tc>
        <w:tc>
          <w:tcPr>
            <w:tcW w:w="426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一般公共预算支出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Header/>
          <w:jc w:val="center"/>
        </w:trPr>
        <w:tc>
          <w:tcPr>
            <w:tcW w:w="10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科目编码</w:t>
            </w:r>
          </w:p>
        </w:tc>
        <w:tc>
          <w:tcPr>
            <w:tcW w:w="42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科目名称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基本支出</w:t>
            </w:r>
          </w:p>
        </w:tc>
        <w:tc>
          <w:tcPr>
            <w:tcW w:w="142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项目支出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Header/>
          <w:jc w:val="center"/>
        </w:trPr>
        <w:tc>
          <w:tcPr>
            <w:tcW w:w="10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42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  <w:jc w:val="center"/>
        </w:trPr>
        <w:tc>
          <w:tcPr>
            <w:tcW w:w="10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jc w:val="lef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42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jc w:val="left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/>
                <w:b/>
                <w:sz w:val="18"/>
                <w:szCs w:val="18"/>
              </w:rPr>
              <w:t>总计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jc w:val="right"/>
              <w:rPr>
                <w:rFonts w:hint="default" w:ascii="宋体" w:hAnsi="宋体" w:eastAsia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/>
                <w:sz w:val="18"/>
                <w:szCs w:val="18"/>
                <w:lang w:val="en-US" w:eastAsia="zh-CN"/>
              </w:rPr>
              <w:t>927.16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jc w:val="right"/>
              <w:rPr>
                <w:rFonts w:hint="default" w:ascii="宋体" w:hAnsi="宋体" w:eastAsia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/>
                <w:sz w:val="18"/>
                <w:szCs w:val="18"/>
                <w:lang w:val="en-US" w:eastAsia="zh-CN"/>
              </w:rPr>
              <w:t>223.75</w:t>
            </w:r>
          </w:p>
        </w:tc>
        <w:tc>
          <w:tcPr>
            <w:tcW w:w="142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FFFFFF" w:fill="FFFFFF"/>
            <w:noWrap/>
          </w:tcPr>
          <w:p>
            <w:pPr>
              <w:jc w:val="right"/>
              <w:rPr>
                <w:rFonts w:hint="default" w:ascii="宋体" w:hAnsi="宋体" w:eastAsia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/>
                <w:sz w:val="18"/>
                <w:szCs w:val="18"/>
                <w:lang w:val="en-US" w:eastAsia="zh-CN"/>
              </w:rPr>
              <w:t>703.41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0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jc w:val="left"/>
              <w:rPr>
                <w:rFonts w:hint="default" w:ascii="宋体" w:hAnsi="宋体" w:eastAsia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208</w:t>
            </w:r>
          </w:p>
        </w:tc>
        <w:tc>
          <w:tcPr>
            <w:tcW w:w="42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jc w:val="left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社会保障和就业支出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jc w:val="right"/>
              <w:rPr>
                <w:rFonts w:hint="default" w:ascii="宋体" w:hAnsi="宋体" w:eastAsia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  <w:lang w:val="en-US" w:eastAsia="zh-CN"/>
              </w:rPr>
              <w:t>12.16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jc w:val="right"/>
              <w:rPr>
                <w:rFonts w:hint="default" w:ascii="宋体" w:hAnsi="宋体" w:eastAsia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  <w:lang w:val="en-US" w:eastAsia="zh-CN"/>
              </w:rPr>
              <w:t>12.16</w:t>
            </w:r>
          </w:p>
        </w:tc>
        <w:tc>
          <w:tcPr>
            <w:tcW w:w="142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FFFFFF" w:fill="FFFFFF"/>
            <w:noWrap/>
          </w:tcPr>
          <w:p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0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jc w:val="left"/>
              <w:rPr>
                <w:rFonts w:hint="default" w:ascii="宋体" w:hAnsi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210</w:t>
            </w:r>
          </w:p>
        </w:tc>
        <w:tc>
          <w:tcPr>
            <w:tcW w:w="42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卫生健康支出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jc w:val="right"/>
              <w:rPr>
                <w:rFonts w:hint="default" w:ascii="宋体" w:hAnsi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906.43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jc w:val="right"/>
              <w:rPr>
                <w:rFonts w:hint="default" w:ascii="宋体" w:hAnsi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203.02</w:t>
            </w:r>
          </w:p>
        </w:tc>
        <w:tc>
          <w:tcPr>
            <w:tcW w:w="142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FFFFFF" w:fill="FFFFFF"/>
            <w:noWrap/>
          </w:tcPr>
          <w:p>
            <w:pPr>
              <w:jc w:val="right"/>
              <w:rPr>
                <w:rFonts w:hint="default" w:ascii="宋体" w:hAnsi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703.41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0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jc w:val="left"/>
              <w:rPr>
                <w:rFonts w:hint="default" w:ascii="宋体" w:hAnsi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221</w:t>
            </w:r>
          </w:p>
        </w:tc>
        <w:tc>
          <w:tcPr>
            <w:tcW w:w="42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住房保障支出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jc w:val="right"/>
              <w:rPr>
                <w:rFonts w:hint="default" w:ascii="宋体" w:hAnsi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8.57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jc w:val="right"/>
              <w:rPr>
                <w:rFonts w:hint="default" w:ascii="宋体" w:hAnsi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8.57</w:t>
            </w:r>
          </w:p>
        </w:tc>
        <w:tc>
          <w:tcPr>
            <w:tcW w:w="142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FFFFFF" w:fill="FFFFFF"/>
            <w:noWrap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0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2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FFFFFF" w:fill="FFFFFF"/>
            <w:noWrap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0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2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FFFFFF" w:fill="FFFFFF"/>
            <w:noWrap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0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jc w:val="lef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42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jc w:val="lef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FFFFFF" w:fill="FFFFFF"/>
            <w:noWrap/>
          </w:tcPr>
          <w:p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0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2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FFFFFF" w:fill="FFFFFF"/>
            <w:noWrap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0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jc w:val="lef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42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jc w:val="lef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FFFFFF" w:fill="FFFFFF"/>
            <w:noWrap/>
          </w:tcPr>
          <w:p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0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jc w:val="lef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42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jc w:val="lef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FFFFFF" w:fill="FFFFFF"/>
            <w:noWrap/>
          </w:tcPr>
          <w:p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0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2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FFFFFF" w:fill="FFFFFF"/>
            <w:noWrap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</w:tbl>
    <w:p>
      <w:pPr>
        <w:widowControl/>
        <w:spacing w:line="560" w:lineRule="exact"/>
        <w:ind w:firstLine="360" w:firstLineChars="200"/>
        <w:jc w:val="left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备注：无内容应公开空表并说明情况。</w:t>
      </w:r>
    </w:p>
    <w:p>
      <w:pPr>
        <w:rPr>
          <w:rFonts w:ascii="仿宋_GB2312" w:hAnsi="微软雅黑" w:eastAsia="仿宋_GB2312"/>
          <w:sz w:val="18"/>
          <w:szCs w:val="18"/>
        </w:rPr>
      </w:pPr>
    </w:p>
    <w:p>
      <w:pPr>
        <w:rPr>
          <w:rFonts w:ascii="仿宋_GB2312" w:hAnsi="微软雅黑" w:eastAsia="仿宋_GB2312"/>
          <w:sz w:val="18"/>
          <w:szCs w:val="18"/>
        </w:rPr>
      </w:pPr>
    </w:p>
    <w:p>
      <w:pPr>
        <w:rPr>
          <w:rFonts w:ascii="仿宋_GB2312" w:hAnsi="微软雅黑" w:eastAsia="仿宋_GB2312"/>
          <w:sz w:val="18"/>
          <w:szCs w:val="18"/>
        </w:rPr>
      </w:pPr>
    </w:p>
    <w:p>
      <w:pPr>
        <w:rPr>
          <w:rFonts w:ascii="仿宋_GB2312" w:hAnsi="微软雅黑" w:eastAsia="仿宋_GB2312"/>
          <w:sz w:val="18"/>
          <w:szCs w:val="18"/>
        </w:rPr>
      </w:pPr>
    </w:p>
    <w:p>
      <w:pPr>
        <w:rPr>
          <w:rFonts w:ascii="仿宋_GB2312" w:hAnsi="微软雅黑" w:eastAsia="仿宋_GB2312"/>
          <w:sz w:val="18"/>
          <w:szCs w:val="18"/>
        </w:rPr>
      </w:pPr>
    </w:p>
    <w:p>
      <w:pPr>
        <w:rPr>
          <w:rFonts w:ascii="仿宋_GB2312" w:hAnsi="微软雅黑" w:eastAsia="仿宋_GB2312"/>
          <w:sz w:val="18"/>
          <w:szCs w:val="18"/>
        </w:rPr>
      </w:pPr>
    </w:p>
    <w:p>
      <w:pPr>
        <w:tabs>
          <w:tab w:val="left" w:pos="2472"/>
        </w:tabs>
        <w:rPr>
          <w:rFonts w:ascii="仿宋_GB2312" w:hAnsi="微软雅黑" w:eastAsia="仿宋_GB2312"/>
          <w:sz w:val="18"/>
          <w:szCs w:val="18"/>
        </w:rPr>
      </w:pPr>
      <w:r>
        <w:rPr>
          <w:rFonts w:ascii="仿宋_GB2312" w:hAnsi="微软雅黑" w:eastAsia="仿宋_GB2312"/>
          <w:sz w:val="18"/>
          <w:szCs w:val="18"/>
        </w:rPr>
        <w:tab/>
      </w:r>
    </w:p>
    <w:p>
      <w:pPr>
        <w:tabs>
          <w:tab w:val="left" w:pos="2472"/>
        </w:tabs>
        <w:rPr>
          <w:rFonts w:ascii="仿宋_GB2312" w:hAnsi="微软雅黑" w:eastAsia="仿宋_GB2312"/>
          <w:sz w:val="18"/>
          <w:szCs w:val="18"/>
        </w:rPr>
        <w:sectPr>
          <w:pgSz w:w="11906" w:h="16838"/>
          <w:pgMar w:top="1134" w:right="1134" w:bottom="1134" w:left="1134" w:header="851" w:footer="992" w:gutter="0"/>
          <w:cols w:space="425" w:num="1"/>
          <w:docGrid w:type="lines" w:linePitch="312" w:charSpace="0"/>
        </w:sectPr>
      </w:pPr>
      <w:r>
        <w:rPr>
          <w:rFonts w:ascii="仿宋_GB2312" w:hAnsi="微软雅黑" w:eastAsia="仿宋_GB2312"/>
          <w:sz w:val="18"/>
          <w:szCs w:val="18"/>
        </w:rPr>
        <w:tab/>
      </w:r>
    </w:p>
    <w:p>
      <w:pPr>
        <w:spacing w:line="600" w:lineRule="exact"/>
        <w:jc w:val="center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表七、一般公共预算基本支出情况表</w:t>
      </w:r>
    </w:p>
    <w:p>
      <w:pPr>
        <w:jc w:val="righ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宋体" w:hAnsi="宋体" w:cs="Arial"/>
          <w:color w:val="000000"/>
          <w:kern w:val="0"/>
          <w:sz w:val="18"/>
          <w:szCs w:val="18"/>
        </w:rPr>
        <w:t>单位：万元</w:t>
      </w:r>
    </w:p>
    <w:tbl>
      <w:tblPr>
        <w:tblStyle w:val="9"/>
        <w:tblW w:w="9405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4252"/>
        <w:gridCol w:w="1559"/>
        <w:gridCol w:w="1418"/>
        <w:gridCol w:w="122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Header/>
          <w:jc w:val="center"/>
        </w:trPr>
        <w:tc>
          <w:tcPr>
            <w:tcW w:w="52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经济分类科目</w:t>
            </w:r>
          </w:p>
        </w:tc>
        <w:tc>
          <w:tcPr>
            <w:tcW w:w="420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一般公共预算基本支出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Header/>
          <w:jc w:val="center"/>
        </w:trPr>
        <w:tc>
          <w:tcPr>
            <w:tcW w:w="9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科目编码</w:t>
            </w:r>
          </w:p>
        </w:tc>
        <w:tc>
          <w:tcPr>
            <w:tcW w:w="42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科目名称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人员经费</w:t>
            </w:r>
          </w:p>
        </w:tc>
        <w:tc>
          <w:tcPr>
            <w:tcW w:w="122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公用经费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Header/>
          <w:jc w:val="center"/>
        </w:trPr>
        <w:tc>
          <w:tcPr>
            <w:tcW w:w="9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2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42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/>
                <w:b/>
                <w:sz w:val="18"/>
                <w:szCs w:val="18"/>
              </w:rPr>
              <w:t>总计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223.75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202.39</w:t>
            </w:r>
          </w:p>
        </w:tc>
        <w:tc>
          <w:tcPr>
            <w:tcW w:w="122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FFFFFF" w:fill="FFFFFF"/>
            <w:noWrap/>
          </w:tcPr>
          <w:p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21.36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rPr>
                <w:rFonts w:hint="default" w:ascii="宋体" w:hAnsi="宋体" w:eastAsia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/>
                <w:sz w:val="18"/>
                <w:szCs w:val="18"/>
                <w:lang w:val="en-US" w:eastAsia="zh-CN"/>
              </w:rPr>
              <w:t>301</w:t>
            </w:r>
          </w:p>
        </w:tc>
        <w:tc>
          <w:tcPr>
            <w:tcW w:w="42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工资福利支出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jc w:val="right"/>
              <w:rPr>
                <w:rFonts w:hint="default" w:ascii="宋体" w:hAnsi="宋体" w:eastAsia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/>
                <w:sz w:val="18"/>
                <w:szCs w:val="18"/>
                <w:lang w:val="en-US" w:eastAsia="zh-CN"/>
              </w:rPr>
              <w:t>114.69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jc w:val="right"/>
              <w:rPr>
                <w:rFonts w:hint="default" w:ascii="宋体" w:hAnsi="宋体" w:eastAsia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/>
                <w:sz w:val="18"/>
                <w:szCs w:val="18"/>
                <w:lang w:val="en-US" w:eastAsia="zh-CN"/>
              </w:rPr>
              <w:t>114.69</w:t>
            </w:r>
          </w:p>
        </w:tc>
        <w:tc>
          <w:tcPr>
            <w:tcW w:w="122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FFFFFF" w:fill="FFFFFF"/>
            <w:noWrap/>
          </w:tcPr>
          <w:p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rPr>
                <w:rFonts w:hint="default" w:ascii="宋体" w:hAnsi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/>
                <w:sz w:val="18"/>
                <w:szCs w:val="18"/>
                <w:lang w:val="en-US" w:eastAsia="zh-CN"/>
              </w:rPr>
              <w:t>302</w:t>
            </w:r>
          </w:p>
        </w:tc>
        <w:tc>
          <w:tcPr>
            <w:tcW w:w="42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rPr>
                <w:rFonts w:hint="eastAsia" w:ascii="宋体" w:hAnsi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/>
                <w:sz w:val="18"/>
                <w:szCs w:val="18"/>
                <w:lang w:val="en-US" w:eastAsia="zh-CN"/>
              </w:rPr>
              <w:t>商品和服务支出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jc w:val="right"/>
              <w:rPr>
                <w:rFonts w:hint="default" w:ascii="宋体" w:hAnsi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/>
                <w:sz w:val="18"/>
                <w:szCs w:val="18"/>
                <w:lang w:val="en-US" w:eastAsia="zh-CN"/>
              </w:rPr>
              <w:t>21.36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jc w:val="right"/>
              <w:rPr>
                <w:rFonts w:hint="default" w:ascii="宋体" w:hAnsi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/>
                <w:sz w:val="18"/>
                <w:szCs w:val="18"/>
                <w:lang w:val="en-US" w:eastAsia="zh-CN"/>
              </w:rPr>
              <w:t>21.36</w:t>
            </w:r>
          </w:p>
        </w:tc>
        <w:tc>
          <w:tcPr>
            <w:tcW w:w="122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FFFFFF" w:fill="FFFFFF"/>
            <w:noWrap/>
          </w:tcPr>
          <w:p>
            <w:pPr>
              <w:jc w:val="right"/>
              <w:rPr>
                <w:rFonts w:hint="default" w:ascii="宋体" w:hAnsi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/>
                <w:sz w:val="18"/>
                <w:szCs w:val="18"/>
                <w:lang w:val="en-US" w:eastAsia="zh-CN"/>
              </w:rPr>
              <w:t>21.36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rPr>
                <w:rFonts w:hint="default" w:ascii="宋体" w:hAnsi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/>
                <w:sz w:val="18"/>
                <w:szCs w:val="18"/>
                <w:lang w:val="en-US" w:eastAsia="zh-CN"/>
              </w:rPr>
              <w:t>303</w:t>
            </w:r>
          </w:p>
        </w:tc>
        <w:tc>
          <w:tcPr>
            <w:tcW w:w="42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rPr>
                <w:rFonts w:hint="eastAsia" w:ascii="宋体" w:hAnsi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/>
                <w:sz w:val="18"/>
                <w:szCs w:val="18"/>
                <w:lang w:val="en-US" w:eastAsia="zh-CN"/>
              </w:rPr>
              <w:t>对个人和家庭的补助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jc w:val="right"/>
              <w:rPr>
                <w:rFonts w:hint="default" w:ascii="宋体" w:hAnsi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/>
                <w:sz w:val="18"/>
                <w:szCs w:val="18"/>
                <w:lang w:val="en-US" w:eastAsia="zh-CN"/>
              </w:rPr>
              <w:t>87.70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jc w:val="right"/>
              <w:rPr>
                <w:rFonts w:hint="default" w:ascii="宋体" w:hAnsi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/>
                <w:sz w:val="18"/>
                <w:szCs w:val="18"/>
                <w:lang w:val="en-US" w:eastAsia="zh-CN"/>
              </w:rPr>
              <w:t>87.70</w:t>
            </w:r>
          </w:p>
        </w:tc>
        <w:tc>
          <w:tcPr>
            <w:tcW w:w="122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FFFFFF" w:fill="FFFFFF"/>
            <w:noWrap/>
          </w:tcPr>
          <w:p>
            <w:pPr>
              <w:rPr>
                <w:rFonts w:hint="eastAsia" w:ascii="宋体" w:hAnsi="宋体"/>
                <w:b/>
                <w:sz w:val="18"/>
                <w:szCs w:val="1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FFFFFF" w:fill="FFFFFF"/>
            <w:noWrap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FFFFFF" w:fill="FFFFFF"/>
            <w:noWrap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FFFFFF" w:fill="FFFFFF"/>
            <w:noWrap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FFFFFF" w:fill="FFFFFF"/>
            <w:noWrap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FFFFFF" w:fill="FFFFFF"/>
            <w:noWrap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FFFFFF" w:fill="FFFFFF"/>
            <w:noWrap/>
          </w:tcPr>
          <w:p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</w:tr>
    </w:tbl>
    <w:p>
      <w:pPr>
        <w:widowControl/>
        <w:spacing w:line="560" w:lineRule="exact"/>
        <w:ind w:firstLine="360" w:firstLineChars="200"/>
        <w:jc w:val="left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备注：无内容应公开空表并说明情况。</w:t>
      </w:r>
    </w:p>
    <w:p>
      <w:pPr>
        <w:rPr>
          <w:rFonts w:ascii="仿宋_GB2312" w:hAnsi="微软雅黑" w:eastAsia="仿宋_GB2312"/>
          <w:sz w:val="18"/>
          <w:szCs w:val="18"/>
        </w:rPr>
      </w:pPr>
    </w:p>
    <w:p>
      <w:pPr>
        <w:rPr>
          <w:rFonts w:ascii="仿宋_GB2312" w:hAnsi="微软雅黑" w:eastAsia="仿宋_GB2312"/>
          <w:sz w:val="18"/>
          <w:szCs w:val="18"/>
        </w:rPr>
      </w:pPr>
    </w:p>
    <w:p>
      <w:pPr>
        <w:rPr>
          <w:rFonts w:ascii="仿宋_GB2312" w:hAnsi="微软雅黑" w:eastAsia="仿宋_GB2312"/>
          <w:sz w:val="18"/>
          <w:szCs w:val="18"/>
        </w:rPr>
      </w:pPr>
    </w:p>
    <w:p>
      <w:pPr>
        <w:rPr>
          <w:rFonts w:ascii="仿宋_GB2312" w:hAnsi="微软雅黑" w:eastAsia="仿宋_GB2312"/>
          <w:sz w:val="18"/>
          <w:szCs w:val="18"/>
        </w:rPr>
      </w:pPr>
    </w:p>
    <w:p>
      <w:pPr>
        <w:rPr>
          <w:rFonts w:ascii="仿宋_GB2312" w:hAnsi="微软雅黑" w:eastAsia="仿宋_GB2312"/>
          <w:sz w:val="18"/>
          <w:szCs w:val="18"/>
        </w:rPr>
      </w:pPr>
    </w:p>
    <w:p>
      <w:pPr>
        <w:rPr>
          <w:rFonts w:ascii="仿宋_GB2312" w:hAnsi="微软雅黑" w:eastAsia="仿宋_GB2312"/>
          <w:sz w:val="18"/>
          <w:szCs w:val="18"/>
        </w:rPr>
      </w:pPr>
    </w:p>
    <w:p>
      <w:pPr>
        <w:rPr>
          <w:rFonts w:ascii="仿宋_GB2312" w:hAnsi="微软雅黑" w:eastAsia="仿宋_GB2312"/>
          <w:sz w:val="18"/>
          <w:szCs w:val="18"/>
        </w:rPr>
      </w:pPr>
    </w:p>
    <w:p>
      <w:pPr>
        <w:rPr>
          <w:rFonts w:ascii="仿宋_GB2312" w:hAnsi="微软雅黑" w:eastAsia="仿宋_GB2312"/>
          <w:sz w:val="18"/>
          <w:szCs w:val="18"/>
        </w:rPr>
      </w:pPr>
    </w:p>
    <w:p>
      <w:pPr>
        <w:tabs>
          <w:tab w:val="left" w:pos="1512"/>
        </w:tabs>
        <w:rPr>
          <w:rFonts w:ascii="宋体" w:hAnsi="宋体"/>
          <w:sz w:val="18"/>
          <w:szCs w:val="18"/>
        </w:rPr>
      </w:pPr>
      <w:r>
        <w:rPr>
          <w:rFonts w:ascii="宋体" w:hAnsi="宋体"/>
          <w:sz w:val="18"/>
          <w:szCs w:val="18"/>
        </w:rPr>
        <w:tab/>
      </w:r>
    </w:p>
    <w:p>
      <w:pPr>
        <w:tabs>
          <w:tab w:val="left" w:pos="1512"/>
        </w:tabs>
        <w:rPr>
          <w:rFonts w:ascii="仿宋_GB2312" w:hAnsi="微软雅黑" w:eastAsia="仿宋_GB2312"/>
          <w:sz w:val="18"/>
          <w:szCs w:val="18"/>
        </w:rPr>
        <w:sectPr>
          <w:pgSz w:w="11906" w:h="16838"/>
          <w:pgMar w:top="1134" w:right="1134" w:bottom="1134" w:left="1134" w:header="851" w:footer="992" w:gutter="0"/>
          <w:cols w:space="425" w:num="1"/>
          <w:docGrid w:type="lines" w:linePitch="312" w:charSpace="0"/>
        </w:sectPr>
      </w:pPr>
      <w:r>
        <w:rPr>
          <w:rFonts w:ascii="仿宋_GB2312" w:hAnsi="微软雅黑" w:eastAsia="仿宋_GB2312"/>
          <w:sz w:val="18"/>
          <w:szCs w:val="18"/>
        </w:rPr>
        <w:tab/>
      </w:r>
    </w:p>
    <w:p>
      <w:pPr>
        <w:spacing w:line="600" w:lineRule="exact"/>
        <w:jc w:val="center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表八、一般公共预算</w:t>
      </w:r>
      <w:r>
        <w:rPr>
          <w:rFonts w:hint="eastAsia" w:ascii="仿宋_GB2312" w:hAnsi="宋体" w:eastAsia="仿宋_GB2312" w:cs="宋体"/>
          <w:bCs/>
          <w:kern w:val="0"/>
          <w:sz w:val="32"/>
          <w:szCs w:val="32"/>
        </w:rPr>
        <w:t>财政拨款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“三公”经费、会议费、培训费支出情况表</w:t>
      </w:r>
    </w:p>
    <w:p>
      <w:pPr>
        <w:jc w:val="righ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宋体" w:hAnsi="宋体" w:cs="Arial"/>
          <w:color w:val="000000"/>
          <w:kern w:val="0"/>
          <w:sz w:val="18"/>
          <w:szCs w:val="18"/>
        </w:rPr>
        <w:t>单位：万元</w:t>
      </w:r>
    </w:p>
    <w:tbl>
      <w:tblPr>
        <w:tblStyle w:val="9"/>
        <w:tblW w:w="14458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25"/>
        <w:gridCol w:w="1358"/>
        <w:gridCol w:w="1361"/>
        <w:gridCol w:w="1361"/>
        <w:gridCol w:w="1361"/>
        <w:gridCol w:w="1362"/>
        <w:gridCol w:w="1265"/>
        <w:gridCol w:w="126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Header/>
          <w:jc w:val="center"/>
        </w:trPr>
        <w:tc>
          <w:tcPr>
            <w:tcW w:w="512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单位名称</w:t>
            </w:r>
          </w:p>
        </w:tc>
        <w:tc>
          <w:tcPr>
            <w:tcW w:w="6803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“三公”经费</w:t>
            </w:r>
          </w:p>
        </w:tc>
        <w:tc>
          <w:tcPr>
            <w:tcW w:w="12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会议费</w:t>
            </w:r>
          </w:p>
        </w:tc>
        <w:tc>
          <w:tcPr>
            <w:tcW w:w="1265" w:type="dxa"/>
            <w:vMerge w:val="restart"/>
            <w:tcBorders>
              <w:top w:val="single" w:color="000000" w:sz="4" w:space="0"/>
              <w:left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培训费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Header/>
          <w:jc w:val="center"/>
        </w:trPr>
        <w:tc>
          <w:tcPr>
            <w:tcW w:w="51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5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1361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因公出国（境）费用</w:t>
            </w:r>
          </w:p>
        </w:tc>
        <w:tc>
          <w:tcPr>
            <w:tcW w:w="1361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公务接待费</w:t>
            </w:r>
          </w:p>
        </w:tc>
        <w:tc>
          <w:tcPr>
            <w:tcW w:w="272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公务用车购置和运行费</w:t>
            </w:r>
          </w:p>
        </w:tc>
        <w:tc>
          <w:tcPr>
            <w:tcW w:w="12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5" w:type="dxa"/>
            <w:vMerge w:val="continue"/>
            <w:tcBorders>
              <w:left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Header/>
          <w:jc w:val="center"/>
        </w:trPr>
        <w:tc>
          <w:tcPr>
            <w:tcW w:w="51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5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公务用车购置费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公务用车运行费</w:t>
            </w:r>
          </w:p>
        </w:tc>
        <w:tc>
          <w:tcPr>
            <w:tcW w:w="12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5" w:type="dxa"/>
            <w:vMerge w:val="continue"/>
            <w:tcBorders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Header/>
          <w:jc w:val="center"/>
        </w:trPr>
        <w:tc>
          <w:tcPr>
            <w:tcW w:w="5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5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3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3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CCCCFF" w:fill="FFFFFF"/>
            <w:noWrap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b/>
                <w:sz w:val="18"/>
                <w:szCs w:val="18"/>
              </w:rPr>
              <w:t>总计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hint="default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0.67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2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CCCCFF" w:fill="FFFFFF"/>
          </w:tcPr>
          <w:p>
            <w:pPr>
              <w:jc w:val="right"/>
              <w:rPr>
                <w:rFonts w:hint="default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0.67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CCCCFF" w:fill="FFFFFF"/>
            <w:noWrap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兰州新区疾病预防控制中心</w:t>
            </w:r>
          </w:p>
        </w:tc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hint="default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0.67</w:t>
            </w: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CCCCFF" w:fill="FFFFFF"/>
          </w:tcPr>
          <w:p>
            <w:pPr>
              <w:jc w:val="right"/>
              <w:rPr>
                <w:rFonts w:hint="default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0.67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CCCCFF" w:fill="FFFFFF"/>
            <w:noWrap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CCCCFF" w:fill="FFFFFF"/>
            <w:noWrap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CCCCFF" w:fill="FFFFFF"/>
            <w:noWrap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CCCCFF" w:fill="FFFFFF"/>
            <w:noWrap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CCCCFF" w:fill="FFFFFF"/>
            <w:noWrap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CCCCFF" w:fill="FFFFFF"/>
            <w:noWrap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CCCCFF" w:fill="FFFFFF"/>
            <w:noWrap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CCCCFF" w:fill="FFFFFF"/>
            <w:noWrap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</w:tbl>
    <w:p>
      <w:pPr>
        <w:widowControl/>
        <w:spacing w:line="560" w:lineRule="exact"/>
        <w:ind w:firstLine="360" w:firstLineChars="200"/>
        <w:jc w:val="left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备注：无内容应公开空表并说明情况。</w:t>
      </w:r>
    </w:p>
    <w:p>
      <w:pPr>
        <w:rPr>
          <w:rFonts w:ascii="仿宋_GB2312" w:hAnsi="微软雅黑" w:eastAsia="仿宋_GB2312"/>
          <w:sz w:val="18"/>
          <w:szCs w:val="18"/>
        </w:rPr>
      </w:pPr>
    </w:p>
    <w:p>
      <w:pPr>
        <w:rPr>
          <w:rFonts w:ascii="仿宋_GB2312" w:hAnsi="微软雅黑" w:eastAsia="仿宋_GB2312"/>
          <w:sz w:val="18"/>
          <w:szCs w:val="18"/>
        </w:rPr>
      </w:pPr>
    </w:p>
    <w:p>
      <w:pPr>
        <w:rPr>
          <w:rFonts w:ascii="仿宋_GB2312" w:hAnsi="微软雅黑" w:eastAsia="仿宋_GB2312"/>
          <w:sz w:val="18"/>
          <w:szCs w:val="18"/>
        </w:rPr>
      </w:pPr>
    </w:p>
    <w:p>
      <w:pPr>
        <w:rPr>
          <w:rFonts w:ascii="仿宋_GB2312" w:hAnsi="微软雅黑" w:eastAsia="仿宋_GB2312"/>
          <w:sz w:val="18"/>
          <w:szCs w:val="18"/>
        </w:rPr>
      </w:pPr>
    </w:p>
    <w:p>
      <w:pPr>
        <w:rPr>
          <w:rFonts w:ascii="仿宋_GB2312" w:hAnsi="微软雅黑" w:eastAsia="仿宋_GB2312"/>
          <w:sz w:val="18"/>
          <w:szCs w:val="18"/>
        </w:rPr>
      </w:pPr>
    </w:p>
    <w:p>
      <w:pPr>
        <w:rPr>
          <w:rFonts w:ascii="仿宋_GB2312" w:hAnsi="微软雅黑" w:eastAsia="仿宋_GB2312"/>
          <w:sz w:val="18"/>
          <w:szCs w:val="18"/>
        </w:rPr>
      </w:pPr>
    </w:p>
    <w:p>
      <w:pPr>
        <w:rPr>
          <w:rFonts w:ascii="仿宋_GB2312" w:hAnsi="微软雅黑" w:eastAsia="仿宋_GB2312"/>
          <w:sz w:val="18"/>
          <w:szCs w:val="18"/>
        </w:rPr>
      </w:pPr>
    </w:p>
    <w:p>
      <w:pPr>
        <w:tabs>
          <w:tab w:val="left" w:pos="1812"/>
        </w:tabs>
        <w:rPr>
          <w:rFonts w:ascii="仿宋_GB2312" w:hAnsi="微软雅黑" w:eastAsia="仿宋_GB2312"/>
          <w:sz w:val="18"/>
          <w:szCs w:val="18"/>
        </w:rPr>
      </w:pPr>
      <w:r>
        <w:rPr>
          <w:rFonts w:ascii="仿宋_GB2312" w:hAnsi="微软雅黑" w:eastAsia="仿宋_GB2312"/>
          <w:sz w:val="18"/>
          <w:szCs w:val="18"/>
        </w:rPr>
        <w:tab/>
      </w:r>
    </w:p>
    <w:p>
      <w:pPr>
        <w:tabs>
          <w:tab w:val="left" w:pos="1812"/>
        </w:tabs>
        <w:rPr>
          <w:rFonts w:ascii="仿宋_GB2312" w:hAnsi="微软雅黑" w:eastAsia="仿宋_GB2312"/>
          <w:sz w:val="18"/>
          <w:szCs w:val="18"/>
        </w:rPr>
        <w:sectPr>
          <w:pgSz w:w="16838" w:h="11906" w:orient="landscape"/>
          <w:pgMar w:top="1134" w:right="1134" w:bottom="1134" w:left="1134" w:header="851" w:footer="992" w:gutter="0"/>
          <w:cols w:space="425" w:num="1"/>
          <w:docGrid w:type="lines" w:linePitch="312" w:charSpace="0"/>
        </w:sectPr>
      </w:pPr>
      <w:r>
        <w:rPr>
          <w:rFonts w:ascii="仿宋_GB2312" w:hAnsi="微软雅黑" w:eastAsia="仿宋_GB2312"/>
          <w:sz w:val="18"/>
          <w:szCs w:val="18"/>
        </w:rPr>
        <w:tab/>
      </w:r>
    </w:p>
    <w:p>
      <w:pPr>
        <w:spacing w:line="600" w:lineRule="exact"/>
        <w:jc w:val="center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表九、一般公共预算财政拨款机关运行经费表</w:t>
      </w:r>
    </w:p>
    <w:p>
      <w:pPr>
        <w:wordWrap w:val="0"/>
        <w:jc w:val="right"/>
        <w:rPr>
          <w:rFonts w:ascii="宋体" w:hAnsi="宋体" w:cs="Arial"/>
          <w:color w:val="000000"/>
          <w:kern w:val="0"/>
          <w:sz w:val="18"/>
          <w:szCs w:val="18"/>
        </w:rPr>
      </w:pPr>
      <w:r>
        <w:rPr>
          <w:rFonts w:hint="eastAsia" w:ascii="宋体" w:hAnsi="宋体" w:cs="Arial"/>
          <w:color w:val="000000"/>
          <w:kern w:val="0"/>
          <w:sz w:val="18"/>
          <w:szCs w:val="18"/>
        </w:rPr>
        <w:t xml:space="preserve">单位：万元 </w:t>
      </w:r>
    </w:p>
    <w:tbl>
      <w:tblPr>
        <w:tblStyle w:val="9"/>
        <w:tblW w:w="9411" w:type="dxa"/>
        <w:tblInd w:w="10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8"/>
        <w:gridCol w:w="3121"/>
        <w:gridCol w:w="1814"/>
        <w:gridCol w:w="1814"/>
        <w:gridCol w:w="181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31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项目</w:t>
            </w:r>
          </w:p>
        </w:tc>
        <w:tc>
          <w:tcPr>
            <w:tcW w:w="18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18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基本支出</w:t>
            </w:r>
          </w:p>
        </w:tc>
        <w:tc>
          <w:tcPr>
            <w:tcW w:w="181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项目支出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31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18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81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48" w:type="dxa"/>
            <w:tcBorders>
              <w:top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bCs/>
                <w:color w:val="000000"/>
                <w:kern w:val="0"/>
                <w:sz w:val="18"/>
                <w:szCs w:val="18"/>
              </w:rPr>
              <w:t>总计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hint="default" w:ascii="宋体" w:hAnsi="宋体" w:eastAsia="宋体" w:cs="Arial"/>
                <w:b/>
                <w:bCs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Arial"/>
                <w:b/>
                <w:bCs/>
                <w:color w:val="000000"/>
                <w:kern w:val="0"/>
                <w:sz w:val="18"/>
                <w:szCs w:val="18"/>
                <w:lang w:val="en-US" w:eastAsia="zh-CN"/>
              </w:rPr>
              <w:t>21.36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hint="default" w:ascii="宋体" w:hAnsi="宋体" w:eastAsia="宋体" w:cs="Arial"/>
                <w:b/>
                <w:bCs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Arial"/>
                <w:b/>
                <w:bCs/>
                <w:color w:val="000000"/>
                <w:kern w:val="0"/>
                <w:sz w:val="18"/>
                <w:szCs w:val="18"/>
                <w:lang w:val="en-US" w:eastAsia="zh-CN"/>
              </w:rPr>
              <w:t>21.36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48" w:type="dxa"/>
            <w:tcBorders>
              <w:top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3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[30201]办公费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hint="default" w:ascii="宋体" w:hAnsi="宋体" w:eastAsia="宋体" w:cs="Arial"/>
                <w:bCs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  <w:lang w:val="en-US" w:eastAsia="zh-CN"/>
              </w:rPr>
              <w:t>0.63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hint="default" w:ascii="宋体" w:hAnsi="宋体" w:eastAsia="宋体" w:cs="Arial"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  <w:lang w:val="en-US" w:eastAsia="zh-CN"/>
              </w:rPr>
              <w:t>0.63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48" w:type="dxa"/>
            <w:tcBorders>
              <w:top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3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[30202]印刷费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hint="default" w:ascii="宋体" w:hAnsi="宋体" w:eastAsia="宋体" w:cs="Arial"/>
                <w:bCs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  <w:lang w:val="en-US" w:eastAsia="zh-CN"/>
              </w:rPr>
              <w:t>0.45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hint="default" w:ascii="宋体" w:hAnsi="宋体" w:eastAsia="宋体" w:cs="Arial"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  <w:lang w:val="en-US" w:eastAsia="zh-CN"/>
              </w:rPr>
              <w:t>0.45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48" w:type="dxa"/>
            <w:tcBorders>
              <w:top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3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[30205]水费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Arial"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48" w:type="dxa"/>
            <w:tcBorders>
              <w:top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3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[30206]电费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hint="default" w:ascii="宋体" w:hAnsi="宋体" w:eastAsia="宋体" w:cs="Arial"/>
                <w:bCs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  <w:lang w:val="en-US" w:eastAsia="zh-CN"/>
              </w:rPr>
              <w:t>0.54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hint="default" w:ascii="宋体" w:hAnsi="宋体" w:eastAsia="宋体" w:cs="Arial"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  <w:lang w:val="en-US" w:eastAsia="zh-CN"/>
              </w:rPr>
              <w:t>0.54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48" w:type="dxa"/>
            <w:tcBorders>
              <w:top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3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[30207]邮电费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hint="default" w:ascii="宋体" w:hAnsi="宋体" w:eastAsia="宋体" w:cs="Arial"/>
                <w:bCs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  <w:lang w:val="en-US" w:eastAsia="zh-CN"/>
              </w:rPr>
              <w:t>0.72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hint="default" w:ascii="宋体" w:hAnsi="宋体" w:eastAsia="宋体" w:cs="Arial"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  <w:lang w:val="en-US" w:eastAsia="zh-CN"/>
              </w:rPr>
              <w:t>0.72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48" w:type="dxa"/>
            <w:tcBorders>
              <w:top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3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[30208]取暖费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Arial"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48" w:type="dxa"/>
            <w:tcBorders>
              <w:top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3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[30209]物业管理费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Arial"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48" w:type="dxa"/>
            <w:tcBorders>
              <w:top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3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[30211]差旅费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hint="default" w:ascii="宋体" w:hAnsi="宋体" w:eastAsia="宋体" w:cs="Arial"/>
                <w:bCs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  <w:lang w:val="en-US" w:eastAsia="zh-CN"/>
              </w:rPr>
              <w:t>0.81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hint="default" w:ascii="宋体" w:hAnsi="宋体" w:eastAsia="宋体" w:cs="Arial"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  <w:lang w:val="en-US" w:eastAsia="zh-CN"/>
              </w:rPr>
              <w:t>0.81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48" w:type="dxa"/>
            <w:tcBorders>
              <w:top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3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[30213]维修（护）费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hint="default" w:ascii="宋体" w:hAnsi="宋体" w:eastAsia="宋体" w:cs="Arial"/>
                <w:bCs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  <w:lang w:val="en-US" w:eastAsia="zh-CN"/>
              </w:rPr>
              <w:t>1.50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hint="default" w:ascii="宋体" w:hAnsi="宋体" w:eastAsia="宋体" w:cs="Arial"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  <w:lang w:val="en-US" w:eastAsia="zh-CN"/>
              </w:rPr>
              <w:t>1.50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48" w:type="dxa"/>
            <w:tcBorders>
              <w:top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3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Arial"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[3021</w:t>
            </w: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]</w:t>
            </w: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  <w:lang w:val="en-US" w:eastAsia="zh-CN"/>
              </w:rPr>
              <w:t>培训费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hint="default" w:ascii="宋体" w:hAnsi="宋体" w:eastAsia="宋体" w:cs="Arial"/>
                <w:bCs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  <w:lang w:val="en-US" w:eastAsia="zh-CN"/>
              </w:rPr>
              <w:t>0.67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hint="default" w:ascii="宋体" w:hAnsi="宋体" w:eastAsia="宋体" w:cs="Arial"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  <w:lang w:val="en-US" w:eastAsia="zh-CN"/>
              </w:rPr>
              <w:t>0.67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48" w:type="dxa"/>
            <w:tcBorders>
              <w:top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3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[30218]专用材料费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Arial"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48" w:type="dxa"/>
            <w:tcBorders>
              <w:top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3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[30229]福利费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hint="default" w:ascii="宋体" w:hAnsi="宋体" w:eastAsia="宋体" w:cs="Arial"/>
                <w:bCs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  <w:lang w:val="en-US" w:eastAsia="zh-CN"/>
              </w:rPr>
              <w:t>1.79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hint="default" w:ascii="宋体" w:hAnsi="宋体" w:eastAsia="宋体" w:cs="Arial"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  <w:lang w:val="en-US" w:eastAsia="zh-CN"/>
              </w:rPr>
              <w:t>1.79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48" w:type="dxa"/>
            <w:tcBorders>
              <w:top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3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Arial"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[3023</w:t>
            </w: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  <w:lang w:val="en-US" w:eastAsia="zh-CN"/>
              </w:rPr>
              <w:t>9</w:t>
            </w: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]</w:t>
            </w: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  <w:lang w:val="en-US" w:eastAsia="zh-CN"/>
              </w:rPr>
              <w:t>其他交通费用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hint="default" w:ascii="宋体" w:hAnsi="宋体" w:eastAsia="宋体" w:cs="Arial"/>
                <w:bCs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  <w:lang w:val="en-US" w:eastAsia="zh-CN"/>
              </w:rPr>
              <w:t>14.25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hint="default" w:ascii="宋体" w:hAnsi="宋体" w:eastAsia="宋体" w:cs="Arial"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  <w:lang w:val="en-US" w:eastAsia="zh-CN"/>
              </w:rPr>
              <w:t>14.25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48" w:type="dxa"/>
            <w:tcBorders>
              <w:top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3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[30299]其他商品和服务支出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48" w:type="dxa"/>
            <w:tcBorders>
              <w:top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3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[31002]办公设备购置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</w:tr>
    </w:tbl>
    <w:p>
      <w:pPr>
        <w:widowControl/>
        <w:spacing w:line="560" w:lineRule="exact"/>
        <w:ind w:firstLine="360" w:firstLineChars="200"/>
        <w:jc w:val="left"/>
        <w:rPr>
          <w:rFonts w:ascii="仿宋_GB2312" w:hAnsi="微软雅黑" w:eastAsia="仿宋_GB2312"/>
          <w:sz w:val="18"/>
          <w:szCs w:val="18"/>
        </w:rPr>
        <w:sectPr>
          <w:pgSz w:w="11906" w:h="16838"/>
          <w:pgMar w:top="1134" w:right="1134" w:bottom="1134" w:left="1134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hAnsi="微软雅黑" w:eastAsia="仿宋_GB2312"/>
          <w:sz w:val="18"/>
          <w:szCs w:val="18"/>
        </w:rPr>
        <w:t>备注：无内容应公开空表并说明情况。</w:t>
      </w:r>
    </w:p>
    <w:p>
      <w:pPr>
        <w:spacing w:line="600" w:lineRule="exact"/>
        <w:jc w:val="center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表十、政府性基金预算支出情况表</w:t>
      </w:r>
    </w:p>
    <w:p>
      <w:pPr>
        <w:wordWrap w:val="0"/>
        <w:jc w:val="right"/>
        <w:rPr>
          <w:rFonts w:ascii="宋体" w:hAnsi="宋体" w:cs="Arial"/>
          <w:color w:val="000000"/>
          <w:kern w:val="0"/>
          <w:sz w:val="18"/>
          <w:szCs w:val="18"/>
        </w:rPr>
      </w:pPr>
      <w:r>
        <w:rPr>
          <w:rFonts w:hint="eastAsia" w:ascii="宋体" w:hAnsi="宋体" w:cs="Arial"/>
          <w:color w:val="000000"/>
          <w:kern w:val="0"/>
          <w:sz w:val="18"/>
          <w:szCs w:val="18"/>
        </w:rPr>
        <w:t xml:space="preserve">单位：万元 </w:t>
      </w:r>
    </w:p>
    <w:tbl>
      <w:tblPr>
        <w:tblStyle w:val="9"/>
        <w:tblW w:w="9498" w:type="dxa"/>
        <w:tblInd w:w="10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5"/>
        <w:gridCol w:w="18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tblHeader/>
        </w:trPr>
        <w:tc>
          <w:tcPr>
            <w:tcW w:w="765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b/>
                <w:bCs/>
                <w:color w:val="000000"/>
                <w:kern w:val="0"/>
                <w:sz w:val="20"/>
                <w:szCs w:val="20"/>
              </w:rPr>
              <w:t>项目</w:t>
            </w:r>
          </w:p>
        </w:tc>
        <w:tc>
          <w:tcPr>
            <w:tcW w:w="18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b/>
                <w:bCs/>
                <w:color w:val="000000"/>
                <w:kern w:val="0"/>
                <w:sz w:val="20"/>
                <w:szCs w:val="20"/>
              </w:rPr>
              <w:t>预算数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tblHeader/>
        </w:trPr>
        <w:tc>
          <w:tcPr>
            <w:tcW w:w="765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tblHeader/>
        </w:trPr>
        <w:tc>
          <w:tcPr>
            <w:tcW w:w="765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765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sz w:val="18"/>
                <w:szCs w:val="18"/>
              </w:rPr>
              <w:t>总计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765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765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765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765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765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765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765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765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765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</w:tbl>
    <w:p>
      <w:pPr>
        <w:widowControl/>
        <w:spacing w:line="560" w:lineRule="exact"/>
        <w:ind w:firstLine="360" w:firstLineChars="200"/>
        <w:jc w:val="left"/>
        <w:rPr>
          <w:rFonts w:ascii="仿宋_GB2312" w:hAnsi="微软雅黑" w:eastAsia="仿宋_GB2312"/>
          <w:sz w:val="18"/>
          <w:szCs w:val="18"/>
        </w:rPr>
        <w:sectPr>
          <w:pgSz w:w="11906" w:h="16838"/>
          <w:pgMar w:top="1134" w:right="1134" w:bottom="1134" w:left="1134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hAnsi="微软雅黑" w:eastAsia="仿宋_GB2312"/>
          <w:sz w:val="18"/>
          <w:szCs w:val="18"/>
        </w:rPr>
        <w:t>备注：本</w:t>
      </w:r>
      <w:r>
        <w:rPr>
          <w:rFonts w:hint="eastAsia" w:ascii="仿宋_GB2312" w:hAnsi="微软雅黑" w:eastAsia="仿宋_GB2312"/>
          <w:sz w:val="18"/>
          <w:szCs w:val="18"/>
          <w:lang w:val="en-US" w:eastAsia="zh-CN"/>
        </w:rPr>
        <w:t>单位</w:t>
      </w:r>
      <w:r>
        <w:rPr>
          <w:rFonts w:hint="eastAsia" w:ascii="仿宋_GB2312" w:hAnsi="微软雅黑" w:eastAsia="仿宋_GB2312"/>
          <w:sz w:val="18"/>
          <w:szCs w:val="18"/>
        </w:rPr>
        <w:t>2024年预算中无政府性基金预算。</w:t>
      </w:r>
    </w:p>
    <w:p>
      <w:pPr>
        <w:spacing w:line="600" w:lineRule="exact"/>
        <w:jc w:val="center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表十一、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单位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管理转移支付表</w:t>
      </w:r>
    </w:p>
    <w:p>
      <w:pPr>
        <w:wordWrap w:val="0"/>
        <w:jc w:val="right"/>
        <w:rPr>
          <w:rFonts w:ascii="宋体" w:hAnsi="宋体" w:cs="Arial"/>
          <w:color w:val="000000"/>
          <w:kern w:val="0"/>
          <w:sz w:val="18"/>
          <w:szCs w:val="18"/>
        </w:rPr>
      </w:pPr>
      <w:r>
        <w:rPr>
          <w:rFonts w:hint="eastAsia" w:ascii="宋体" w:hAnsi="宋体" w:cs="Arial"/>
          <w:color w:val="000000"/>
          <w:kern w:val="0"/>
          <w:sz w:val="18"/>
          <w:szCs w:val="18"/>
        </w:rPr>
        <w:t xml:space="preserve">单位：万元 </w:t>
      </w:r>
    </w:p>
    <w:tbl>
      <w:tblPr>
        <w:tblStyle w:val="9"/>
        <w:tblW w:w="9526" w:type="dxa"/>
        <w:tblInd w:w="10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82"/>
        <w:gridCol w:w="1361"/>
        <w:gridCol w:w="1361"/>
        <w:gridCol w:w="1361"/>
        <w:gridCol w:w="13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Header/>
        </w:trPr>
        <w:tc>
          <w:tcPr>
            <w:tcW w:w="40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单位名称</w:t>
            </w:r>
          </w:p>
        </w:tc>
        <w:tc>
          <w:tcPr>
            <w:tcW w:w="13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13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一般公共预算项目支出</w:t>
            </w:r>
          </w:p>
        </w:tc>
        <w:tc>
          <w:tcPr>
            <w:tcW w:w="13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政府性基金预算项目支出</w:t>
            </w:r>
          </w:p>
        </w:tc>
        <w:tc>
          <w:tcPr>
            <w:tcW w:w="136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国有资本经营预算项目支出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Header/>
        </w:trPr>
        <w:tc>
          <w:tcPr>
            <w:tcW w:w="40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0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sz w:val="18"/>
                <w:szCs w:val="18"/>
              </w:rPr>
              <w:t>总计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0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0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082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0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0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0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0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0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082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</w:tbl>
    <w:p>
      <w:pPr>
        <w:widowControl/>
        <w:spacing w:line="560" w:lineRule="exact"/>
        <w:ind w:firstLine="360" w:firstLineChars="200"/>
        <w:jc w:val="left"/>
        <w:rPr>
          <w:rFonts w:ascii="仿宋_GB2312" w:hAnsi="微软雅黑" w:eastAsia="仿宋_GB2312"/>
          <w:sz w:val="18"/>
          <w:szCs w:val="18"/>
        </w:rPr>
      </w:pPr>
      <w:r>
        <w:rPr>
          <w:rFonts w:hint="eastAsia" w:ascii="仿宋_GB2312" w:hAnsi="微软雅黑" w:eastAsia="仿宋_GB2312"/>
          <w:sz w:val="18"/>
          <w:szCs w:val="18"/>
        </w:rPr>
        <w:t>备注：本单位2024年预算中无单位管理转移支付。</w:t>
      </w:r>
    </w:p>
    <w:p>
      <w:pPr>
        <w:spacing w:line="600" w:lineRule="exact"/>
        <w:jc w:val="center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ascii="仿宋_GB2312" w:hAnsi="微软雅黑" w:eastAsia="仿宋_GB2312"/>
          <w:sz w:val="18"/>
          <w:szCs w:val="18"/>
        </w:rPr>
        <w:br w:type="page"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表十二、国有资本经营预算支出情况表</w:t>
      </w:r>
    </w:p>
    <w:p>
      <w:pPr>
        <w:wordWrap w:val="0"/>
        <w:jc w:val="right"/>
        <w:rPr>
          <w:rFonts w:ascii="宋体" w:hAnsi="宋体" w:cs="Arial"/>
          <w:color w:val="000000"/>
          <w:kern w:val="0"/>
          <w:sz w:val="18"/>
          <w:szCs w:val="18"/>
        </w:rPr>
      </w:pPr>
      <w:r>
        <w:rPr>
          <w:rFonts w:hint="eastAsia" w:ascii="宋体" w:hAnsi="宋体" w:cs="Arial"/>
          <w:color w:val="000000"/>
          <w:kern w:val="0"/>
          <w:sz w:val="18"/>
          <w:szCs w:val="18"/>
        </w:rPr>
        <w:t xml:space="preserve">单位：万元 </w:t>
      </w:r>
    </w:p>
    <w:tbl>
      <w:tblPr>
        <w:tblStyle w:val="9"/>
        <w:tblW w:w="9498" w:type="dxa"/>
        <w:tblInd w:w="10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5"/>
        <w:gridCol w:w="18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tblHeader/>
        </w:trPr>
        <w:tc>
          <w:tcPr>
            <w:tcW w:w="765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b/>
                <w:bCs/>
                <w:color w:val="000000"/>
                <w:kern w:val="0"/>
                <w:sz w:val="20"/>
                <w:szCs w:val="20"/>
              </w:rPr>
              <w:t>项目</w:t>
            </w:r>
          </w:p>
        </w:tc>
        <w:tc>
          <w:tcPr>
            <w:tcW w:w="18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b/>
                <w:bCs/>
                <w:color w:val="000000"/>
                <w:kern w:val="0"/>
                <w:sz w:val="20"/>
                <w:szCs w:val="20"/>
              </w:rPr>
              <w:t>预算数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tblHeader/>
        </w:trPr>
        <w:tc>
          <w:tcPr>
            <w:tcW w:w="765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tblHeader/>
        </w:trPr>
        <w:tc>
          <w:tcPr>
            <w:tcW w:w="765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765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sz w:val="18"/>
                <w:szCs w:val="18"/>
              </w:rPr>
              <w:t>总计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765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765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765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765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765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765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765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765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765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</w:tbl>
    <w:p>
      <w:pPr>
        <w:widowControl/>
        <w:spacing w:line="560" w:lineRule="exact"/>
        <w:ind w:firstLine="360" w:firstLineChars="200"/>
        <w:jc w:val="left"/>
        <w:rPr>
          <w:rFonts w:ascii="仿宋_GB2312" w:hAnsi="微软雅黑" w:eastAsia="仿宋_GB2312"/>
          <w:sz w:val="18"/>
          <w:szCs w:val="18"/>
        </w:rPr>
        <w:sectPr>
          <w:pgSz w:w="11906" w:h="16838"/>
          <w:pgMar w:top="1134" w:right="1134" w:bottom="1134" w:left="1134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hAnsi="微软雅黑" w:eastAsia="仿宋_GB2312"/>
          <w:sz w:val="18"/>
          <w:szCs w:val="18"/>
        </w:rPr>
        <w:t>备注：本单位2024年预算中无国有资本经营预算。</w:t>
      </w:r>
    </w:p>
    <w:p>
      <w:pPr>
        <w:tabs>
          <w:tab w:val="left" w:pos="1848"/>
        </w:tabs>
      </w:pPr>
      <w:bookmarkStart w:id="0" w:name="_GoBack"/>
      <w:bookmarkEnd w:id="0"/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imesNewRomanPS-BoldMT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IDFont+F6">
    <w:altName w:val="仿宋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IDFont+F4">
    <w:altName w:val="仿宋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27</w:t>
    </w:r>
    <w:r>
      <w:fldChar w:fldCharType="end"/>
    </w:r>
  </w:p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wOGRmMmJmMjg2NTNjMmY5ODk5NjlmYmUyOGYxNTQifQ=="/>
  </w:docVars>
  <w:rsids>
    <w:rsidRoot w:val="00FB4362"/>
    <w:rsid w:val="00000C55"/>
    <w:rsid w:val="00001446"/>
    <w:rsid w:val="0001130C"/>
    <w:rsid w:val="00011F27"/>
    <w:rsid w:val="00012457"/>
    <w:rsid w:val="00021BBF"/>
    <w:rsid w:val="00030443"/>
    <w:rsid w:val="00030F4C"/>
    <w:rsid w:val="0003278A"/>
    <w:rsid w:val="000368FE"/>
    <w:rsid w:val="00042A06"/>
    <w:rsid w:val="00043601"/>
    <w:rsid w:val="000442B5"/>
    <w:rsid w:val="0004639D"/>
    <w:rsid w:val="000465E2"/>
    <w:rsid w:val="0005161F"/>
    <w:rsid w:val="000547D1"/>
    <w:rsid w:val="00055759"/>
    <w:rsid w:val="000612EE"/>
    <w:rsid w:val="00061BAF"/>
    <w:rsid w:val="0006337D"/>
    <w:rsid w:val="00074626"/>
    <w:rsid w:val="00076B62"/>
    <w:rsid w:val="00082093"/>
    <w:rsid w:val="000861D5"/>
    <w:rsid w:val="0009273A"/>
    <w:rsid w:val="000A20A7"/>
    <w:rsid w:val="000A655B"/>
    <w:rsid w:val="000B54DD"/>
    <w:rsid w:val="000C2055"/>
    <w:rsid w:val="000C2B7F"/>
    <w:rsid w:val="000C37BE"/>
    <w:rsid w:val="000C4C50"/>
    <w:rsid w:val="000D0130"/>
    <w:rsid w:val="000D2EEE"/>
    <w:rsid w:val="000D2F19"/>
    <w:rsid w:val="000E0CEA"/>
    <w:rsid w:val="000F3CBF"/>
    <w:rsid w:val="000F3F42"/>
    <w:rsid w:val="000F473D"/>
    <w:rsid w:val="001017F3"/>
    <w:rsid w:val="0011297B"/>
    <w:rsid w:val="00123768"/>
    <w:rsid w:val="00126B08"/>
    <w:rsid w:val="001272E5"/>
    <w:rsid w:val="00127D01"/>
    <w:rsid w:val="00130F5F"/>
    <w:rsid w:val="001374F5"/>
    <w:rsid w:val="00152FDC"/>
    <w:rsid w:val="001561FD"/>
    <w:rsid w:val="0015647B"/>
    <w:rsid w:val="00156619"/>
    <w:rsid w:val="00156C8B"/>
    <w:rsid w:val="00160A8C"/>
    <w:rsid w:val="001700B4"/>
    <w:rsid w:val="00171070"/>
    <w:rsid w:val="001A416A"/>
    <w:rsid w:val="001A6118"/>
    <w:rsid w:val="001B0364"/>
    <w:rsid w:val="001B0B8E"/>
    <w:rsid w:val="001B342F"/>
    <w:rsid w:val="001C1259"/>
    <w:rsid w:val="001D1DA7"/>
    <w:rsid w:val="001E17E4"/>
    <w:rsid w:val="001E2410"/>
    <w:rsid w:val="001E347C"/>
    <w:rsid w:val="001E6110"/>
    <w:rsid w:val="001F3C4D"/>
    <w:rsid w:val="002033EA"/>
    <w:rsid w:val="00214046"/>
    <w:rsid w:val="0022561F"/>
    <w:rsid w:val="00232DBE"/>
    <w:rsid w:val="002355E7"/>
    <w:rsid w:val="00235F73"/>
    <w:rsid w:val="0023681E"/>
    <w:rsid w:val="00241FEC"/>
    <w:rsid w:val="00243562"/>
    <w:rsid w:val="0025164A"/>
    <w:rsid w:val="00265C3D"/>
    <w:rsid w:val="00266C2E"/>
    <w:rsid w:val="00270DF8"/>
    <w:rsid w:val="002754B3"/>
    <w:rsid w:val="0028392B"/>
    <w:rsid w:val="002934F2"/>
    <w:rsid w:val="002A3A19"/>
    <w:rsid w:val="002A3ED4"/>
    <w:rsid w:val="002A7274"/>
    <w:rsid w:val="002B2833"/>
    <w:rsid w:val="002B7BA1"/>
    <w:rsid w:val="002C01BB"/>
    <w:rsid w:val="002C3FA4"/>
    <w:rsid w:val="002E2161"/>
    <w:rsid w:val="002E30F2"/>
    <w:rsid w:val="002E4E72"/>
    <w:rsid w:val="002F0CE0"/>
    <w:rsid w:val="002F4ED9"/>
    <w:rsid w:val="002F75FE"/>
    <w:rsid w:val="002F7FA5"/>
    <w:rsid w:val="003017F4"/>
    <w:rsid w:val="00301AAB"/>
    <w:rsid w:val="00306B68"/>
    <w:rsid w:val="003129FE"/>
    <w:rsid w:val="003322AC"/>
    <w:rsid w:val="00335342"/>
    <w:rsid w:val="00343A8E"/>
    <w:rsid w:val="00345713"/>
    <w:rsid w:val="003566B9"/>
    <w:rsid w:val="00356C98"/>
    <w:rsid w:val="0036367B"/>
    <w:rsid w:val="0036496C"/>
    <w:rsid w:val="00365414"/>
    <w:rsid w:val="00372734"/>
    <w:rsid w:val="00372A33"/>
    <w:rsid w:val="0037374A"/>
    <w:rsid w:val="00377A88"/>
    <w:rsid w:val="00392E2B"/>
    <w:rsid w:val="003A396F"/>
    <w:rsid w:val="003A68FD"/>
    <w:rsid w:val="003A7A18"/>
    <w:rsid w:val="003B3187"/>
    <w:rsid w:val="003B327A"/>
    <w:rsid w:val="003B4612"/>
    <w:rsid w:val="003B76D2"/>
    <w:rsid w:val="003D6D41"/>
    <w:rsid w:val="003E3B0A"/>
    <w:rsid w:val="0040581D"/>
    <w:rsid w:val="00417BF3"/>
    <w:rsid w:val="00425D21"/>
    <w:rsid w:val="00426463"/>
    <w:rsid w:val="00427875"/>
    <w:rsid w:val="004317A0"/>
    <w:rsid w:val="0043556D"/>
    <w:rsid w:val="0043739B"/>
    <w:rsid w:val="00441579"/>
    <w:rsid w:val="004418B5"/>
    <w:rsid w:val="00445789"/>
    <w:rsid w:val="00463FB8"/>
    <w:rsid w:val="00480A2F"/>
    <w:rsid w:val="00480B47"/>
    <w:rsid w:val="00481F19"/>
    <w:rsid w:val="00487BC0"/>
    <w:rsid w:val="00490FF8"/>
    <w:rsid w:val="004A1851"/>
    <w:rsid w:val="004B337A"/>
    <w:rsid w:val="004B5538"/>
    <w:rsid w:val="004C3127"/>
    <w:rsid w:val="004D27C3"/>
    <w:rsid w:val="004D44D2"/>
    <w:rsid w:val="004D491E"/>
    <w:rsid w:val="004E3E51"/>
    <w:rsid w:val="004E625A"/>
    <w:rsid w:val="004F73BD"/>
    <w:rsid w:val="00502474"/>
    <w:rsid w:val="00515110"/>
    <w:rsid w:val="00523062"/>
    <w:rsid w:val="00532434"/>
    <w:rsid w:val="00537019"/>
    <w:rsid w:val="0054271B"/>
    <w:rsid w:val="00545281"/>
    <w:rsid w:val="00551A39"/>
    <w:rsid w:val="00566585"/>
    <w:rsid w:val="00580A2F"/>
    <w:rsid w:val="005A2CB7"/>
    <w:rsid w:val="005B15C7"/>
    <w:rsid w:val="005B51EA"/>
    <w:rsid w:val="005C6B92"/>
    <w:rsid w:val="005F4CC9"/>
    <w:rsid w:val="0060056E"/>
    <w:rsid w:val="006039C9"/>
    <w:rsid w:val="00605602"/>
    <w:rsid w:val="00605D22"/>
    <w:rsid w:val="00620A03"/>
    <w:rsid w:val="00621126"/>
    <w:rsid w:val="0062145A"/>
    <w:rsid w:val="00633C60"/>
    <w:rsid w:val="00645C9F"/>
    <w:rsid w:val="00650775"/>
    <w:rsid w:val="0065388D"/>
    <w:rsid w:val="00655506"/>
    <w:rsid w:val="00674396"/>
    <w:rsid w:val="006849AD"/>
    <w:rsid w:val="006853A7"/>
    <w:rsid w:val="0069507F"/>
    <w:rsid w:val="006955DD"/>
    <w:rsid w:val="00697A98"/>
    <w:rsid w:val="006A0492"/>
    <w:rsid w:val="006A3DED"/>
    <w:rsid w:val="006A6E23"/>
    <w:rsid w:val="006B05FF"/>
    <w:rsid w:val="006C4D2E"/>
    <w:rsid w:val="006D3D60"/>
    <w:rsid w:val="006E1F9C"/>
    <w:rsid w:val="006E4A2C"/>
    <w:rsid w:val="006E721A"/>
    <w:rsid w:val="006F0E11"/>
    <w:rsid w:val="006F40C8"/>
    <w:rsid w:val="00700872"/>
    <w:rsid w:val="00706BB4"/>
    <w:rsid w:val="00714029"/>
    <w:rsid w:val="007203B6"/>
    <w:rsid w:val="007222C1"/>
    <w:rsid w:val="00725205"/>
    <w:rsid w:val="0074091B"/>
    <w:rsid w:val="00740927"/>
    <w:rsid w:val="00744302"/>
    <w:rsid w:val="00747C60"/>
    <w:rsid w:val="007732EA"/>
    <w:rsid w:val="00777EA3"/>
    <w:rsid w:val="007933F9"/>
    <w:rsid w:val="00793C7B"/>
    <w:rsid w:val="007954B6"/>
    <w:rsid w:val="007A5E22"/>
    <w:rsid w:val="007B3768"/>
    <w:rsid w:val="007B5395"/>
    <w:rsid w:val="007C38FB"/>
    <w:rsid w:val="007C6434"/>
    <w:rsid w:val="007D4E4C"/>
    <w:rsid w:val="007D5F13"/>
    <w:rsid w:val="007D69F8"/>
    <w:rsid w:val="007E4819"/>
    <w:rsid w:val="007E4E03"/>
    <w:rsid w:val="007E7289"/>
    <w:rsid w:val="00805F3F"/>
    <w:rsid w:val="00817A5D"/>
    <w:rsid w:val="00821209"/>
    <w:rsid w:val="00821491"/>
    <w:rsid w:val="00831411"/>
    <w:rsid w:val="00842536"/>
    <w:rsid w:val="00843692"/>
    <w:rsid w:val="0085135B"/>
    <w:rsid w:val="0085287C"/>
    <w:rsid w:val="008559B6"/>
    <w:rsid w:val="008559FD"/>
    <w:rsid w:val="00855E65"/>
    <w:rsid w:val="0085612E"/>
    <w:rsid w:val="00880868"/>
    <w:rsid w:val="00880D30"/>
    <w:rsid w:val="008811AD"/>
    <w:rsid w:val="008812FA"/>
    <w:rsid w:val="008B222B"/>
    <w:rsid w:val="008C138F"/>
    <w:rsid w:val="008C204C"/>
    <w:rsid w:val="008C2625"/>
    <w:rsid w:val="008C4FE2"/>
    <w:rsid w:val="008D4D6A"/>
    <w:rsid w:val="008F7014"/>
    <w:rsid w:val="009049E9"/>
    <w:rsid w:val="00907F9B"/>
    <w:rsid w:val="00911503"/>
    <w:rsid w:val="00917C2D"/>
    <w:rsid w:val="009209B6"/>
    <w:rsid w:val="00923CB4"/>
    <w:rsid w:val="009335E0"/>
    <w:rsid w:val="00941732"/>
    <w:rsid w:val="009510F3"/>
    <w:rsid w:val="00954018"/>
    <w:rsid w:val="00955590"/>
    <w:rsid w:val="00970435"/>
    <w:rsid w:val="009704EC"/>
    <w:rsid w:val="00971619"/>
    <w:rsid w:val="00982EAB"/>
    <w:rsid w:val="0098505E"/>
    <w:rsid w:val="00991480"/>
    <w:rsid w:val="009945A7"/>
    <w:rsid w:val="00995E63"/>
    <w:rsid w:val="0099643D"/>
    <w:rsid w:val="009969DC"/>
    <w:rsid w:val="00996BA5"/>
    <w:rsid w:val="009A0F79"/>
    <w:rsid w:val="009A3C75"/>
    <w:rsid w:val="009B03F2"/>
    <w:rsid w:val="009C4EE2"/>
    <w:rsid w:val="009D46B1"/>
    <w:rsid w:val="009E7F6E"/>
    <w:rsid w:val="009F2B6A"/>
    <w:rsid w:val="009F5541"/>
    <w:rsid w:val="00A01204"/>
    <w:rsid w:val="00A022BA"/>
    <w:rsid w:val="00A256AC"/>
    <w:rsid w:val="00A32BE3"/>
    <w:rsid w:val="00A4207A"/>
    <w:rsid w:val="00A5653E"/>
    <w:rsid w:val="00A63533"/>
    <w:rsid w:val="00A723C4"/>
    <w:rsid w:val="00A72D2B"/>
    <w:rsid w:val="00A820E9"/>
    <w:rsid w:val="00A82942"/>
    <w:rsid w:val="00A83E24"/>
    <w:rsid w:val="00AA20F8"/>
    <w:rsid w:val="00AA327B"/>
    <w:rsid w:val="00AA55AF"/>
    <w:rsid w:val="00AB19A5"/>
    <w:rsid w:val="00AC2FD6"/>
    <w:rsid w:val="00AC78FC"/>
    <w:rsid w:val="00AD4CFE"/>
    <w:rsid w:val="00AE79BA"/>
    <w:rsid w:val="00AF350E"/>
    <w:rsid w:val="00AF3D8F"/>
    <w:rsid w:val="00AF5273"/>
    <w:rsid w:val="00AF5D3D"/>
    <w:rsid w:val="00B0671C"/>
    <w:rsid w:val="00B13495"/>
    <w:rsid w:val="00B262DD"/>
    <w:rsid w:val="00B278DE"/>
    <w:rsid w:val="00B30287"/>
    <w:rsid w:val="00B30EBD"/>
    <w:rsid w:val="00B351C3"/>
    <w:rsid w:val="00B36AC9"/>
    <w:rsid w:val="00B36E7A"/>
    <w:rsid w:val="00B542CD"/>
    <w:rsid w:val="00B6465B"/>
    <w:rsid w:val="00B772D7"/>
    <w:rsid w:val="00B85451"/>
    <w:rsid w:val="00B86006"/>
    <w:rsid w:val="00B86D86"/>
    <w:rsid w:val="00BA2A96"/>
    <w:rsid w:val="00BA5FE5"/>
    <w:rsid w:val="00BC1FD9"/>
    <w:rsid w:val="00BC30FF"/>
    <w:rsid w:val="00BC500D"/>
    <w:rsid w:val="00BD7FD7"/>
    <w:rsid w:val="00BF1606"/>
    <w:rsid w:val="00BF1647"/>
    <w:rsid w:val="00BF5A25"/>
    <w:rsid w:val="00C06428"/>
    <w:rsid w:val="00C11347"/>
    <w:rsid w:val="00C35018"/>
    <w:rsid w:val="00C40A34"/>
    <w:rsid w:val="00C4484E"/>
    <w:rsid w:val="00C46F7C"/>
    <w:rsid w:val="00C519B5"/>
    <w:rsid w:val="00C55EDB"/>
    <w:rsid w:val="00C573E9"/>
    <w:rsid w:val="00C729DA"/>
    <w:rsid w:val="00C764B7"/>
    <w:rsid w:val="00C90B56"/>
    <w:rsid w:val="00CA3F25"/>
    <w:rsid w:val="00CB5B9D"/>
    <w:rsid w:val="00CB6428"/>
    <w:rsid w:val="00CC01A5"/>
    <w:rsid w:val="00CC2134"/>
    <w:rsid w:val="00CD255A"/>
    <w:rsid w:val="00D126EC"/>
    <w:rsid w:val="00D14955"/>
    <w:rsid w:val="00D24CD6"/>
    <w:rsid w:val="00D24FA6"/>
    <w:rsid w:val="00D544D2"/>
    <w:rsid w:val="00D660F8"/>
    <w:rsid w:val="00D744C5"/>
    <w:rsid w:val="00D827AF"/>
    <w:rsid w:val="00D8451F"/>
    <w:rsid w:val="00D8474D"/>
    <w:rsid w:val="00D84D5B"/>
    <w:rsid w:val="00D86771"/>
    <w:rsid w:val="00D90C73"/>
    <w:rsid w:val="00D90F17"/>
    <w:rsid w:val="00D9480E"/>
    <w:rsid w:val="00D94FFD"/>
    <w:rsid w:val="00DA7038"/>
    <w:rsid w:val="00DB4AF2"/>
    <w:rsid w:val="00DB572A"/>
    <w:rsid w:val="00DC14B3"/>
    <w:rsid w:val="00DC399C"/>
    <w:rsid w:val="00DC7D6D"/>
    <w:rsid w:val="00DD2999"/>
    <w:rsid w:val="00DD2B43"/>
    <w:rsid w:val="00DD2CF8"/>
    <w:rsid w:val="00DD5C58"/>
    <w:rsid w:val="00DE240B"/>
    <w:rsid w:val="00DE529C"/>
    <w:rsid w:val="00DE6D9E"/>
    <w:rsid w:val="00DF3482"/>
    <w:rsid w:val="00DF450F"/>
    <w:rsid w:val="00E04A58"/>
    <w:rsid w:val="00E07425"/>
    <w:rsid w:val="00E07A05"/>
    <w:rsid w:val="00E16025"/>
    <w:rsid w:val="00E167FD"/>
    <w:rsid w:val="00E16F50"/>
    <w:rsid w:val="00E24179"/>
    <w:rsid w:val="00E31783"/>
    <w:rsid w:val="00E36636"/>
    <w:rsid w:val="00E43A34"/>
    <w:rsid w:val="00E44D37"/>
    <w:rsid w:val="00E52850"/>
    <w:rsid w:val="00E609A5"/>
    <w:rsid w:val="00E61928"/>
    <w:rsid w:val="00E656D2"/>
    <w:rsid w:val="00E7276C"/>
    <w:rsid w:val="00E84382"/>
    <w:rsid w:val="00E9180B"/>
    <w:rsid w:val="00EA0646"/>
    <w:rsid w:val="00EA2BA4"/>
    <w:rsid w:val="00EA3103"/>
    <w:rsid w:val="00EB15C1"/>
    <w:rsid w:val="00EC325A"/>
    <w:rsid w:val="00EC3A8E"/>
    <w:rsid w:val="00EC57F0"/>
    <w:rsid w:val="00ED68AF"/>
    <w:rsid w:val="00EF2E7C"/>
    <w:rsid w:val="00F01A6E"/>
    <w:rsid w:val="00F11811"/>
    <w:rsid w:val="00F20178"/>
    <w:rsid w:val="00F23C6C"/>
    <w:rsid w:val="00F24BC8"/>
    <w:rsid w:val="00F25045"/>
    <w:rsid w:val="00F30F3E"/>
    <w:rsid w:val="00F32002"/>
    <w:rsid w:val="00F4605D"/>
    <w:rsid w:val="00F51EF5"/>
    <w:rsid w:val="00F74928"/>
    <w:rsid w:val="00F8197E"/>
    <w:rsid w:val="00F833B1"/>
    <w:rsid w:val="00F87D90"/>
    <w:rsid w:val="00F90495"/>
    <w:rsid w:val="00FA4179"/>
    <w:rsid w:val="00FB4362"/>
    <w:rsid w:val="00FB53A1"/>
    <w:rsid w:val="00FD30CF"/>
    <w:rsid w:val="00FE0E46"/>
    <w:rsid w:val="00FF0AEC"/>
    <w:rsid w:val="00FF1DF4"/>
    <w:rsid w:val="00FF4165"/>
    <w:rsid w:val="0DDB505B"/>
    <w:rsid w:val="113741D2"/>
    <w:rsid w:val="1D34261E"/>
    <w:rsid w:val="23DB7F83"/>
    <w:rsid w:val="4B781670"/>
    <w:rsid w:val="52620EA8"/>
    <w:rsid w:val="527E074E"/>
    <w:rsid w:val="579503FF"/>
    <w:rsid w:val="60535296"/>
    <w:rsid w:val="6462288A"/>
    <w:rsid w:val="72FD2525"/>
    <w:rsid w:val="759E3A20"/>
    <w:rsid w:val="77FBD58C"/>
    <w:rsid w:val="78511BEE"/>
    <w:rsid w:val="7EB35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semiHidden="0" w:name="annotation reference"/>
    <w:lsdException w:qFormat="1" w:unhideWhenUsed="0" w:uiPriority="0" w:semiHidden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7"/>
    <w:qFormat/>
    <w:uiPriority w:val="0"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Indent"/>
    <w:basedOn w:val="1"/>
    <w:next w:val="1"/>
    <w:autoRedefine/>
    <w:qFormat/>
    <w:uiPriority w:val="99"/>
    <w:pPr>
      <w:ind w:firstLine="420" w:firstLineChars="200"/>
    </w:pPr>
  </w:style>
  <w:style w:type="paragraph" w:styleId="4">
    <w:name w:val="annotation text"/>
    <w:basedOn w:val="1"/>
    <w:link w:val="19"/>
    <w:qFormat/>
    <w:uiPriority w:val="0"/>
    <w:pPr>
      <w:jc w:val="left"/>
    </w:pPr>
  </w:style>
  <w:style w:type="paragraph" w:styleId="5">
    <w:name w:val="Balloon Text"/>
    <w:basedOn w:val="1"/>
    <w:link w:val="16"/>
    <w:qFormat/>
    <w:uiPriority w:val="0"/>
    <w:rPr>
      <w:sz w:val="18"/>
      <w:szCs w:val="18"/>
    </w:rPr>
  </w:style>
  <w:style w:type="paragraph" w:styleId="6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annotation subject"/>
    <w:basedOn w:val="4"/>
    <w:next w:val="4"/>
    <w:link w:val="20"/>
    <w:qFormat/>
    <w:uiPriority w:val="0"/>
    <w:rPr>
      <w:b/>
      <w:bCs/>
    </w:rPr>
  </w:style>
  <w:style w:type="character" w:styleId="11">
    <w:name w:val="line number"/>
    <w:qFormat/>
    <w:uiPriority w:val="0"/>
  </w:style>
  <w:style w:type="character" w:styleId="12">
    <w:name w:val="annotation reference"/>
    <w:qFormat/>
    <w:uiPriority w:val="0"/>
    <w:rPr>
      <w:sz w:val="21"/>
      <w:szCs w:val="21"/>
    </w:rPr>
  </w:style>
  <w:style w:type="character" w:customStyle="1" w:styleId="13">
    <w:name w:val="页脚 Char"/>
    <w:link w:val="6"/>
    <w:qFormat/>
    <w:uiPriority w:val="0"/>
    <w:rPr>
      <w:sz w:val="18"/>
      <w:szCs w:val="18"/>
    </w:rPr>
  </w:style>
  <w:style w:type="character" w:customStyle="1" w:styleId="14">
    <w:name w:val="页眉 Char"/>
    <w:link w:val="7"/>
    <w:qFormat/>
    <w:uiPriority w:val="0"/>
    <w:rPr>
      <w:sz w:val="18"/>
      <w:szCs w:val="18"/>
    </w:rPr>
  </w:style>
  <w:style w:type="paragraph" w:styleId="15">
    <w:name w:val="List Paragraph"/>
    <w:basedOn w:val="1"/>
    <w:qFormat/>
    <w:uiPriority w:val="0"/>
    <w:pPr>
      <w:ind w:firstLine="420" w:firstLineChars="200"/>
    </w:pPr>
  </w:style>
  <w:style w:type="character" w:customStyle="1" w:styleId="16">
    <w:name w:val="批注框文本 Char"/>
    <w:link w:val="5"/>
    <w:qFormat/>
    <w:uiPriority w:val="0"/>
    <w:rPr>
      <w:kern w:val="2"/>
      <w:sz w:val="18"/>
      <w:szCs w:val="18"/>
    </w:rPr>
  </w:style>
  <w:style w:type="character" w:customStyle="1" w:styleId="17">
    <w:name w:val="标题 1 Char"/>
    <w:link w:val="3"/>
    <w:qFormat/>
    <w:uiPriority w:val="0"/>
    <w:rPr>
      <w:rFonts w:ascii="Times New Roman" w:hAnsi="Times New Roman"/>
      <w:b/>
      <w:bCs/>
      <w:kern w:val="44"/>
      <w:sz w:val="44"/>
      <w:szCs w:val="44"/>
    </w:rPr>
  </w:style>
  <w:style w:type="paragraph" w:customStyle="1" w:styleId="18">
    <w:name w:val="TOC Heading"/>
    <w:basedOn w:val="3"/>
    <w:next w:val="1"/>
    <w:qFormat/>
    <w:uiPriority w:val="0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19">
    <w:name w:val="批注文字 Char"/>
    <w:link w:val="4"/>
    <w:qFormat/>
    <w:uiPriority w:val="0"/>
    <w:rPr>
      <w:kern w:val="2"/>
      <w:sz w:val="21"/>
      <w:szCs w:val="22"/>
    </w:rPr>
  </w:style>
  <w:style w:type="character" w:customStyle="1" w:styleId="20">
    <w:name w:val="批注主题 Char"/>
    <w:link w:val="8"/>
    <w:qFormat/>
    <w:uiPriority w:val="0"/>
    <w:rPr>
      <w:b/>
      <w:bCs/>
      <w:kern w:val="2"/>
      <w:sz w:val="21"/>
      <w:szCs w:val="22"/>
    </w:rPr>
  </w:style>
  <w:style w:type="character" w:customStyle="1" w:styleId="21">
    <w:name w:val="fontstyle01"/>
    <w:qFormat/>
    <w:uiPriority w:val="0"/>
    <w:rPr>
      <w:rFonts w:hint="eastAsia" w:ascii="仿宋_GB2312" w:eastAsia="仿宋_GB2312"/>
      <w:color w:val="000000"/>
      <w:sz w:val="32"/>
      <w:szCs w:val="32"/>
    </w:rPr>
  </w:style>
  <w:style w:type="character" w:customStyle="1" w:styleId="22">
    <w:name w:val="fontstyle21"/>
    <w:qFormat/>
    <w:uiPriority w:val="0"/>
    <w:rPr>
      <w:rFonts w:hint="default" w:ascii="TimesNewRomanPSMT" w:hAnsi="TimesNewRomanPSMT"/>
      <w:color w:val="000000"/>
      <w:sz w:val="32"/>
      <w:szCs w:val="32"/>
    </w:rPr>
  </w:style>
  <w:style w:type="character" w:customStyle="1" w:styleId="23">
    <w:name w:val="fontstyle11"/>
    <w:qFormat/>
    <w:uiPriority w:val="0"/>
    <w:rPr>
      <w:rFonts w:hint="eastAsia" w:ascii="仿宋_GB2312" w:eastAsia="仿宋_GB2312"/>
      <w:color w:val="000000"/>
      <w:sz w:val="32"/>
      <w:szCs w:val="32"/>
    </w:rPr>
  </w:style>
  <w:style w:type="character" w:customStyle="1" w:styleId="24">
    <w:name w:val="fontstyle31"/>
    <w:autoRedefine/>
    <w:qFormat/>
    <w:uiPriority w:val="0"/>
    <w:rPr>
      <w:rFonts w:hint="default" w:ascii="TimesNewRomanPSMT" w:hAnsi="TimesNewRomanPSMT"/>
      <w:color w:val="00000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beijing</Company>
  <Pages>30</Pages>
  <Words>1440</Words>
  <Characters>8209</Characters>
  <Lines>68</Lines>
  <Paragraphs>19</Paragraphs>
  <TotalTime>25</TotalTime>
  <ScaleCrop>false</ScaleCrop>
  <LinksUpToDate>false</LinksUpToDate>
  <CharactersWithSpaces>9630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2024-01-30T17:03:00Z</dcterms:created>
  <dc:creator>home</dc:creator>
  <cp:lastModifiedBy>香蕉梨的夏天</cp:lastModifiedBy>
  <cp:lastPrinted>2024-03-11T10:50:00Z</cp:lastPrinted>
  <dcterms:modified xsi:type="dcterms:W3CDTF">2024-03-22T02:47:27Z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ADF30D70D77D4611A2F3547CAD5ED373_13</vt:lpwstr>
  </property>
</Properties>
</file>