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923A5">
      <w:pPr>
        <w:pStyle w:val="2"/>
        <w:spacing w:line="560" w:lineRule="exact"/>
        <w:ind w:firstLine="0" w:firstLineChars="0"/>
        <w:rPr>
          <w:rFonts w:ascii="宋体" w:hAnsi="宋体" w:cs="宋体"/>
          <w:bCs/>
          <w:color w:val="000000"/>
          <w:szCs w:val="32"/>
        </w:rPr>
      </w:pPr>
    </w:p>
    <w:p w14:paraId="4EB5E436">
      <w:pPr>
        <w:rPr>
          <w:rFonts w:ascii="宋体" w:hAnsi="宋体" w:cs="宋体"/>
          <w:bCs/>
          <w:color w:val="000000"/>
          <w:szCs w:val="32"/>
        </w:rPr>
      </w:pPr>
    </w:p>
    <w:p w14:paraId="7CB7AB8A">
      <w:pPr>
        <w:pStyle w:val="2"/>
        <w:spacing w:line="560" w:lineRule="exact"/>
        <w:ind w:firstLine="0" w:firstLineChars="0"/>
        <w:rPr>
          <w:rFonts w:ascii="楷体" w:hAnsi="楷体" w:eastAsia="楷体" w:cs="楷体"/>
          <w:b/>
          <w:color w:val="000000"/>
          <w:szCs w:val="32"/>
        </w:rPr>
      </w:pPr>
    </w:p>
    <w:p w14:paraId="360A91AA">
      <w:pPr>
        <w:pStyle w:val="2"/>
        <w:spacing w:line="560" w:lineRule="exact"/>
        <w:ind w:firstLine="0" w:firstLineChars="0"/>
        <w:jc w:val="center"/>
        <w:rPr>
          <w:rFonts w:hint="eastAsia" w:ascii="楷体" w:hAnsi="楷体" w:eastAsia="楷体" w:cs="楷体"/>
          <w:b/>
          <w:color w:val="000000"/>
          <w:sz w:val="36"/>
          <w:szCs w:val="36"/>
          <w:lang w:val="en-US"/>
        </w:rPr>
      </w:pPr>
      <w:r>
        <w:rPr>
          <w:rFonts w:hint="eastAsia" w:ascii="楷体" w:hAnsi="楷体" w:eastAsia="楷体" w:cs="楷体"/>
          <w:b/>
          <w:color w:val="000000"/>
          <w:sz w:val="36"/>
          <w:szCs w:val="36"/>
          <w:lang w:val="en-US" w:eastAsia="zh-CN"/>
        </w:rPr>
        <w:t>秦川镇2023年自建房安全专项整治工作</w:t>
      </w:r>
    </w:p>
    <w:p w14:paraId="5CC84A60">
      <w:pPr>
        <w:pStyle w:val="2"/>
        <w:spacing w:line="560" w:lineRule="exact"/>
        <w:ind w:firstLine="0" w:firstLineChars="0"/>
        <w:jc w:val="center"/>
        <w:rPr>
          <w:rFonts w:ascii="楷体" w:hAnsi="楷体" w:eastAsia="楷体" w:cs="楷体"/>
          <w:b/>
          <w:color w:val="000000"/>
          <w:sz w:val="36"/>
          <w:szCs w:val="36"/>
          <w:lang w:val="zh-CN"/>
        </w:rPr>
      </w:pPr>
      <w:r>
        <w:rPr>
          <w:rFonts w:hint="eastAsia" w:ascii="楷体" w:hAnsi="楷体" w:eastAsia="楷体" w:cs="楷体"/>
          <w:b/>
          <w:color w:val="000000"/>
          <w:sz w:val="36"/>
          <w:szCs w:val="36"/>
          <w:lang w:val="zh-CN"/>
        </w:rPr>
        <w:t>支出绩效评价报告</w:t>
      </w:r>
    </w:p>
    <w:p w14:paraId="158A3B9A">
      <w:pPr>
        <w:spacing w:line="560" w:lineRule="exact"/>
        <w:ind w:firstLine="562" w:firstLineChars="200"/>
        <w:rPr>
          <w:rFonts w:ascii="宋体" w:hAnsi="宋体" w:cs="宋体"/>
          <w:b/>
          <w:color w:val="000000"/>
          <w:sz w:val="28"/>
          <w:szCs w:val="28"/>
          <w:lang w:val="zh-CN"/>
        </w:rPr>
      </w:pPr>
    </w:p>
    <w:p w14:paraId="5894DB82">
      <w:pPr>
        <w:pStyle w:val="3"/>
        <w:spacing w:line="560" w:lineRule="exact"/>
        <w:ind w:firstLine="562"/>
        <w:rPr>
          <w:rFonts w:ascii="宋体" w:hAnsi="宋体" w:eastAsia="宋体" w:cs="宋体"/>
          <w:b/>
          <w:bCs w:val="0"/>
          <w:color w:val="000000"/>
          <w:sz w:val="28"/>
          <w:szCs w:val="28"/>
          <w:lang w:val="zh-CN"/>
        </w:rPr>
      </w:pPr>
    </w:p>
    <w:p w14:paraId="122DC75A">
      <w:pPr>
        <w:spacing w:line="560" w:lineRule="exact"/>
        <w:ind w:firstLine="562" w:firstLineChars="200"/>
        <w:rPr>
          <w:rFonts w:ascii="宋体" w:hAnsi="宋体" w:cs="宋体"/>
          <w:b/>
          <w:color w:val="000000"/>
          <w:sz w:val="28"/>
          <w:szCs w:val="28"/>
          <w:lang w:val="zh-CN"/>
        </w:rPr>
      </w:pPr>
    </w:p>
    <w:p w14:paraId="5705029D">
      <w:pPr>
        <w:pStyle w:val="3"/>
        <w:spacing w:line="560" w:lineRule="exact"/>
        <w:ind w:firstLine="562"/>
        <w:rPr>
          <w:rFonts w:ascii="宋体" w:hAnsi="宋体" w:eastAsia="宋体" w:cs="宋体"/>
          <w:b/>
          <w:bCs w:val="0"/>
          <w:color w:val="000000"/>
          <w:sz w:val="28"/>
          <w:szCs w:val="28"/>
          <w:lang w:val="zh-CN"/>
        </w:rPr>
      </w:pPr>
    </w:p>
    <w:p w14:paraId="38D8A7AB">
      <w:pPr>
        <w:spacing w:line="560" w:lineRule="exact"/>
        <w:ind w:firstLine="562" w:firstLineChars="200"/>
        <w:rPr>
          <w:rFonts w:ascii="宋体" w:hAnsi="宋体" w:cs="宋体"/>
          <w:b/>
          <w:color w:val="000000"/>
          <w:sz w:val="28"/>
          <w:szCs w:val="28"/>
          <w:lang w:val="zh-CN"/>
        </w:rPr>
      </w:pPr>
    </w:p>
    <w:p w14:paraId="70F38F12">
      <w:pPr>
        <w:pStyle w:val="3"/>
        <w:spacing w:line="560" w:lineRule="exact"/>
        <w:ind w:firstLine="480"/>
        <w:jc w:val="center"/>
        <w:rPr>
          <w:lang w:val="zh-CN"/>
        </w:rPr>
      </w:pPr>
    </w:p>
    <w:p w14:paraId="5F287C1C">
      <w:pPr>
        <w:tabs>
          <w:tab w:val="left" w:pos="6559"/>
        </w:tabs>
        <w:autoSpaceDE w:val="0"/>
        <w:autoSpaceDN w:val="0"/>
        <w:spacing w:line="240" w:lineRule="auto"/>
        <w:ind w:left="0" w:leftChars="0" w:right="0" w:firstLine="0" w:firstLineChars="0"/>
        <w:jc w:val="center"/>
        <w:rPr>
          <w:rFonts w:hint="eastAsia" w:ascii="仿宋_GB2312" w:hAnsi="仿宋_GB2312" w:eastAsia="仿宋_GB2312" w:cs="仿宋_GB2312"/>
          <w:sz w:val="32"/>
          <w:szCs w:val="32"/>
          <w:u w:val="single"/>
          <w:lang w:val="en-US" w:bidi="zh-CN"/>
        </w:rPr>
      </w:pPr>
      <w:r>
        <w:rPr>
          <w:rFonts w:hint="eastAsia" w:ascii="仿宋_GB2312" w:hAnsi="仿宋_GB2312" w:eastAsia="仿宋_GB2312" w:cs="仿宋_GB2312"/>
          <w:sz w:val="32"/>
          <w:szCs w:val="32"/>
          <w:lang w:val="zh-CN" w:bidi="zh-CN"/>
        </w:rPr>
        <w:t>项目名称：</w:t>
      </w:r>
      <w:r>
        <w:rPr>
          <w:rFonts w:hint="eastAsia" w:ascii="仿宋_GB2312" w:hAnsi="仿宋_GB2312" w:eastAsia="仿宋_GB2312" w:cs="仿宋_GB2312"/>
          <w:w w:val="99"/>
          <w:sz w:val="32"/>
          <w:szCs w:val="32"/>
          <w:u w:val="single"/>
          <w:lang w:val="en-US" w:bidi="zh-CN"/>
        </w:rPr>
        <w:t xml:space="preserve"> </w:t>
      </w:r>
      <w:r>
        <w:rPr>
          <w:rFonts w:hint="eastAsia" w:ascii="仿宋_GB2312" w:hAnsi="仿宋_GB2312" w:eastAsia="仿宋_GB2312" w:cs="仿宋_GB2312"/>
          <w:w w:val="99"/>
          <w:sz w:val="32"/>
          <w:szCs w:val="32"/>
          <w:u w:val="single"/>
          <w:lang w:val="zh-CN" w:eastAsia="zh-CN" w:bidi="zh-CN"/>
        </w:rPr>
        <w:t>秦川镇2023年自建房安全专项整治工作</w:t>
      </w:r>
    </w:p>
    <w:p w14:paraId="648CD8A6">
      <w:pPr>
        <w:tabs>
          <w:tab w:val="left" w:pos="6559"/>
        </w:tabs>
        <w:autoSpaceDE w:val="0"/>
        <w:autoSpaceDN w:val="0"/>
        <w:spacing w:line="240" w:lineRule="auto"/>
        <w:ind w:right="0" w:firstLine="608" w:firstLineChars="200"/>
        <w:jc w:val="both"/>
        <w:rPr>
          <w:rFonts w:hint="default" w:ascii="仿宋_GB2312" w:hAnsi="仿宋_GB2312" w:eastAsia="仿宋_GB2312" w:cs="仿宋_GB2312"/>
          <w:w w:val="95"/>
          <w:sz w:val="32"/>
          <w:szCs w:val="32"/>
          <w:u w:val="single"/>
          <w:lang w:val="en-US" w:bidi="zh-CN"/>
        </w:rPr>
      </w:pPr>
      <w:r>
        <w:rPr>
          <w:rFonts w:hint="eastAsia" w:ascii="仿宋_GB2312" w:hAnsi="仿宋_GB2312" w:eastAsia="仿宋_GB2312" w:cs="仿宋_GB2312"/>
          <w:w w:val="95"/>
          <w:sz w:val="32"/>
          <w:szCs w:val="32"/>
          <w:lang w:val="zh-CN" w:bidi="zh-CN"/>
        </w:rPr>
        <w:t>项目主管部门：</w:t>
      </w:r>
      <w:r>
        <w:rPr>
          <w:rFonts w:hint="eastAsia" w:ascii="仿宋_GB2312" w:hAnsi="仿宋_GB2312" w:eastAsia="仿宋_GB2312" w:cs="仿宋_GB2312"/>
          <w:w w:val="95"/>
          <w:sz w:val="32"/>
          <w:szCs w:val="32"/>
          <w:u w:val="single"/>
          <w:lang w:val="en-US" w:bidi="zh-CN"/>
        </w:rPr>
        <w:t xml:space="preserve">秦川镇人民政府                   </w:t>
      </w:r>
      <w:bookmarkStart w:id="0" w:name="_GoBack"/>
      <w:bookmarkEnd w:id="0"/>
    </w:p>
    <w:p w14:paraId="2687B53B">
      <w:pPr>
        <w:tabs>
          <w:tab w:val="left" w:pos="6559"/>
        </w:tabs>
        <w:autoSpaceDE w:val="0"/>
        <w:autoSpaceDN w:val="0"/>
        <w:spacing w:line="240" w:lineRule="auto"/>
        <w:ind w:right="0" w:firstLine="608" w:firstLineChars="200"/>
        <w:jc w:val="both"/>
        <w:rPr>
          <w:rFonts w:hint="default" w:ascii="仿宋_GB2312" w:hAnsi="仿宋_GB2312" w:eastAsia="仿宋_GB2312" w:cs="仿宋_GB2312"/>
          <w:w w:val="95"/>
          <w:sz w:val="32"/>
          <w:szCs w:val="32"/>
          <w:u w:val="single"/>
          <w:lang w:val="en-US" w:bidi="zh-CN"/>
        </w:rPr>
      </w:pPr>
      <w:r>
        <w:rPr>
          <w:rFonts w:hint="eastAsia" w:ascii="仿宋_GB2312" w:hAnsi="仿宋_GB2312" w:eastAsia="仿宋_GB2312" w:cs="仿宋_GB2312"/>
          <w:w w:val="95"/>
          <w:sz w:val="32"/>
          <w:szCs w:val="32"/>
          <w:lang w:val="zh-CN" w:bidi="zh-CN"/>
        </w:rPr>
        <w:t>评价实施部门：</w:t>
      </w:r>
      <w:r>
        <w:rPr>
          <w:rFonts w:hint="eastAsia" w:ascii="仿宋_GB2312" w:hAnsi="仿宋_GB2312" w:eastAsia="仿宋_GB2312" w:cs="仿宋_GB2312"/>
          <w:w w:val="95"/>
          <w:sz w:val="32"/>
          <w:szCs w:val="32"/>
          <w:u w:val="single"/>
          <w:lang w:val="en-US" w:bidi="zh-CN"/>
        </w:rPr>
        <w:t xml:space="preserve">秦川镇项目绩效评价小组           </w:t>
      </w:r>
    </w:p>
    <w:p w14:paraId="5E0437D1">
      <w:pPr>
        <w:tabs>
          <w:tab w:val="left" w:pos="6559"/>
        </w:tabs>
        <w:autoSpaceDE w:val="0"/>
        <w:autoSpaceDN w:val="0"/>
        <w:spacing w:line="240" w:lineRule="auto"/>
        <w:ind w:right="0" w:firstLine="608" w:firstLineChars="200"/>
        <w:jc w:val="both"/>
        <w:rPr>
          <w:rFonts w:hint="default" w:ascii="仿宋_GB2312" w:hAnsi="仿宋_GB2312" w:eastAsia="仿宋_GB2312" w:cs="仿宋_GB2312"/>
          <w:sz w:val="32"/>
          <w:szCs w:val="32"/>
          <w:lang w:val="en-US" w:bidi="zh-CN"/>
        </w:rPr>
      </w:pPr>
      <w:r>
        <w:rPr>
          <w:rFonts w:hint="eastAsia" w:ascii="仿宋_GB2312" w:hAnsi="仿宋_GB2312" w:eastAsia="仿宋_GB2312" w:cs="仿宋_GB2312"/>
          <w:w w:val="95"/>
          <w:sz w:val="32"/>
          <w:szCs w:val="32"/>
          <w:lang w:val="zh-CN" w:bidi="zh-CN"/>
        </w:rPr>
        <w:t>评价机构名称：</w:t>
      </w:r>
      <w:r>
        <w:rPr>
          <w:rFonts w:hint="eastAsia" w:ascii="仿宋_GB2312" w:hAnsi="仿宋_GB2312" w:eastAsia="仿宋_GB2312" w:cs="仿宋_GB2312"/>
          <w:w w:val="95"/>
          <w:sz w:val="32"/>
          <w:szCs w:val="32"/>
          <w:u w:val="single"/>
          <w:lang w:val="en-US" w:bidi="zh-CN"/>
        </w:rPr>
        <w:t xml:space="preserve">                                 </w:t>
      </w:r>
    </w:p>
    <w:p w14:paraId="68A08A81">
      <w:pPr>
        <w:autoSpaceDE w:val="0"/>
        <w:autoSpaceDN w:val="0"/>
        <w:spacing w:line="560" w:lineRule="exact"/>
        <w:ind w:firstLine="400" w:firstLineChars="200"/>
        <w:jc w:val="center"/>
        <w:rPr>
          <w:rFonts w:ascii="Times New Roman" w:hAnsi="仿宋" w:eastAsia="仿宋" w:cs="仿宋"/>
          <w:sz w:val="20"/>
          <w:szCs w:val="32"/>
          <w:lang w:val="zh-CN" w:bidi="zh-CN"/>
        </w:rPr>
      </w:pPr>
    </w:p>
    <w:p w14:paraId="47924FD2">
      <w:pPr>
        <w:autoSpaceDE w:val="0"/>
        <w:autoSpaceDN w:val="0"/>
        <w:spacing w:line="560" w:lineRule="exact"/>
        <w:ind w:firstLine="400" w:firstLineChars="200"/>
        <w:jc w:val="center"/>
        <w:rPr>
          <w:rFonts w:ascii="Times New Roman" w:hAnsi="仿宋" w:eastAsia="仿宋" w:cs="仿宋"/>
          <w:sz w:val="20"/>
          <w:szCs w:val="32"/>
          <w:lang w:val="zh-CN" w:bidi="zh-CN"/>
        </w:rPr>
      </w:pPr>
    </w:p>
    <w:p w14:paraId="323EC7E3">
      <w:pPr>
        <w:autoSpaceDE w:val="0"/>
        <w:autoSpaceDN w:val="0"/>
        <w:spacing w:line="560" w:lineRule="exact"/>
        <w:ind w:firstLine="400" w:firstLineChars="200"/>
        <w:jc w:val="left"/>
        <w:rPr>
          <w:rFonts w:ascii="Times New Roman" w:hAnsi="仿宋" w:eastAsia="仿宋" w:cs="仿宋"/>
          <w:sz w:val="20"/>
          <w:szCs w:val="32"/>
          <w:lang w:val="zh-CN" w:bidi="zh-CN"/>
        </w:rPr>
      </w:pPr>
    </w:p>
    <w:p w14:paraId="53AFA372">
      <w:pPr>
        <w:autoSpaceDE w:val="0"/>
        <w:autoSpaceDN w:val="0"/>
        <w:spacing w:before="4" w:line="560" w:lineRule="exact"/>
        <w:jc w:val="left"/>
        <w:rPr>
          <w:rFonts w:ascii="Times New Roman" w:hAnsi="仿宋" w:eastAsia="仿宋" w:cs="仿宋"/>
          <w:sz w:val="16"/>
          <w:szCs w:val="32"/>
          <w:lang w:val="zh-CN" w:bidi="zh-CN"/>
        </w:rPr>
      </w:pPr>
    </w:p>
    <w:p w14:paraId="483774F1">
      <w:pPr>
        <w:pStyle w:val="2"/>
        <w:rPr>
          <w:lang w:val="zh-CN"/>
        </w:rPr>
      </w:pPr>
    </w:p>
    <w:p w14:paraId="3EDA4A70">
      <w:pPr>
        <w:autoSpaceDE w:val="0"/>
        <w:autoSpaceDN w:val="0"/>
        <w:spacing w:before="55" w:line="560" w:lineRule="exact"/>
        <w:ind w:left="497" w:right="1024" w:firstLine="640" w:firstLineChars="200"/>
        <w:jc w:val="center"/>
        <w:rPr>
          <w:rFonts w:hint="default"/>
          <w:lang w:val="en-US" w:eastAsia="zh-CN"/>
        </w:rPr>
        <w:sectPr>
          <w:footerReference r:id="rId3" w:type="default"/>
          <w:pgSz w:w="11906" w:h="16838"/>
          <w:pgMar w:top="1440" w:right="1800" w:bottom="1440" w:left="1800" w:header="851" w:footer="1531" w:gutter="0"/>
          <w:pgNumType w:fmt="numberInDash" w:start="1"/>
          <w:cols w:space="425" w:num="1"/>
          <w:docGrid w:type="lines" w:linePitch="312" w:charSpace="0"/>
        </w:sectPr>
      </w:pPr>
      <w:r>
        <w:rPr>
          <w:rFonts w:hint="eastAsia" w:ascii="仿宋" w:hAnsi="仿宋" w:eastAsia="仿宋" w:cs="仿宋"/>
          <w:sz w:val="32"/>
          <w:szCs w:val="32"/>
          <w:lang w:bidi="zh-CN"/>
        </w:rPr>
        <w:t>202</w:t>
      </w:r>
      <w:r>
        <w:rPr>
          <w:rFonts w:hint="eastAsia" w:ascii="仿宋" w:hAnsi="仿宋" w:eastAsia="仿宋" w:cs="仿宋"/>
          <w:sz w:val="32"/>
          <w:szCs w:val="32"/>
          <w:lang w:val="en-US" w:bidi="zh-CN"/>
        </w:rPr>
        <w:t>4</w:t>
      </w:r>
      <w:r>
        <w:rPr>
          <w:rFonts w:ascii="仿宋" w:hAnsi="仿宋" w:eastAsia="仿宋" w:cs="仿宋"/>
          <w:sz w:val="32"/>
          <w:szCs w:val="32"/>
          <w:lang w:val="zh-CN" w:bidi="zh-CN"/>
        </w:rPr>
        <w:t>年</w:t>
      </w:r>
      <w:r>
        <w:rPr>
          <w:rFonts w:hint="eastAsia" w:ascii="仿宋" w:hAnsi="仿宋" w:eastAsia="仿宋" w:cs="仿宋"/>
          <w:sz w:val="32"/>
          <w:szCs w:val="32"/>
          <w:lang w:val="en-US" w:bidi="zh-CN"/>
        </w:rPr>
        <w:t>8月</w:t>
      </w:r>
    </w:p>
    <w:p w14:paraId="1467806E">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秦川镇2023年自建房安全专项整治工作</w:t>
      </w:r>
    </w:p>
    <w:p w14:paraId="599F303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支出绩效评价报</w:t>
      </w:r>
      <w:r>
        <w:rPr>
          <w:rFonts w:hint="eastAsia" w:ascii="方正小标宋简体" w:hAnsi="方正小标宋简体" w:eastAsia="方正小标宋简体" w:cs="方正小标宋简体"/>
          <w:sz w:val="44"/>
          <w:szCs w:val="44"/>
        </w:rPr>
        <w:t>告</w:t>
      </w:r>
    </w:p>
    <w:p w14:paraId="5113D004">
      <w:pPr>
        <w:pStyle w:val="2"/>
        <w:rPr>
          <w:rFonts w:hint="eastAsia"/>
        </w:rPr>
      </w:pPr>
    </w:p>
    <w:p w14:paraId="3AF05FA8">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0" w:firstLineChars="0"/>
        <w:textAlignment w:val="auto"/>
        <w:rPr>
          <w:rFonts w:hint="eastAsia" w:ascii="仿宋_GB2312" w:hAnsi="宋体" w:eastAsia="仿宋_GB2312" w:cs="宋体"/>
          <w:sz w:val="32"/>
          <w:szCs w:val="32"/>
        </w:rPr>
      </w:pPr>
      <w:r>
        <w:rPr>
          <w:rFonts w:hint="eastAsia" w:ascii="黑体" w:hAnsi="黑体" w:eastAsia="黑体" w:cs="黑体"/>
          <w:sz w:val="32"/>
          <w:szCs w:val="32"/>
        </w:rPr>
        <w:t>项目基本情况</w:t>
      </w:r>
    </w:p>
    <w:p w14:paraId="2F6E78D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（一）项目立项背景</w:t>
      </w:r>
    </w:p>
    <w:p w14:paraId="27C8CC12">
      <w:pPr>
        <w:keepNext w:val="0"/>
        <w:keepLines w:val="0"/>
        <w:pageBreakBefore w:val="0"/>
        <w:widowControl w:val="0"/>
        <w:numPr>
          <w:ilvl w:val="0"/>
          <w:numId w:val="0"/>
        </w:numPr>
        <w:tabs>
          <w:tab w:val="left" w:pos="984"/>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hAnsi="宋体" w:eastAsia="仿宋_GB2312" w:cs="宋体"/>
          <w:sz w:val="32"/>
          <w:szCs w:val="32"/>
          <w:lang w:val="en-US" w:eastAsia="zh-CN"/>
        </w:rPr>
        <w:t>为了深入贯彻落实</w:t>
      </w:r>
      <w:r>
        <w:rPr>
          <w:rFonts w:hint="eastAsia" w:ascii="仿宋_GB2312" w:hAnsi="仿宋_GB2312" w:eastAsia="仿宋_GB2312" w:cs="仿宋_GB2312"/>
          <w:sz w:val="32"/>
          <w:szCs w:val="32"/>
          <w:lang w:val="en-US" w:eastAsia="zh-CN"/>
        </w:rPr>
        <w:t>省委、省政府和新区党工委、管委会关于自建房安全工作的部署要求，根据</w:t>
      </w:r>
      <w:r>
        <w:rPr>
          <w:rFonts w:hint="eastAsia" w:ascii="仿宋_GB2312" w:hAnsi="宋体" w:eastAsia="仿宋_GB2312" w:cs="宋体"/>
          <w:sz w:val="32"/>
          <w:szCs w:val="32"/>
        </w:rPr>
        <w:t>《兰州新区管委会办公室关于印发&lt;兰州新区</w:t>
      </w:r>
      <w:r>
        <w:rPr>
          <w:rFonts w:hint="eastAsia" w:ascii="仿宋_GB2312" w:hAnsi="宋体" w:eastAsia="仿宋_GB2312" w:cs="宋体"/>
          <w:sz w:val="32"/>
          <w:szCs w:val="32"/>
          <w:lang w:eastAsia="zh-CN"/>
        </w:rPr>
        <w:t>自建</w:t>
      </w:r>
      <w:r>
        <w:rPr>
          <w:rFonts w:hint="eastAsia" w:ascii="仿宋_GB2312" w:hAnsi="宋体" w:eastAsia="仿宋_GB2312" w:cs="宋体"/>
          <w:sz w:val="32"/>
          <w:szCs w:val="32"/>
          <w:lang w:val="en-US" w:eastAsia="zh-CN"/>
        </w:rPr>
        <w:t>房安全专项整治工作方案&gt;的通知》（新政办发〔2022〕26号）文件精神，</w:t>
      </w:r>
      <w:r>
        <w:rPr>
          <w:rFonts w:hint="eastAsia" w:ascii="仿宋_GB2312" w:hAnsi="仿宋_GB2312" w:eastAsia="仿宋_GB2312" w:cs="仿宋_GB2312"/>
          <w:b w:val="0"/>
          <w:bCs w:val="0"/>
          <w:color w:val="000000"/>
          <w:kern w:val="0"/>
          <w:sz w:val="32"/>
          <w:szCs w:val="32"/>
          <w:lang w:val="en-US" w:eastAsia="zh-CN" w:bidi="ar-SA"/>
        </w:rPr>
        <w:t>深刻汲取湖南长沙“4·29”特别重大居民自建房倒塌事故教训，</w:t>
      </w:r>
      <w:r>
        <w:rPr>
          <w:rFonts w:hint="eastAsia" w:ascii="仿宋_GB2312" w:hAnsi="仿宋_GB2312" w:eastAsia="仿宋_GB2312" w:cs="仿宋_GB2312"/>
          <w:sz w:val="32"/>
          <w:szCs w:val="32"/>
          <w:lang w:val="en-US" w:eastAsia="zh-CN"/>
        </w:rPr>
        <w:t>推动建立自建房安全管理长效机制，切实维护人民群众生命财产安全，</w:t>
      </w:r>
      <w:r>
        <w:rPr>
          <w:rFonts w:hint="eastAsia" w:ascii="仿宋_GB2312" w:hAnsi="仿宋_GB2312" w:eastAsia="仿宋_GB2312" w:cs="仿宋_GB2312"/>
          <w:b w:val="0"/>
          <w:bCs w:val="0"/>
          <w:color w:val="000000"/>
          <w:kern w:val="0"/>
          <w:sz w:val="32"/>
          <w:szCs w:val="32"/>
          <w:lang w:val="en-US" w:eastAsia="zh-CN" w:bidi="ar-SA"/>
        </w:rPr>
        <w:t>我镇</w:t>
      </w:r>
      <w:r>
        <w:rPr>
          <w:rFonts w:hint="default" w:ascii="仿宋_GB2312" w:hAnsi="仿宋_GB2312" w:eastAsia="仿宋_GB2312" w:cs="仿宋_GB2312"/>
          <w:b w:val="0"/>
          <w:bCs w:val="0"/>
          <w:color w:val="000000"/>
          <w:kern w:val="0"/>
          <w:sz w:val="32"/>
          <w:szCs w:val="32"/>
          <w:lang w:val="en-US" w:eastAsia="zh-CN" w:bidi="ar-SA"/>
        </w:rPr>
        <w:t>组织开展“百日行动”，</w:t>
      </w:r>
      <w:r>
        <w:rPr>
          <w:rFonts w:hint="eastAsia" w:ascii="仿宋_GB2312" w:hAnsi="仿宋_GB2312" w:eastAsia="仿宋_GB2312" w:cs="仿宋_GB2312"/>
          <w:b w:val="0"/>
          <w:bCs w:val="0"/>
          <w:color w:val="000000"/>
          <w:kern w:val="0"/>
          <w:sz w:val="32"/>
          <w:szCs w:val="32"/>
          <w:lang w:val="en-US" w:eastAsia="zh-CN" w:bidi="ar-SA"/>
        </w:rPr>
        <w:t>于2023年2月</w:t>
      </w:r>
      <w:r>
        <w:rPr>
          <w:rFonts w:hint="eastAsia" w:ascii="仿宋_GB2312" w:eastAsia="仿宋_GB2312" w:cs="Times New Roman"/>
          <w:sz w:val="32"/>
          <w:szCs w:val="32"/>
          <w:lang w:val="en-US" w:eastAsia="zh-CN"/>
        </w:rPr>
        <w:t>委托兰州新区秦川城乡发展投资有限公司</w:t>
      </w:r>
      <w:r>
        <w:rPr>
          <w:rFonts w:hint="eastAsia" w:ascii="仿宋_GB2312" w:hAnsi="仿宋_GB2312" w:eastAsia="仿宋_GB2312" w:cs="仿宋_GB2312"/>
          <w:b w:val="0"/>
          <w:bCs w:val="0"/>
          <w:color w:val="000000"/>
          <w:kern w:val="0"/>
          <w:sz w:val="32"/>
          <w:szCs w:val="32"/>
          <w:lang w:val="en-US" w:eastAsia="zh-CN" w:bidi="ar-SA"/>
        </w:rPr>
        <w:t>将全镇经营性自建房进行安全鉴定，对</w:t>
      </w:r>
      <w:r>
        <w:rPr>
          <w:rFonts w:hint="default" w:ascii="仿宋_GB2312" w:hAnsi="仿宋_GB2312" w:eastAsia="仿宋_GB2312" w:cs="仿宋_GB2312"/>
          <w:b w:val="0"/>
          <w:bCs w:val="0"/>
          <w:color w:val="000000"/>
          <w:kern w:val="0"/>
          <w:sz w:val="32"/>
          <w:szCs w:val="32"/>
          <w:lang w:val="en-US" w:eastAsia="zh-CN" w:bidi="ar-SA"/>
        </w:rPr>
        <w:t>危及公共安全的经营性自建房</w:t>
      </w:r>
      <w:r>
        <w:rPr>
          <w:rFonts w:hint="eastAsia" w:ascii="仿宋_GB2312" w:hAnsi="仿宋_GB2312" w:eastAsia="仿宋_GB2312" w:cs="仿宋_GB2312"/>
          <w:b w:val="0"/>
          <w:bCs w:val="0"/>
          <w:color w:val="000000"/>
          <w:kern w:val="0"/>
          <w:sz w:val="32"/>
          <w:szCs w:val="32"/>
          <w:lang w:val="en-US" w:eastAsia="zh-CN" w:bidi="ar-SA"/>
        </w:rPr>
        <w:t>进行</w:t>
      </w:r>
      <w:r>
        <w:rPr>
          <w:rFonts w:hint="default" w:ascii="仿宋_GB2312" w:hAnsi="仿宋_GB2312" w:eastAsia="仿宋_GB2312" w:cs="仿宋_GB2312"/>
          <w:b w:val="0"/>
          <w:bCs w:val="0"/>
          <w:color w:val="000000"/>
          <w:kern w:val="0"/>
          <w:sz w:val="32"/>
          <w:szCs w:val="32"/>
          <w:lang w:val="en-US" w:eastAsia="zh-CN" w:bidi="ar-SA"/>
        </w:rPr>
        <w:t>快查快改、立查立改，及时消除安全风险</w:t>
      </w:r>
      <w:r>
        <w:rPr>
          <w:rFonts w:hint="eastAsia" w:ascii="仿宋_GB2312" w:hAnsi="宋体" w:eastAsia="仿宋_GB2312" w:cs="宋体"/>
          <w:sz w:val="32"/>
          <w:szCs w:val="32"/>
          <w:lang w:val="en-US" w:eastAsia="zh-CN"/>
        </w:rPr>
        <w:t>。</w:t>
      </w:r>
    </w:p>
    <w:p w14:paraId="5F5638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（二）</w:t>
      </w:r>
      <w:r>
        <w:rPr>
          <w:rFonts w:hint="eastAsia" w:ascii="仿宋_GB2312" w:hAnsi="宋体" w:eastAsia="仿宋_GB2312" w:cs="宋体"/>
          <w:sz w:val="32"/>
          <w:szCs w:val="32"/>
        </w:rPr>
        <w:t>项目预算安排及使用情况</w:t>
      </w:r>
    </w:p>
    <w:p w14:paraId="15BF343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hAnsi="宋体" w:eastAsia="仿宋_GB2312" w:cs="宋体"/>
          <w:sz w:val="32"/>
          <w:szCs w:val="32"/>
          <w:lang w:val="en-US" w:eastAsia="zh-CN"/>
        </w:rPr>
        <w:t>该项目将其中房屋安全鉴定内容委托兰州新区城乡发展投资有限公司，房屋安全鉴定费用为</w:t>
      </w:r>
      <w:r>
        <w:rPr>
          <w:rFonts w:hint="eastAsia" w:ascii="仿宋_GB2312" w:eastAsia="仿宋_GB2312" w:cs="Times New Roman"/>
          <w:sz w:val="32"/>
          <w:szCs w:val="32"/>
          <w:lang w:val="en-US" w:eastAsia="zh-CN"/>
        </w:rPr>
        <w:t>319627.24</w:t>
      </w:r>
      <w:r>
        <w:rPr>
          <w:rFonts w:hint="eastAsia" w:ascii="仿宋_GB2312" w:hAnsi="宋体" w:eastAsia="仿宋_GB2312" w:cs="宋体"/>
          <w:sz w:val="32"/>
          <w:szCs w:val="32"/>
          <w:lang w:val="en-US" w:eastAsia="zh-CN"/>
        </w:rPr>
        <w:t>元；将其中C/D级危房拆除及建筑垃圾清运内容委托兰州新区秦凯劳务服务有限公司，C/D级危房拆除及建筑垃圾清运费用</w:t>
      </w:r>
      <w:r>
        <w:rPr>
          <w:rFonts w:hint="eastAsia" w:ascii="仿宋_GB2312" w:eastAsia="仿宋_GB2312" w:cs="Times New Roman"/>
          <w:sz w:val="32"/>
          <w:szCs w:val="32"/>
          <w:lang w:val="en-US" w:eastAsia="zh-CN"/>
        </w:rPr>
        <w:t>180372.76元。以上</w:t>
      </w:r>
      <w:r>
        <w:rPr>
          <w:rFonts w:hint="eastAsia" w:ascii="仿宋_GB2312" w:hAnsi="宋体" w:eastAsia="仿宋_GB2312" w:cs="宋体"/>
          <w:sz w:val="32"/>
          <w:szCs w:val="32"/>
          <w:lang w:val="en-US" w:eastAsia="zh-CN"/>
        </w:rPr>
        <w:t>最终实际结算金额共计</w:t>
      </w:r>
      <w:r>
        <w:rPr>
          <w:rFonts w:hint="eastAsia" w:ascii="仿宋_GB2312" w:eastAsia="仿宋_GB2312" w:cs="Times New Roman"/>
          <w:sz w:val="32"/>
          <w:szCs w:val="32"/>
          <w:lang w:val="en-US" w:eastAsia="zh-CN"/>
        </w:rPr>
        <w:t>500000元。</w:t>
      </w:r>
    </w:p>
    <w:p w14:paraId="48B342F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我镇于2023年5月31日第七次党委会决定将秦川园区建设局拨付500000元给城乡公司支付鉴定费319627.24元，三层及以上排查面积71028.26平方米，每平方米单价4.5元，小计319627.24元，给镇公司支付CD级危房拆除费用180372.76元。</w:t>
      </w:r>
    </w:p>
    <w:p w14:paraId="4E9C60D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eastAsia="zh-CN"/>
        </w:rPr>
        <w:t>（三）</w:t>
      </w:r>
      <w:r>
        <w:rPr>
          <w:rFonts w:hint="eastAsia" w:ascii="仿宋_GB2312" w:hAnsi="宋体" w:eastAsia="仿宋_GB2312" w:cs="宋体"/>
          <w:sz w:val="32"/>
          <w:szCs w:val="32"/>
        </w:rPr>
        <w:t>项目</w:t>
      </w:r>
      <w:r>
        <w:rPr>
          <w:rFonts w:hint="eastAsia" w:ascii="仿宋_GB2312" w:hAnsi="宋体" w:eastAsia="仿宋_GB2312" w:cs="宋体"/>
          <w:sz w:val="32"/>
          <w:szCs w:val="32"/>
          <w:lang w:val="en-US" w:eastAsia="zh-CN"/>
        </w:rPr>
        <w:t>计划</w:t>
      </w:r>
      <w:r>
        <w:rPr>
          <w:rFonts w:hint="eastAsia" w:ascii="仿宋_GB2312" w:hAnsi="宋体" w:eastAsia="仿宋_GB2312" w:cs="宋体"/>
          <w:sz w:val="32"/>
          <w:szCs w:val="32"/>
        </w:rPr>
        <w:t>内容</w:t>
      </w:r>
      <w:r>
        <w:rPr>
          <w:rFonts w:hint="eastAsia" w:ascii="仿宋_GB2312" w:hAnsi="宋体" w:eastAsia="仿宋_GB2312" w:cs="宋体"/>
          <w:sz w:val="32"/>
          <w:szCs w:val="32"/>
          <w:lang w:val="en-US" w:eastAsia="zh-CN"/>
        </w:rPr>
        <w:t>及</w:t>
      </w:r>
      <w:r>
        <w:rPr>
          <w:rFonts w:hint="eastAsia" w:ascii="仿宋_GB2312" w:hAnsi="宋体" w:eastAsia="仿宋_GB2312" w:cs="宋体"/>
          <w:sz w:val="32"/>
          <w:szCs w:val="32"/>
        </w:rPr>
        <w:t>实施情况</w:t>
      </w:r>
    </w:p>
    <w:p w14:paraId="7E98FEB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宋体" w:eastAsia="仿宋_GB2312" w:cs="宋体"/>
          <w:sz w:val="32"/>
          <w:szCs w:val="32"/>
          <w:lang w:val="en-US" w:eastAsia="zh-CN"/>
        </w:rPr>
        <w:t>项目实施时间为2023年2月13日至2023年5月8日，项目实施内容为对秦川镇临街</w:t>
      </w:r>
      <w:r>
        <w:rPr>
          <w:rFonts w:hint="eastAsia" w:ascii="仿宋_GB2312" w:eastAsia="仿宋_GB2312" w:cs="Times New Roman"/>
          <w:sz w:val="32"/>
          <w:szCs w:val="32"/>
          <w:lang w:val="en-US" w:eastAsia="zh-CN"/>
        </w:rPr>
        <w:t>三层及以上</w:t>
      </w:r>
      <w:r>
        <w:rPr>
          <w:rFonts w:hint="eastAsia" w:ascii="仿宋_GB2312" w:hAnsi="宋体" w:eastAsia="仿宋_GB2312" w:cs="宋体"/>
          <w:sz w:val="32"/>
          <w:szCs w:val="32"/>
          <w:lang w:val="en-US" w:eastAsia="zh-CN"/>
        </w:rPr>
        <w:t>商住户共</w:t>
      </w:r>
      <w:r>
        <w:rPr>
          <w:rFonts w:hint="eastAsia" w:ascii="仿宋_GB2312" w:eastAsia="仿宋_GB2312" w:cs="Times New Roman"/>
          <w:sz w:val="32"/>
          <w:szCs w:val="32"/>
          <w:lang w:val="en-US" w:eastAsia="zh-CN"/>
        </w:rPr>
        <w:t>71028.26平方米</w:t>
      </w:r>
      <w:r>
        <w:rPr>
          <w:rFonts w:hint="eastAsia" w:ascii="仿宋_GB2312" w:hAnsi="宋体" w:eastAsia="仿宋_GB2312" w:cs="宋体"/>
          <w:sz w:val="32"/>
          <w:szCs w:val="32"/>
          <w:lang w:val="en-US" w:eastAsia="zh-CN"/>
        </w:rPr>
        <w:t>房屋进行安全鉴定，对鉴定为C/D级的9户13处危房建筑进行整体拆除。</w:t>
      </w:r>
      <w:r>
        <w:rPr>
          <w:rFonts w:hint="default" w:ascii="仿宋_GB2312" w:hAnsi="宋体" w:eastAsia="仿宋_GB2312" w:cs="宋体"/>
          <w:sz w:val="32"/>
          <w:szCs w:val="32"/>
          <w:lang w:val="en-US" w:eastAsia="zh-CN"/>
        </w:rPr>
        <w:br w:type="textWrapping"/>
      </w:r>
      <w:r>
        <w:rPr>
          <w:rFonts w:hint="eastAsia" w:ascii="仿宋_GB2312" w:hAnsi="宋体" w:eastAsia="仿宋_GB2312" w:cs="宋体"/>
          <w:sz w:val="32"/>
          <w:szCs w:val="32"/>
          <w:lang w:val="en-US" w:eastAsia="zh-CN"/>
        </w:rPr>
        <w:t xml:space="preserve">    具体工作有以下几方面:1.由兰州新区城乡发展投资有限公司委托第三方检测公司对镇域内经营临街商铺进行安全鉴定;2.由兰州新区秦凯劳务服务有限公司对鉴定为C/D级的9户13处危房建筑进行整体拆除并将清运建筑垃圾。</w:t>
      </w:r>
    </w:p>
    <w:p w14:paraId="787BAA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实施情况：秦川镇2023年自建房安全专项整治工作共计支出</w:t>
      </w:r>
      <w:r>
        <w:rPr>
          <w:rFonts w:hint="eastAsia" w:ascii="仿宋_GB2312" w:eastAsia="仿宋_GB2312" w:cs="Times New Roman"/>
          <w:sz w:val="32"/>
          <w:szCs w:val="32"/>
          <w:lang w:val="en-US" w:eastAsia="zh-CN"/>
        </w:rPr>
        <w:t>500000</w:t>
      </w:r>
      <w:r>
        <w:rPr>
          <w:rFonts w:hint="eastAsia" w:ascii="仿宋_GB2312" w:hAnsi="宋体" w:eastAsia="仿宋_GB2312" w:cs="宋体"/>
          <w:sz w:val="32"/>
          <w:szCs w:val="32"/>
          <w:lang w:val="en-US" w:eastAsia="zh-CN"/>
        </w:rPr>
        <w:t>元，我镇项目主管部门严格参照资金管理制度，对项目进行专项资金核算，经费按照完成情况申请，严格资金管理，资金使用审批按照财务规定执行，截至2023年5月8日，对秦川镇临街</w:t>
      </w:r>
      <w:r>
        <w:rPr>
          <w:rFonts w:hint="eastAsia" w:ascii="仿宋_GB2312" w:eastAsia="仿宋_GB2312" w:cs="Times New Roman"/>
          <w:sz w:val="32"/>
          <w:szCs w:val="32"/>
          <w:lang w:val="en-US" w:eastAsia="zh-CN"/>
        </w:rPr>
        <w:t>三层及以上</w:t>
      </w:r>
      <w:r>
        <w:rPr>
          <w:rFonts w:hint="eastAsia" w:ascii="仿宋_GB2312" w:hAnsi="宋体" w:eastAsia="仿宋_GB2312" w:cs="宋体"/>
          <w:sz w:val="32"/>
          <w:szCs w:val="32"/>
          <w:lang w:val="en-US" w:eastAsia="zh-CN"/>
        </w:rPr>
        <w:t>商住户共</w:t>
      </w:r>
      <w:r>
        <w:rPr>
          <w:rFonts w:hint="eastAsia" w:ascii="仿宋_GB2312" w:eastAsia="仿宋_GB2312" w:cs="Times New Roman"/>
          <w:sz w:val="32"/>
          <w:szCs w:val="32"/>
          <w:lang w:val="en-US" w:eastAsia="zh-CN"/>
        </w:rPr>
        <w:t>71028.26平方米</w:t>
      </w:r>
      <w:r>
        <w:rPr>
          <w:rFonts w:hint="eastAsia" w:ascii="仿宋_GB2312" w:hAnsi="宋体" w:eastAsia="仿宋_GB2312" w:cs="宋体"/>
          <w:sz w:val="32"/>
          <w:szCs w:val="32"/>
          <w:lang w:val="en-US" w:eastAsia="zh-CN"/>
        </w:rPr>
        <w:t>房屋进行安全鉴定，拆除9户13处C/D级的危房建筑。</w:t>
      </w:r>
      <w:r>
        <w:rPr>
          <w:rFonts w:hint="default" w:ascii="仿宋_GB2312" w:hAnsi="宋体" w:eastAsia="仿宋_GB2312" w:cs="宋体"/>
          <w:sz w:val="32"/>
          <w:szCs w:val="32"/>
          <w:lang w:val="en-US" w:eastAsia="zh-CN"/>
        </w:rPr>
        <w:br w:type="textWrapping"/>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四</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项目组织管理。</w:t>
      </w:r>
      <w:r>
        <w:rPr>
          <w:rFonts w:hint="eastAsia" w:ascii="仿宋_GB2312" w:hAnsi="宋体" w:eastAsia="仿宋_GB2312" w:cs="宋体"/>
          <w:sz w:val="32"/>
          <w:szCs w:val="32"/>
          <w:lang w:val="en-US" w:eastAsia="zh-CN"/>
        </w:rPr>
        <w:t>该</w:t>
      </w:r>
      <w:r>
        <w:rPr>
          <w:rFonts w:hint="eastAsia" w:ascii="仿宋_GB2312" w:hAnsi="宋体" w:eastAsia="仿宋_GB2312" w:cs="宋体"/>
          <w:sz w:val="32"/>
          <w:szCs w:val="32"/>
        </w:rPr>
        <w:t>项目主管部门</w:t>
      </w:r>
      <w:r>
        <w:rPr>
          <w:rFonts w:hint="eastAsia" w:ascii="仿宋_GB2312" w:hAnsi="宋体" w:eastAsia="仿宋_GB2312" w:cs="宋体"/>
          <w:sz w:val="32"/>
          <w:szCs w:val="32"/>
          <w:lang w:val="en-US" w:eastAsia="zh-CN"/>
        </w:rPr>
        <w:t>为秦川镇应急管理与法制服务中心，其主要职责为项目管理和项目资金监管。</w:t>
      </w:r>
      <w:r>
        <w:rPr>
          <w:rFonts w:hint="eastAsia" w:ascii="仿宋_GB2312" w:hAnsi="宋体" w:eastAsia="仿宋_GB2312" w:cs="宋体"/>
          <w:sz w:val="32"/>
          <w:szCs w:val="32"/>
        </w:rPr>
        <w:t>具体实施单位</w:t>
      </w:r>
      <w:r>
        <w:rPr>
          <w:rFonts w:hint="eastAsia" w:ascii="仿宋_GB2312" w:hAnsi="宋体" w:eastAsia="仿宋_GB2312" w:cs="宋体"/>
          <w:sz w:val="32"/>
          <w:szCs w:val="32"/>
          <w:lang w:val="en-US" w:eastAsia="zh-CN"/>
        </w:rPr>
        <w:t>为兰州新区城乡发展投资有限公司与兰州新区秦凯劳务服务有限公司。</w:t>
      </w:r>
    </w:p>
    <w:p w14:paraId="43AFDB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二、项目绩效目标</w:t>
      </w:r>
    </w:p>
    <w:p w14:paraId="47B062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仿宋_GB2312" w:hAnsi="宋体" w:eastAsia="仿宋_GB2312" w:cs="宋体"/>
          <w:sz w:val="32"/>
          <w:szCs w:val="32"/>
          <w:lang w:val="en-US" w:eastAsia="zh-CN"/>
        </w:rPr>
        <w:t>项目总体目标：</w:t>
      </w:r>
      <w:r>
        <w:rPr>
          <w:rFonts w:hint="eastAsia" w:ascii="仿宋_GB2312" w:hAnsi="宋体" w:eastAsia="仿宋_GB2312" w:cs="宋体"/>
          <w:sz w:val="32"/>
          <w:szCs w:val="32"/>
        </w:rPr>
        <w:t>完成秦川镇镇区及24个村</w:t>
      </w:r>
      <w:r>
        <w:rPr>
          <w:rFonts w:hint="eastAsia" w:ascii="仿宋_GB2312" w:hAnsi="宋体" w:eastAsia="仿宋_GB2312" w:cs="宋体"/>
          <w:sz w:val="32"/>
          <w:szCs w:val="32"/>
          <w:lang w:eastAsia="zh-CN"/>
        </w:rPr>
        <w:t>自建房安全专项</w:t>
      </w:r>
      <w:r>
        <w:rPr>
          <w:rFonts w:hint="eastAsia" w:ascii="仿宋_GB2312" w:hAnsi="宋体" w:eastAsia="仿宋_GB2312" w:cs="宋体"/>
          <w:sz w:val="32"/>
          <w:szCs w:val="32"/>
        </w:rPr>
        <w:t>整治工作，包括</w:t>
      </w:r>
      <w:r>
        <w:rPr>
          <w:rFonts w:hint="eastAsia" w:ascii="仿宋_GB2312" w:hAnsi="宋体" w:eastAsia="仿宋_GB2312" w:cs="宋体"/>
          <w:sz w:val="32"/>
          <w:szCs w:val="32"/>
          <w:lang w:val="en-US" w:eastAsia="zh-CN"/>
        </w:rPr>
        <w:t>临街商住户房屋安全鉴定工作与C/D级危房建筑拆除工作等。</w:t>
      </w:r>
      <w:r>
        <w:rPr>
          <w:rFonts w:hint="default" w:ascii="仿宋_GB2312" w:hAnsi="宋体" w:eastAsia="仿宋_GB2312" w:cs="宋体"/>
          <w:sz w:val="32"/>
          <w:szCs w:val="32"/>
          <w:lang w:val="en-US" w:eastAsia="zh-CN"/>
        </w:rPr>
        <w:br w:type="textWrapping"/>
      </w:r>
      <w:r>
        <w:rPr>
          <w:rFonts w:hint="eastAsia" w:ascii="仿宋_GB2312" w:hAnsi="宋体" w:eastAsia="仿宋_GB2312" w:cs="宋体"/>
          <w:sz w:val="32"/>
          <w:szCs w:val="32"/>
          <w:lang w:val="en-US" w:eastAsia="zh-CN"/>
        </w:rPr>
        <w:t xml:space="preserve">    </w:t>
      </w:r>
      <w:r>
        <w:rPr>
          <w:rFonts w:hint="eastAsia" w:ascii="黑体" w:hAnsi="黑体" w:eastAsia="黑体" w:cs="黑体"/>
          <w:sz w:val="32"/>
          <w:szCs w:val="32"/>
        </w:rPr>
        <w:t>三、评价基本情况</w:t>
      </w:r>
    </w:p>
    <w:p w14:paraId="2B00BF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（一）评价目的</w:t>
      </w:r>
    </w:p>
    <w:p w14:paraId="51A5DB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为了进一步提升部门绩效管理水平，提高财政资源配置效率和使用效益；通过绩效评价为合理分配资金、优化支出提供依据，为逐步建立“预算编制有目标，预算执行有监控，预算完成有评价，评价结果有反馈，反馈结果有应用＂的绩效评价机制提供决策依据；通过绩效评价总结前一年度项目实施的经验教训，为进一步加强“秦川镇2023年自建房安全专项整治项目”管理，提高项目管理水平，发挥资金效益提供重要的参考依据。</w:t>
      </w:r>
    </w:p>
    <w:p w14:paraId="4891028F">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10" w:leftChars="0" w:firstLine="640" w:firstLineChars="0"/>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rPr>
        <w:t>评价对象与范围</w:t>
      </w:r>
    </w:p>
    <w:p w14:paraId="5E0A26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评价对象为“秦川镇2023年自建房安全专项整治项目”其范围涉及24个行政村。</w:t>
      </w:r>
    </w:p>
    <w:p w14:paraId="2D9DD7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宋体" w:eastAsia="仿宋_GB2312" w:cs="宋体"/>
          <w:sz w:val="32"/>
          <w:szCs w:val="32"/>
          <w:lang w:eastAsia="zh-CN"/>
        </w:rPr>
        <w:t>（三）</w:t>
      </w:r>
      <w:r>
        <w:rPr>
          <w:rFonts w:hint="eastAsia" w:ascii="仿宋_GB2312" w:hAnsi="宋体" w:eastAsia="仿宋_GB2312" w:cs="宋体"/>
          <w:sz w:val="32"/>
          <w:szCs w:val="32"/>
        </w:rPr>
        <w:t>评价依据</w:t>
      </w:r>
      <w:r>
        <w:rPr>
          <w:rFonts w:hint="eastAsia" w:ascii="仿宋_GB2312" w:hAnsi="宋体" w:eastAsia="仿宋_GB2312" w:cs="宋体"/>
          <w:sz w:val="32"/>
          <w:szCs w:val="32"/>
          <w:lang w:val="en-US" w:eastAsia="zh-CN"/>
        </w:rPr>
        <w:t>:</w:t>
      </w:r>
    </w:p>
    <w:p w14:paraId="42BE81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兰州新区全面推进预算绩效管理实施细则</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新办发</w:t>
      </w:r>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23</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号</w:t>
      </w:r>
      <w:r>
        <w:rPr>
          <w:rFonts w:hint="eastAsia" w:ascii="仿宋_GB2312" w:hAnsi="宋体" w:eastAsia="仿宋_GB2312" w:cs="宋体"/>
          <w:sz w:val="32"/>
          <w:szCs w:val="32"/>
          <w:lang w:eastAsia="zh-CN"/>
        </w:rPr>
        <w:t>）；</w:t>
      </w:r>
    </w:p>
    <w:p w14:paraId="02C039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甘肃省财政厅关于加快推进预算绩效管理工作的通知</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甘财绩</w:t>
      </w:r>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22</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号</w:t>
      </w:r>
      <w:r>
        <w:rPr>
          <w:rFonts w:hint="eastAsia" w:ascii="仿宋_GB2312" w:hAnsi="宋体" w:eastAsia="仿宋_GB2312" w:cs="宋体"/>
          <w:sz w:val="32"/>
          <w:szCs w:val="32"/>
          <w:lang w:eastAsia="zh-CN"/>
        </w:rPr>
        <w:t>）；</w:t>
      </w:r>
    </w:p>
    <w:p w14:paraId="2E03F1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3.兰州新区秦川园区财政金融局</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关于开展2024年度预算绩效部门评价和财政评价的通知</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新秦财金发</w:t>
      </w:r>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24</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19</w:t>
      </w:r>
      <w:r>
        <w:rPr>
          <w:rFonts w:hint="eastAsia" w:ascii="仿宋_GB2312" w:hAnsi="宋体" w:eastAsia="仿宋_GB2312" w:cs="宋体"/>
          <w:sz w:val="32"/>
          <w:szCs w:val="32"/>
        </w:rPr>
        <w:t>号</w:t>
      </w:r>
      <w:r>
        <w:rPr>
          <w:rFonts w:hint="eastAsia" w:ascii="仿宋_GB2312" w:hAnsi="宋体" w:eastAsia="仿宋_GB2312" w:cs="宋体"/>
          <w:sz w:val="32"/>
          <w:szCs w:val="32"/>
          <w:lang w:eastAsia="zh-CN"/>
        </w:rPr>
        <w:t>）；</w:t>
      </w:r>
    </w:p>
    <w:p w14:paraId="32C89C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（四）评价原则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评价方法</w:t>
      </w:r>
    </w:p>
    <w:p w14:paraId="2C5F73E4">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本次绩效评价，我们遵循相关性原则、重要性原则、系统性原则、经济性原则。</w:t>
      </w:r>
    </w:p>
    <w:p w14:paraId="141281CE">
      <w:pPr>
        <w:keepNext w:val="0"/>
        <w:keepLines w:val="0"/>
        <w:pageBreakBefore w:val="0"/>
        <w:widowControl w:val="0"/>
        <w:tabs>
          <w:tab w:val="left" w:pos="1925"/>
        </w:tabs>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相关性原则：应当与绩效目标有直接</w:t>
      </w:r>
      <w:r>
        <w:rPr>
          <w:rFonts w:hint="eastAsia" w:ascii="仿宋_GB2312" w:hAnsi="仿宋_GB2312" w:eastAsia="仿宋_GB2312" w:cs="仿宋_GB2312"/>
          <w:sz w:val="32"/>
          <w:szCs w:val="32"/>
          <w:lang w:val="en-US" w:eastAsia="zh-CN"/>
        </w:rPr>
        <w:t>关</w:t>
      </w:r>
      <w:r>
        <w:rPr>
          <w:rFonts w:hint="eastAsia" w:ascii="仿宋_GB2312" w:hAnsi="仿宋_GB2312" w:eastAsia="仿宋_GB2312" w:cs="仿宋_GB2312"/>
          <w:sz w:val="32"/>
          <w:szCs w:val="32"/>
        </w:rPr>
        <w:t>系，能够恰当反</w:t>
      </w:r>
      <w:r>
        <w:rPr>
          <w:rFonts w:hint="eastAsia" w:ascii="仿宋_GB2312" w:hAnsi="仿宋_GB2312" w:eastAsia="仿宋_GB2312" w:cs="仿宋_GB2312"/>
          <w:color w:val="444444"/>
          <w:spacing w:val="-4"/>
          <w:sz w:val="32"/>
          <w:szCs w:val="32"/>
        </w:rPr>
        <w:t>映目标的实现程度</w:t>
      </w:r>
      <w:r>
        <w:rPr>
          <w:rFonts w:hint="eastAsia" w:ascii="仿宋_GB2312" w:hAnsi="仿宋_GB2312" w:eastAsia="仿宋_GB2312" w:cs="仿宋_GB2312"/>
          <w:color w:val="706E70"/>
          <w:sz w:val="32"/>
          <w:szCs w:val="32"/>
        </w:rPr>
        <w:t>。</w:t>
      </w:r>
    </w:p>
    <w:p w14:paraId="48E238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706E70"/>
          <w:w w:val="105"/>
          <w:sz w:val="32"/>
          <w:szCs w:val="32"/>
          <w:lang w:val="en-US"/>
        </w:rPr>
      </w:pPr>
      <w:r>
        <w:rPr>
          <w:rFonts w:hint="eastAsia" w:ascii="仿宋_GB2312" w:hAnsi="仿宋_GB2312" w:eastAsia="仿宋_GB2312" w:cs="仿宋_GB2312"/>
          <w:kern w:val="2"/>
          <w:sz w:val="32"/>
          <w:szCs w:val="32"/>
          <w:lang w:val="en-US" w:eastAsia="zh-CN" w:bidi="ar-SA"/>
        </w:rPr>
        <w:t>2.重要性原则：应当优先使用最具代表性、最能反映评价要求的核心指标。</w:t>
      </w:r>
    </w:p>
    <w:p w14:paraId="7E423831">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cs="仿宋_GB2312"/>
          <w:sz w:val="32"/>
          <w:szCs w:val="32"/>
          <w:lang w:val="en-US" w:eastAsia="zh-CN"/>
        </w:rPr>
        <w:t>3.</w:t>
      </w:r>
      <w:r>
        <w:rPr>
          <w:rFonts w:hint="eastAsia" w:ascii="仿宋_GB2312" w:hAnsi="仿宋_GB2312" w:eastAsia="仿宋_GB2312" w:cs="仿宋_GB2312"/>
          <w:sz w:val="32"/>
          <w:szCs w:val="32"/>
        </w:rPr>
        <w:t>系统性原则：应当将定量指标与定性指标相结合，系统反映财政支出所产生的社会效益和可持续影响等。</w:t>
      </w:r>
    </w:p>
    <w:p w14:paraId="5EDA8E25">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cs="仿宋_GB2312"/>
          <w:sz w:val="32"/>
          <w:szCs w:val="32"/>
          <w:lang w:val="en-US" w:eastAsia="zh-CN"/>
        </w:rPr>
        <w:t>4.</w:t>
      </w:r>
      <w:r>
        <w:rPr>
          <w:rFonts w:hint="eastAsia" w:ascii="仿宋_GB2312" w:hAnsi="仿宋_GB2312" w:eastAsia="仿宋_GB2312" w:cs="仿宋_GB2312"/>
          <w:sz w:val="32"/>
          <w:szCs w:val="32"/>
        </w:rPr>
        <w:t>经济性原则：应当通俗易懂、简便易行，数据的获得应当考虑现实条件和可操作性，符合成本效益原则。</w:t>
      </w:r>
    </w:p>
    <w:p w14:paraId="0368DB7A">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绩效评价的方式包括现场评价和非现场评价方式。本次评价采取现场评价和非现场评价相结合的方式进行评价，选择比较法将项目实施情况和绩效目标进行比较。</w:t>
      </w:r>
    </w:p>
    <w:p w14:paraId="750AD06C">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rPr>
      </w:pPr>
      <w:r>
        <w:rPr>
          <w:rFonts w:hint="eastAsia" w:ascii="仿宋_GB2312" w:hAnsi="仿宋_GB2312" w:eastAsia="仿宋_GB2312" w:cs="仿宋_GB2312"/>
          <w:kern w:val="2"/>
          <w:sz w:val="32"/>
          <w:szCs w:val="32"/>
          <w:lang w:val="en-US" w:eastAsia="zh-CN" w:bidi="ar-SA"/>
        </w:rPr>
        <mc:AlternateContent>
          <mc:Choice Requires="wps">
            <w:drawing>
              <wp:anchor distT="0" distB="0" distL="114300" distR="114300" simplePos="0" relativeHeight="251659264" behindDoc="0" locked="0" layoutInCell="1" allowOverlap="1">
                <wp:simplePos x="0" y="0"/>
                <wp:positionH relativeFrom="page">
                  <wp:posOffset>3918585</wp:posOffset>
                </wp:positionH>
                <wp:positionV relativeFrom="paragraph">
                  <wp:posOffset>1583055</wp:posOffset>
                </wp:positionV>
                <wp:extent cx="86360" cy="1466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6360" cy="146685"/>
                        </a:xfrm>
                        <a:prstGeom prst="rect">
                          <a:avLst/>
                        </a:prstGeom>
                        <a:noFill/>
                        <a:ln>
                          <a:noFill/>
                        </a:ln>
                      </wps:spPr>
                      <wps:txbx>
                        <w:txbxContent>
                          <w:p w14:paraId="3C00CD01">
                            <w:pPr>
                              <w:spacing w:before="0" w:line="120" w:lineRule="auto"/>
                              <w:ind w:left="20" w:right="0" w:firstLine="0"/>
                              <w:jc w:val="left"/>
                              <w:rPr>
                                <w:sz w:val="19"/>
                              </w:rPr>
                            </w:pPr>
                            <w:r>
                              <w:rPr>
                                <w:color w:val="706E70"/>
                                <w:w w:val="100"/>
                                <w:sz w:val="19"/>
                              </w:rPr>
                              <w:t>5</w:t>
                            </w:r>
                          </w:p>
                        </w:txbxContent>
                      </wps:txbx>
                      <wps:bodyPr vert="eaVert" lIns="0" tIns="0" rIns="0" bIns="0" upright="1"/>
                    </wps:wsp>
                  </a:graphicData>
                </a:graphic>
              </wp:anchor>
            </w:drawing>
          </mc:Choice>
          <mc:Fallback>
            <w:pict>
              <v:shape id="_x0000_s1026" o:spid="_x0000_s1026" o:spt="202" type="#_x0000_t202" style="position:absolute;left:0pt;margin-left:308.55pt;margin-top:124.65pt;height:11.55pt;width:6.8pt;mso-position-horizontal-relative:page;z-index:251659264;mso-width-relative:page;mso-height-relative:page;" filled="f" stroked="f" coordsize="21600,21600" o:gfxdata="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TdZoP2AAAAAsBAAAPAAAAAAAAAAEAIAAAACIAAABkcnMvZG93bnJldi54&#10;bWxQSwECFAAUAAAACACHTuJAKppSj8EBAAB+AwAADgAAAAAAAAABACAAAAAnAQAAZHJzL2Uyb0Rv&#10;Yy54bWxQSwUGAAAAAAYABgBZAQAAWgUAAAAA&#10;">
                <v:fill on="f" focussize="0,0"/>
                <v:stroke on="f"/>
                <v:imagedata o:title=""/>
                <o:lock v:ext="edit" aspectratio="f"/>
                <v:textbox inset="0mm,0mm,0mm,0mm" style="layout-flow:vertical-ideographic;">
                  <w:txbxContent>
                    <w:p w14:paraId="3C00CD01">
                      <w:pPr>
                        <w:spacing w:before="0" w:line="120" w:lineRule="auto"/>
                        <w:ind w:left="20" w:right="0" w:firstLine="0"/>
                        <w:jc w:val="left"/>
                        <w:rPr>
                          <w:sz w:val="19"/>
                        </w:rPr>
                      </w:pPr>
                      <w:r>
                        <w:rPr>
                          <w:color w:val="706E70"/>
                          <w:w w:val="100"/>
                          <w:sz w:val="19"/>
                        </w:rPr>
                        <w:t>5</w:t>
                      </w:r>
                    </w:p>
                  </w:txbxContent>
                </v:textbox>
              </v:shape>
            </w:pict>
          </mc:Fallback>
        </mc:AlternateContent>
      </w:r>
      <w:r>
        <w:rPr>
          <w:rFonts w:hint="eastAsia" w:ascii="仿宋_GB2312" w:hAnsi="仿宋_GB2312" w:eastAsia="仿宋_GB2312" w:cs="仿宋_GB2312"/>
          <w:kern w:val="2"/>
          <w:sz w:val="32"/>
          <w:szCs w:val="32"/>
          <w:lang w:val="en-US" w:eastAsia="zh-CN" w:bidi="ar-SA"/>
        </w:rPr>
        <w:t>现场评价需要绩效评价项目小组到现场采取询问、观察、检查、复核等方式对评价项目的有关情况进行核实，对收集的资料进行整理和科学的分析，根据综合分析的结果得出评价结果，撰写评价报告。非现场评价是指评价项目小组根据项目单位提交的项目相关资料进行分析，提出评价意见</w:t>
      </w:r>
      <w:r>
        <w:rPr>
          <w:rFonts w:hint="eastAsia" w:asciiTheme="minorEastAsia" w:hAnsiTheme="minorEastAsia" w:eastAsiaTheme="minorEastAsia" w:cstheme="minorEastAsia"/>
          <w:color w:val="494949"/>
          <w:w w:val="110"/>
          <w:sz w:val="30"/>
          <w:szCs w:val="30"/>
        </w:rPr>
        <w:t>。</w:t>
      </w:r>
    </w:p>
    <w:p w14:paraId="3271AD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五</w:t>
      </w:r>
      <w:r>
        <w:rPr>
          <w:rFonts w:hint="eastAsia" w:ascii="仿宋_GB2312" w:hAnsi="宋体" w:eastAsia="仿宋_GB2312" w:cs="宋体"/>
          <w:sz w:val="32"/>
          <w:szCs w:val="32"/>
        </w:rPr>
        <w:t>）绩效评价指标体系。</w:t>
      </w:r>
    </w:p>
    <w:p w14:paraId="3AF24056">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1.评价标准</w:t>
      </w:r>
    </w:p>
    <w:p w14:paraId="0EF509D5">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标准值的确定方法主要有计划标准、行业标准、历史标准、财政部门和预算部门确认或认可的其他标准等。本次评价采用了计划标准、历史标准来确定标准值。以预先制定的目标、计划、预算、定额等数据作为评价标准。</w:t>
      </w:r>
    </w:p>
    <w:p w14:paraId="1AEF27FD">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对于项目内容完成情况、项目水平等需要考核的重要指标，根据考核项目实际产出情况，设计制定分档标准，分档标准值及各档分值由评价人员根据实际工作情况及本次绩效评价目的并征求有关意见加以确定。</w:t>
      </w:r>
    </w:p>
    <w:p w14:paraId="60DA4FC5">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2.评价指标、指标权重</w:t>
      </w:r>
    </w:p>
    <w:p w14:paraId="71DAC68F">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参考《项目支出绩效评价管理办法》（财预[2020]10号）附2《项目支出绩效评价指标体系框架（参考）》，结合2023年度</w:t>
      </w:r>
      <w:r>
        <w:rPr>
          <w:rFonts w:hint="eastAsia" w:ascii="仿宋_GB2312" w:hAnsi="宋体" w:eastAsia="仿宋_GB2312" w:cs="宋体"/>
          <w:sz w:val="32"/>
          <w:szCs w:val="32"/>
          <w:lang w:val="en-US" w:eastAsia="zh-CN"/>
        </w:rPr>
        <w:t>秦川镇自建房安全专项整治项目</w:t>
      </w:r>
      <w:r>
        <w:rPr>
          <w:rFonts w:hint="eastAsia" w:ascii="仿宋_GB2312" w:hAnsi="仿宋_GB2312" w:eastAsia="仿宋_GB2312" w:cs="仿宋_GB2312"/>
          <w:kern w:val="2"/>
          <w:sz w:val="32"/>
          <w:szCs w:val="32"/>
          <w:lang w:val="en-US" w:eastAsia="zh-CN" w:bidi="ar-SA"/>
        </w:rPr>
        <w:t>工作特点，主要从“决策”、“过程”、“产出“、“效益”四个维度对绩效目标进行逐项分解，从定性与定量两个角度综合考量、评价，对项目绩效做出全面、客观、公正的评价。</w:t>
      </w:r>
    </w:p>
    <w:p w14:paraId="2B712B38">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“决策</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权重10分，下设“项目立项”、“资金投入”、“绩效目标”三个二级指标，主要评价“立项依据规范性”、“立项程序规范性”、“绩效目标合理性”、</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绩效目标明确性”、“预算编制科学性”以及“资金分配合理性”，相应下设6个三级指标。</w:t>
      </w:r>
    </w:p>
    <w:p w14:paraId="13BE5B05">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highlight w:val="yellow"/>
          <w:lang w:val="en-US" w:eastAsia="zh-CN" w:bidi="ar-SA"/>
        </w:rPr>
      </w:pPr>
      <w:r>
        <w:rPr>
          <w:rFonts w:hint="eastAsia" w:ascii="仿宋_GB2312" w:hAnsi="仿宋_GB2312" w:eastAsia="仿宋_GB2312" w:cs="仿宋_GB2312"/>
          <w:kern w:val="2"/>
          <w:sz w:val="32"/>
          <w:szCs w:val="32"/>
          <w:lang w:val="en-US" w:eastAsia="zh-CN" w:bidi="ar-SA"/>
        </w:rPr>
        <w:t>“过程”权重</w:t>
      </w:r>
      <w:r>
        <w:rPr>
          <w:rFonts w:hint="eastAsia" w:cs="仿宋_GB2312"/>
          <w:kern w:val="2"/>
          <w:sz w:val="32"/>
          <w:szCs w:val="32"/>
          <w:lang w:val="en-US" w:eastAsia="zh-CN" w:bidi="ar-SA"/>
        </w:rPr>
        <w:t>25</w:t>
      </w:r>
      <w:r>
        <w:rPr>
          <w:rFonts w:hint="eastAsia" w:ascii="仿宋_GB2312" w:hAnsi="仿宋_GB2312" w:eastAsia="仿宋_GB2312" w:cs="仿宋_GB2312"/>
          <w:kern w:val="2"/>
          <w:sz w:val="32"/>
          <w:szCs w:val="32"/>
          <w:lang w:val="en-US" w:eastAsia="zh-CN" w:bidi="ar-SA"/>
        </w:rPr>
        <w:t>分，下设“资金管理”和”组织实施“两个二级指标，主要评价资金到位率、预算执行率、资金使用合规性、管理制度健全性、制度执行有效性，相应设置5个三级指标。</w:t>
      </w:r>
    </w:p>
    <w:p w14:paraId="4F194D89">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lang w:val="en-US" w:eastAsia="zh-CN" w:bidi="ar-SA"/>
        </w:rPr>
        <w:t>“产</w:t>
      </w:r>
      <w:r>
        <w:rPr>
          <w:rFonts w:hint="eastAsia" w:ascii="仿宋_GB2312" w:hAnsi="仿宋_GB2312" w:eastAsia="仿宋_GB2312" w:cs="仿宋_GB2312"/>
          <w:kern w:val="2"/>
          <w:sz w:val="32"/>
          <w:szCs w:val="32"/>
          <w:highlight w:val="none"/>
          <w:lang w:val="en-US" w:eastAsia="zh-CN" w:bidi="ar-SA"/>
        </w:rPr>
        <w:t>出</w:t>
      </w:r>
      <w:r>
        <w:rPr>
          <w:rFonts w:hint="eastAsia"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权重</w:t>
      </w:r>
      <w:r>
        <w:rPr>
          <w:rFonts w:hint="eastAsia" w:cs="仿宋_GB2312"/>
          <w:kern w:val="2"/>
          <w:sz w:val="32"/>
          <w:szCs w:val="32"/>
          <w:highlight w:val="none"/>
          <w:lang w:val="en-US" w:eastAsia="zh-CN" w:bidi="ar-SA"/>
        </w:rPr>
        <w:t>40</w:t>
      </w:r>
      <w:r>
        <w:rPr>
          <w:rFonts w:hint="eastAsia" w:ascii="仿宋_GB2312" w:hAnsi="仿宋_GB2312" w:eastAsia="仿宋_GB2312" w:cs="仿宋_GB2312"/>
          <w:kern w:val="2"/>
          <w:sz w:val="32"/>
          <w:szCs w:val="32"/>
          <w:highlight w:val="none"/>
          <w:lang w:val="en-US" w:eastAsia="zh-CN" w:bidi="ar-SA"/>
        </w:rPr>
        <w:t>分，下设“产出数量”、“产出质量”</w:t>
      </w:r>
      <w:r>
        <w:rPr>
          <w:rFonts w:hint="eastAsia"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“产出时效”</w:t>
      </w:r>
      <w:r>
        <w:rPr>
          <w:rFonts w:hint="eastAsia" w:cs="仿宋_GB2312"/>
          <w:kern w:val="2"/>
          <w:sz w:val="32"/>
          <w:szCs w:val="32"/>
          <w:highlight w:val="none"/>
          <w:lang w:val="en-US" w:eastAsia="zh-CN" w:bidi="ar-SA"/>
        </w:rPr>
        <w:t>以及“成本指标”四</w:t>
      </w:r>
      <w:r>
        <w:rPr>
          <w:rFonts w:hint="eastAsia" w:ascii="仿宋_GB2312" w:hAnsi="仿宋_GB2312" w:eastAsia="仿宋_GB2312" w:cs="仿宋_GB2312"/>
          <w:kern w:val="2"/>
          <w:sz w:val="32"/>
          <w:szCs w:val="32"/>
          <w:highlight w:val="none"/>
          <w:lang w:val="en-US" w:eastAsia="zh-CN" w:bidi="ar-SA"/>
        </w:rPr>
        <w:t>个二级指标，主要评价项目的产出数量目标的实现程度和项目产出质量目标的实现程度、项目产出时效的实现程度</w:t>
      </w:r>
      <w:r>
        <w:rPr>
          <w:rFonts w:hint="eastAsia" w:cs="仿宋_GB2312"/>
          <w:kern w:val="2"/>
          <w:sz w:val="32"/>
          <w:szCs w:val="32"/>
          <w:highlight w:val="none"/>
          <w:lang w:val="en-US" w:eastAsia="zh-CN" w:bidi="ar-SA"/>
        </w:rPr>
        <w:t>、成本控制的上限范围</w:t>
      </w:r>
      <w:r>
        <w:rPr>
          <w:rFonts w:hint="eastAsia" w:ascii="仿宋_GB2312" w:hAnsi="仿宋_GB2312" w:eastAsia="仿宋_GB2312" w:cs="仿宋_GB2312"/>
          <w:kern w:val="2"/>
          <w:sz w:val="32"/>
          <w:szCs w:val="32"/>
          <w:highlight w:val="none"/>
          <w:lang w:val="en-US" w:eastAsia="zh-CN" w:bidi="ar-SA"/>
        </w:rPr>
        <w:t>，下设</w:t>
      </w:r>
      <w:r>
        <w:rPr>
          <w:rFonts w:hint="eastAsia" w:cs="仿宋_GB2312"/>
          <w:kern w:val="2"/>
          <w:sz w:val="32"/>
          <w:szCs w:val="32"/>
          <w:highlight w:val="none"/>
          <w:lang w:val="en-US" w:eastAsia="zh-CN" w:bidi="ar-SA"/>
        </w:rPr>
        <w:t>7</w:t>
      </w:r>
      <w:r>
        <w:rPr>
          <w:rFonts w:hint="eastAsia" w:ascii="仿宋_GB2312" w:hAnsi="仿宋_GB2312" w:eastAsia="仿宋_GB2312" w:cs="仿宋_GB2312"/>
          <w:kern w:val="2"/>
          <w:sz w:val="32"/>
          <w:szCs w:val="32"/>
          <w:highlight w:val="none"/>
          <w:lang w:val="en-US" w:eastAsia="zh-CN" w:bidi="ar-SA"/>
        </w:rPr>
        <w:t>个三级指标具体评价。</w:t>
      </w:r>
    </w:p>
    <w:p w14:paraId="3E77D0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“效益”权重25分，下设“社会效益”、“生态效益”、“可持续影响”、“满意度”四个二级指标，主要评价项目实施后的社会效益、生态效益和、可持续影响和满意度，下设4个三级指标具体评价。</w:t>
      </w:r>
    </w:p>
    <w:p w14:paraId="5972B98F">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rPr>
        <w:t>数据来源、证据收集方式</w:t>
      </w:r>
    </w:p>
    <w:p w14:paraId="2BB0C29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宋体" w:eastAsia="仿宋_GB2312" w:cs="宋体"/>
          <w:sz w:val="32"/>
          <w:szCs w:val="32"/>
          <w:lang w:val="en-US" w:eastAsia="zh-CN"/>
        </w:rPr>
        <w:t>秦川镇202</w:t>
      </w:r>
      <w:r>
        <w:rPr>
          <w:rFonts w:hint="eastAsia" w:hAnsi="宋体" w:cs="宋体"/>
          <w:sz w:val="32"/>
          <w:szCs w:val="32"/>
          <w:lang w:val="en-US" w:eastAsia="zh-CN"/>
        </w:rPr>
        <w:t>3</w:t>
      </w:r>
      <w:r>
        <w:rPr>
          <w:rFonts w:hint="eastAsia" w:ascii="仿宋_GB2312" w:hAnsi="宋体" w:eastAsia="仿宋_GB2312" w:cs="宋体"/>
          <w:sz w:val="32"/>
          <w:szCs w:val="32"/>
          <w:lang w:val="en-US" w:eastAsia="zh-CN"/>
        </w:rPr>
        <w:t>年自建房安全专项整治</w:t>
      </w:r>
      <w:r>
        <w:rPr>
          <w:rFonts w:hint="eastAsia" w:hAnsi="宋体" w:cs="宋体"/>
          <w:sz w:val="32"/>
          <w:szCs w:val="32"/>
          <w:lang w:val="en-US" w:eastAsia="zh-CN"/>
        </w:rPr>
        <w:t>工作</w:t>
      </w:r>
      <w:r>
        <w:rPr>
          <w:rFonts w:hint="eastAsia" w:ascii="仿宋_GB2312" w:hAnsi="仿宋_GB2312" w:eastAsia="仿宋_GB2312" w:cs="仿宋_GB2312"/>
          <w:kern w:val="2"/>
          <w:sz w:val="32"/>
          <w:szCs w:val="32"/>
          <w:lang w:val="en-US" w:eastAsia="zh-CN" w:bidi="ar-SA"/>
        </w:rPr>
        <w:t>绩效评价计划采取深入预算执行单位面访、座谈、查阅相关资料、核查财务凭证、等证据收集方法，从各相关部门及关联方获取大量高质量和准确可靠的数据信息。</w:t>
      </w:r>
    </w:p>
    <w:p w14:paraId="66F8EEC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六</w:t>
      </w:r>
      <w:r>
        <w:rPr>
          <w:rFonts w:hint="eastAsia" w:ascii="仿宋_GB2312" w:hAnsi="宋体" w:eastAsia="仿宋_GB2312" w:cs="宋体"/>
          <w:sz w:val="32"/>
          <w:szCs w:val="32"/>
        </w:rPr>
        <w:t>）评价人员组成</w:t>
      </w:r>
    </w:p>
    <w:p w14:paraId="7265CBF1">
      <w:pPr>
        <w:pStyle w:val="2"/>
        <w:rPr>
          <w:rFonts w:hint="default"/>
          <w:lang w:val="en-US" w:eastAsia="zh-CN"/>
        </w:rPr>
      </w:pPr>
      <w:r>
        <w:rPr>
          <w:rFonts w:hint="eastAsia"/>
          <w:lang w:val="en-US" w:eastAsia="zh-CN"/>
        </w:rPr>
        <w:t>德  刚  秦川镇纪委                   纪委书记</w:t>
      </w:r>
    </w:p>
    <w:p w14:paraId="5885DCBF">
      <w:pPr>
        <w:pStyle w:val="2"/>
        <w:rPr>
          <w:rFonts w:hint="eastAsia"/>
          <w:lang w:val="en-US" w:eastAsia="zh-CN"/>
        </w:rPr>
      </w:pPr>
      <w:r>
        <w:rPr>
          <w:rFonts w:hint="eastAsia"/>
          <w:lang w:val="en-US" w:eastAsia="zh-CN"/>
        </w:rPr>
        <w:t>苗承龙  秦川镇人民政府               副镇长</w:t>
      </w:r>
    </w:p>
    <w:p w14:paraId="2D0E72B7">
      <w:pPr>
        <w:pStyle w:val="2"/>
        <w:rPr>
          <w:rFonts w:hint="eastAsia"/>
          <w:lang w:val="en-US" w:eastAsia="zh-CN"/>
        </w:rPr>
      </w:pPr>
      <w:r>
        <w:rPr>
          <w:rFonts w:hint="eastAsia"/>
          <w:lang w:val="en-US" w:eastAsia="zh-CN"/>
        </w:rPr>
        <w:t>蒲国明  秦川镇应急管理与法制服务中心 主任</w:t>
      </w:r>
    </w:p>
    <w:p w14:paraId="600B1BFD">
      <w:pPr>
        <w:pStyle w:val="2"/>
        <w:rPr>
          <w:rFonts w:hint="eastAsia"/>
          <w:lang w:val="en-US" w:eastAsia="zh-CN"/>
        </w:rPr>
      </w:pPr>
      <w:r>
        <w:rPr>
          <w:rFonts w:hint="eastAsia"/>
          <w:lang w:val="en-US" w:eastAsia="zh-CN"/>
        </w:rPr>
        <w:t>王  勇  秦川镇财政所                 负责人</w:t>
      </w:r>
    </w:p>
    <w:p w14:paraId="24E7B044">
      <w:pPr>
        <w:rPr>
          <w:rFonts w:hint="eastAsia"/>
          <w:lang w:val="en-US" w:eastAsia="zh-CN"/>
        </w:rPr>
      </w:pPr>
      <w:r>
        <w:rPr>
          <w:rFonts w:hint="eastAsia"/>
          <w:lang w:val="en-US" w:eastAsia="zh-CN"/>
        </w:rPr>
        <w:t xml:space="preserve">      </w:t>
      </w:r>
      <w:r>
        <w:rPr>
          <w:rFonts w:hint="eastAsia" w:ascii="仿宋_GB2312" w:hAnsi="仿宋_GB2312" w:eastAsia="仿宋_GB2312" w:cs="Times New Roman"/>
          <w:kern w:val="2"/>
          <w:sz w:val="32"/>
          <w:szCs w:val="24"/>
          <w:lang w:val="en-US" w:eastAsia="zh-CN" w:bidi="ar-SA"/>
        </w:rPr>
        <w:t xml:space="preserve">谢伟东  </w:t>
      </w:r>
      <w:r>
        <w:rPr>
          <w:rFonts w:hint="eastAsia" w:ascii="仿宋_GB2312" w:hAnsi="宋体" w:eastAsia="仿宋_GB2312" w:cs="宋体"/>
          <w:sz w:val="32"/>
          <w:szCs w:val="32"/>
          <w:lang w:val="en-US" w:eastAsia="zh-CN"/>
        </w:rPr>
        <w:t>兰州新区城乡发展投资有限公司</w:t>
      </w:r>
      <w:r>
        <w:rPr>
          <w:rFonts w:hint="eastAsia" w:ascii="仿宋_GB2312" w:hAnsi="仿宋_GB2312" w:eastAsia="仿宋_GB2312" w:cs="Times New Roman"/>
          <w:kern w:val="2"/>
          <w:sz w:val="32"/>
          <w:szCs w:val="24"/>
          <w:lang w:val="en-US" w:eastAsia="zh-CN" w:bidi="ar-SA"/>
        </w:rPr>
        <w:t xml:space="preserve"> 负责人</w:t>
      </w:r>
    </w:p>
    <w:p w14:paraId="6E04BED3">
      <w:pPr>
        <w:ind w:firstLine="640" w:firstLineChars="200"/>
        <w:rPr>
          <w:rFonts w:hint="eastAsia"/>
        </w:rPr>
      </w:pPr>
      <w:r>
        <w:rPr>
          <w:rFonts w:hint="eastAsia" w:ascii="仿宋_GB2312" w:hAnsi="仿宋_GB2312" w:eastAsia="仿宋_GB2312" w:cs="Times New Roman"/>
          <w:kern w:val="2"/>
          <w:sz w:val="32"/>
          <w:szCs w:val="24"/>
          <w:lang w:val="en-US" w:eastAsia="zh-CN" w:bidi="ar-SA"/>
        </w:rPr>
        <w:t xml:space="preserve">贾  涛  </w:t>
      </w:r>
      <w:r>
        <w:rPr>
          <w:rFonts w:hint="eastAsia" w:ascii="仿宋_GB2312" w:hAnsi="宋体" w:eastAsia="仿宋_GB2312" w:cs="宋体"/>
          <w:sz w:val="32"/>
          <w:szCs w:val="32"/>
          <w:lang w:val="en-US" w:eastAsia="zh-CN"/>
        </w:rPr>
        <w:t>兰州新区秦凯劳务服务有限公司</w:t>
      </w:r>
      <w:r>
        <w:rPr>
          <w:rFonts w:hint="eastAsia" w:ascii="仿宋_GB2312" w:hAnsi="仿宋_GB2312" w:eastAsia="仿宋_GB2312" w:cs="Times New Roman"/>
          <w:kern w:val="2"/>
          <w:sz w:val="32"/>
          <w:szCs w:val="24"/>
          <w:lang w:val="en-US" w:eastAsia="zh-CN" w:bidi="ar-SA"/>
        </w:rPr>
        <w:t xml:space="preserve"> 负责人</w:t>
      </w:r>
    </w:p>
    <w:p w14:paraId="037B188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七</w:t>
      </w:r>
      <w:r>
        <w:rPr>
          <w:rFonts w:hint="eastAsia" w:ascii="仿宋_GB2312" w:hAnsi="宋体" w:eastAsia="仿宋_GB2312" w:cs="宋体"/>
          <w:sz w:val="32"/>
          <w:szCs w:val="32"/>
        </w:rPr>
        <w:t>）绩效评价工作过程</w:t>
      </w:r>
    </w:p>
    <w:p w14:paraId="2AD3439D">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1.前期准备</w:t>
      </w:r>
      <w:r>
        <w:rPr>
          <w:rFonts w:hint="eastAsia" w:cs="仿宋_GB2312"/>
          <w:kern w:val="2"/>
          <w:sz w:val="32"/>
          <w:szCs w:val="32"/>
          <w:lang w:val="en-US" w:eastAsia="zh-CN" w:bidi="ar-SA"/>
        </w:rPr>
        <w:t>阶段</w:t>
      </w:r>
    </w:p>
    <w:p w14:paraId="0A9D8D40">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（1）接触项目主管部门及具体实施单位，获取基础资料，了解项目</w:t>
      </w:r>
      <w:r>
        <w:rPr>
          <w:rFonts w:hint="eastAsia" w:cs="仿宋_GB2312"/>
          <w:kern w:val="2"/>
          <w:sz w:val="32"/>
          <w:szCs w:val="32"/>
          <w:lang w:val="en-US" w:eastAsia="zh-CN" w:bidi="ar-SA"/>
        </w:rPr>
        <w:t>基本</w:t>
      </w:r>
      <w:r>
        <w:rPr>
          <w:rFonts w:hint="eastAsia" w:ascii="仿宋_GB2312" w:hAnsi="仿宋_GB2312" w:eastAsia="仿宋_GB2312" w:cs="仿宋_GB2312"/>
          <w:kern w:val="2"/>
          <w:sz w:val="32"/>
          <w:szCs w:val="32"/>
          <w:lang w:val="en-US" w:eastAsia="zh-CN" w:bidi="ar-SA"/>
        </w:rPr>
        <w:t>概况；</w:t>
      </w:r>
    </w:p>
    <w:p w14:paraId="6FB9C6A7">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（2）制定绩效评价初步实施方案，包括时间安排、工作步骤、人员分工等；</w:t>
      </w:r>
    </w:p>
    <w:p w14:paraId="40DE06CF">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草拟评价指标体系及评价标准、访谈提纲、基础数据表及资料清单等。</w:t>
      </w:r>
    </w:p>
    <w:p w14:paraId="57D7DB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2.评价实施阶段</w:t>
      </w:r>
    </w:p>
    <w:p w14:paraId="21989247">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cs="仿宋_GB2312"/>
          <w:kern w:val="2"/>
          <w:sz w:val="32"/>
          <w:szCs w:val="32"/>
          <w:lang w:val="en-US" w:eastAsia="zh-CN" w:bidi="ar-SA"/>
        </w:rPr>
        <w:t>（1）</w:t>
      </w:r>
      <w:r>
        <w:rPr>
          <w:rFonts w:hint="eastAsia" w:ascii="仿宋_GB2312" w:hAnsi="仿宋_GB2312" w:eastAsia="仿宋_GB2312" w:cs="仿宋_GB2312"/>
          <w:kern w:val="2"/>
          <w:sz w:val="32"/>
          <w:szCs w:val="32"/>
          <w:lang w:val="en-US" w:eastAsia="zh-CN" w:bidi="ar-SA"/>
        </w:rPr>
        <w:t>与项目相关部门、关键岗位人员进行座谈访谈，了解项目运营和管理状况，业务操作流程；</w:t>
      </w:r>
    </w:p>
    <w:p w14:paraId="5A4036D1">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cs="仿宋_GB2312"/>
          <w:kern w:val="2"/>
          <w:sz w:val="32"/>
          <w:szCs w:val="32"/>
          <w:lang w:val="en-US" w:eastAsia="zh-CN" w:bidi="ar-SA"/>
        </w:rPr>
        <w:t>（2）</w:t>
      </w:r>
      <w:r>
        <w:rPr>
          <w:rFonts w:hint="eastAsia" w:ascii="仿宋_GB2312" w:hAnsi="仿宋_GB2312" w:eastAsia="仿宋_GB2312" w:cs="仿宋_GB2312"/>
          <w:kern w:val="2"/>
          <w:sz w:val="32"/>
          <w:szCs w:val="32"/>
          <w:lang w:val="en-US" w:eastAsia="zh-CN" w:bidi="ar-SA"/>
        </w:rPr>
        <w:t>收集政策、文件、操作记录，审核、分析资料信息；</w:t>
      </w:r>
    </w:p>
    <w:p w14:paraId="3403F258">
      <w:pPr>
        <w:ind w:firstLine="640" w:firstLineChars="200"/>
        <w:rPr>
          <w:rFonts w:hint="eastAsia"/>
          <w:lang w:val="en-US" w:eastAsia="zh-CN"/>
        </w:rPr>
      </w:pPr>
      <w:r>
        <w:rPr>
          <w:rFonts w:hint="eastAsia" w:ascii="仿宋_GB2312" w:hAnsi="仿宋_GB2312" w:eastAsia="仿宋_GB2312" w:cs="仿宋_GB2312"/>
          <w:kern w:val="2"/>
          <w:sz w:val="32"/>
          <w:szCs w:val="32"/>
          <w:lang w:val="en-US" w:eastAsia="zh-CN" w:bidi="ar-SA"/>
        </w:rPr>
        <w:t>（3）对项目实施区域、行政村进行项目测评，主要方式发放调查问卷进行民主测评；</w:t>
      </w:r>
    </w:p>
    <w:p w14:paraId="56846025">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（4）</w:t>
      </w:r>
      <w:r>
        <w:rPr>
          <w:rFonts w:hint="eastAsia" w:ascii="仿宋_GB2312" w:hAnsi="仿宋_GB2312" w:eastAsia="仿宋_GB2312" w:cs="仿宋_GB2312"/>
          <w:kern w:val="2"/>
          <w:sz w:val="32"/>
          <w:szCs w:val="32"/>
          <w:lang w:val="en-US" w:eastAsia="zh-CN" w:bidi="ar-SA"/>
        </w:rPr>
        <w:t>不断修改完善评价指标体系，形成初步评价结论</w:t>
      </w:r>
      <w:r>
        <w:rPr>
          <w:rFonts w:hint="eastAsia" w:cs="仿宋_GB2312"/>
          <w:kern w:val="2"/>
          <w:sz w:val="32"/>
          <w:szCs w:val="32"/>
          <w:lang w:val="en-US" w:eastAsia="zh-CN" w:bidi="ar-SA"/>
        </w:rPr>
        <w:t>，适时与项目单位反馈交流。</w:t>
      </w:r>
    </w:p>
    <w:p w14:paraId="2027D14E">
      <w:pPr>
        <w:rPr>
          <w:rFonts w:hint="default" w:ascii="仿宋_GB2312" w:hAnsi="仿宋_GB2312" w:eastAsia="仿宋_GB2312" w:cs="仿宋_GB2312"/>
          <w:kern w:val="2"/>
          <w:sz w:val="32"/>
          <w:szCs w:val="32"/>
          <w:lang w:val="en-US" w:eastAsia="zh-CN" w:bidi="ar-SA"/>
        </w:rPr>
      </w:pPr>
      <w:r>
        <w:rPr>
          <w:rFonts w:hint="eastAsia" w:cs="仿宋_GB2312"/>
          <w:kern w:val="2"/>
          <w:sz w:val="32"/>
          <w:szCs w:val="32"/>
          <w:lang w:val="en-US" w:eastAsia="zh-CN" w:bidi="ar-SA"/>
        </w:rPr>
        <w:t xml:space="preserve">    </w:t>
      </w:r>
      <w:r>
        <w:rPr>
          <w:rFonts w:hint="eastAsia" w:ascii="仿宋_GB2312" w:hAnsi="仿宋_GB2312" w:eastAsia="仿宋_GB2312" w:cs="仿宋_GB2312"/>
          <w:kern w:val="2"/>
          <w:sz w:val="32"/>
          <w:szCs w:val="32"/>
          <w:lang w:val="en-US" w:eastAsia="zh-CN" w:bidi="ar-SA"/>
        </w:rPr>
        <w:t>3.撰写报告阶段</w:t>
      </w:r>
    </w:p>
    <w:p w14:paraId="363B37BD">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（1）综合分析评价信息，汇总指标评分情况，撰写绩效评价报告（征求意见稿）；</w:t>
      </w:r>
    </w:p>
    <w:p w14:paraId="6E8ADBD5">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（2）综合各方反馈意见对报告加以修改完善，定稿并向秦川园区财政局提交绩效评价报告正式版；</w:t>
      </w:r>
    </w:p>
    <w:p w14:paraId="76B20FE1">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lang w:val="en-US" w:eastAsia="zh-CN"/>
        </w:rPr>
      </w:pPr>
      <w:r>
        <w:rPr>
          <w:rFonts w:hint="eastAsia" w:cs="仿宋_GB2312"/>
          <w:kern w:val="2"/>
          <w:sz w:val="32"/>
          <w:szCs w:val="32"/>
          <w:lang w:val="en-US" w:eastAsia="zh-CN" w:bidi="ar-SA"/>
        </w:rPr>
        <w:t>（3）后期将及时归档绩效评价资料。</w:t>
      </w:r>
    </w:p>
    <w:p w14:paraId="69D017E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rPr>
        <w:t>四、</w:t>
      </w:r>
      <w:r>
        <w:rPr>
          <w:rFonts w:hint="eastAsia" w:ascii="黑体" w:hAnsi="黑体" w:eastAsia="黑体" w:cs="黑体"/>
          <w:sz w:val="32"/>
          <w:szCs w:val="32"/>
          <w:lang w:val="en-US" w:eastAsia="zh-CN"/>
        </w:rPr>
        <w:t>评价结论</w:t>
      </w:r>
      <w:r>
        <w:rPr>
          <w:rFonts w:hint="eastAsia" w:ascii="黑体" w:hAnsi="黑体" w:eastAsia="黑体" w:cs="黑体"/>
          <w:sz w:val="32"/>
          <w:szCs w:val="32"/>
        </w:rPr>
        <w:t>及</w:t>
      </w:r>
      <w:r>
        <w:rPr>
          <w:rFonts w:hint="eastAsia" w:ascii="黑体" w:hAnsi="黑体" w:eastAsia="黑体" w:cs="黑体"/>
          <w:sz w:val="32"/>
          <w:szCs w:val="32"/>
          <w:lang w:val="en-US" w:eastAsia="zh-CN"/>
        </w:rPr>
        <w:t>分析</w:t>
      </w:r>
    </w:p>
    <w:p w14:paraId="1BEA409C">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default" w:cs="仿宋_GB2312"/>
          <w:kern w:val="2"/>
          <w:sz w:val="32"/>
          <w:szCs w:val="32"/>
          <w:lang w:val="en-US" w:eastAsia="zh-CN" w:bidi="ar-SA"/>
        </w:rPr>
      </w:pPr>
      <w:r>
        <w:rPr>
          <w:rFonts w:hint="eastAsia" w:cs="仿宋_GB2312"/>
          <w:kern w:val="2"/>
          <w:sz w:val="32"/>
          <w:szCs w:val="32"/>
          <w:lang w:val="en-US" w:eastAsia="zh-CN" w:bidi="ar-SA"/>
        </w:rPr>
        <w:t>（一）综合评价情况</w:t>
      </w:r>
    </w:p>
    <w:p w14:paraId="66FAFAF2">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default"/>
          <w:lang w:val="en-US" w:eastAsia="zh-CN"/>
        </w:rPr>
      </w:pPr>
      <w:r>
        <w:rPr>
          <w:rFonts w:hint="eastAsia" w:cs="仿宋_GB2312"/>
          <w:kern w:val="2"/>
          <w:sz w:val="32"/>
          <w:szCs w:val="32"/>
          <w:lang w:val="en-US" w:eastAsia="zh-CN" w:bidi="ar-SA"/>
        </w:rPr>
        <w:t>项目绩效评价综合得分为95分，评价结果等级为优。其中过程得10分，产出得50分，效益得27分，满意度得8份。一级指标得分情况如下表：</w:t>
      </w:r>
    </w:p>
    <w:tbl>
      <w:tblPr>
        <w:tblStyle w:val="8"/>
        <w:tblW w:w="8285" w:type="dxa"/>
        <w:tblInd w:w="123"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472"/>
        <w:gridCol w:w="1290"/>
        <w:gridCol w:w="1428"/>
        <w:gridCol w:w="1475"/>
        <w:gridCol w:w="1310"/>
        <w:gridCol w:w="1310"/>
      </w:tblGrid>
      <w:tr w14:paraId="59F596CF">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64" w:hRule="atLeast"/>
        </w:trPr>
        <w:tc>
          <w:tcPr>
            <w:tcW w:w="1472" w:type="dxa"/>
            <w:tcBorders>
              <w:left w:val="single" w:color="000000" w:sz="12" w:space="0"/>
              <w:bottom w:val="single" w:color="000000" w:sz="12" w:space="0"/>
              <w:right w:val="single" w:color="000000" w:sz="12" w:space="0"/>
            </w:tcBorders>
            <w:vAlign w:val="top"/>
          </w:tcPr>
          <w:p w14:paraId="36E7E58D">
            <w:pPr>
              <w:pStyle w:val="10"/>
              <w:keepNext w:val="0"/>
              <w:keepLines w:val="0"/>
              <w:pageBreakBefore w:val="0"/>
              <w:kinsoku/>
              <w:wordWrap/>
              <w:overflowPunct/>
              <w:topLinePunct w:val="0"/>
              <w:autoSpaceDE/>
              <w:autoSpaceDN/>
              <w:bidi w:val="0"/>
              <w:adjustRightInd/>
              <w:snapToGrid/>
              <w:spacing w:before="82" w:line="560" w:lineRule="exact"/>
              <w:ind w:left="91" w:leftChars="0" w:right="52" w:rightChars="0" w:firstLine="330" w:firstLineChars="100"/>
              <w:jc w:val="both"/>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2B2B2B"/>
                <w:w w:val="110"/>
                <w:sz w:val="30"/>
                <w:szCs w:val="30"/>
              </w:rPr>
              <w:t>项目</w:t>
            </w:r>
          </w:p>
        </w:tc>
        <w:tc>
          <w:tcPr>
            <w:tcW w:w="1290" w:type="dxa"/>
            <w:tcBorders>
              <w:top w:val="single" w:color="000000" w:sz="12" w:space="0"/>
              <w:left w:val="single" w:color="000000" w:sz="12" w:space="0"/>
              <w:bottom w:val="single" w:color="000000" w:sz="12" w:space="0"/>
              <w:right w:val="single" w:color="000000" w:sz="12" w:space="0"/>
            </w:tcBorders>
            <w:vAlign w:val="top"/>
          </w:tcPr>
          <w:p w14:paraId="0F89042C">
            <w:pPr>
              <w:pStyle w:val="10"/>
              <w:keepNext w:val="0"/>
              <w:keepLines w:val="0"/>
              <w:pageBreakBefore w:val="0"/>
              <w:kinsoku/>
              <w:wordWrap/>
              <w:overflowPunct/>
              <w:topLinePunct w:val="0"/>
              <w:autoSpaceDE/>
              <w:autoSpaceDN/>
              <w:bidi w:val="0"/>
              <w:adjustRightInd/>
              <w:snapToGrid/>
              <w:spacing w:before="82" w:line="560" w:lineRule="exact"/>
              <w:ind w:left="91" w:leftChars="0" w:right="52" w:rightChars="0" w:firstLine="330" w:firstLineChars="100"/>
              <w:jc w:val="both"/>
              <w:textAlignment w:val="auto"/>
              <w:rPr>
                <w:rFonts w:hint="eastAsia" w:asciiTheme="minorEastAsia" w:hAnsiTheme="minorEastAsia" w:eastAsiaTheme="minorEastAsia" w:cstheme="minorEastAsia"/>
                <w:color w:val="2B2B2B"/>
                <w:w w:val="110"/>
                <w:sz w:val="30"/>
                <w:szCs w:val="30"/>
              </w:rPr>
            </w:pPr>
            <w:r>
              <w:rPr>
                <w:rFonts w:hint="eastAsia" w:asciiTheme="minorEastAsia" w:hAnsiTheme="minorEastAsia" w:eastAsiaTheme="minorEastAsia" w:cstheme="minorEastAsia"/>
                <w:color w:val="2B2B2B"/>
                <w:w w:val="110"/>
                <w:sz w:val="30"/>
                <w:szCs w:val="30"/>
              </w:rPr>
              <w:t>决策</w:t>
            </w:r>
          </w:p>
        </w:tc>
        <w:tc>
          <w:tcPr>
            <w:tcW w:w="1428" w:type="dxa"/>
            <w:tcBorders>
              <w:top w:val="single" w:color="000000" w:sz="12" w:space="0"/>
              <w:left w:val="single" w:color="000000" w:sz="12" w:space="0"/>
              <w:bottom w:val="single" w:color="000000" w:sz="12" w:space="0"/>
              <w:right w:val="single" w:color="000000" w:sz="12" w:space="0"/>
            </w:tcBorders>
            <w:vAlign w:val="top"/>
          </w:tcPr>
          <w:p w14:paraId="5EBF631A">
            <w:pPr>
              <w:pStyle w:val="10"/>
              <w:keepNext w:val="0"/>
              <w:keepLines w:val="0"/>
              <w:pageBreakBefore w:val="0"/>
              <w:kinsoku/>
              <w:wordWrap/>
              <w:overflowPunct/>
              <w:topLinePunct w:val="0"/>
              <w:autoSpaceDE/>
              <w:autoSpaceDN/>
              <w:bidi w:val="0"/>
              <w:adjustRightInd/>
              <w:snapToGrid/>
              <w:spacing w:before="82" w:line="560" w:lineRule="exact"/>
              <w:ind w:left="91" w:leftChars="0" w:right="52" w:rightChars="0" w:firstLine="330" w:firstLineChars="100"/>
              <w:jc w:val="both"/>
              <w:textAlignment w:val="auto"/>
              <w:rPr>
                <w:rFonts w:hint="eastAsia" w:asciiTheme="minorEastAsia" w:hAnsiTheme="minorEastAsia" w:eastAsiaTheme="minorEastAsia" w:cstheme="minorEastAsia"/>
                <w:color w:val="2B2B2B"/>
                <w:w w:val="110"/>
                <w:sz w:val="30"/>
                <w:szCs w:val="30"/>
              </w:rPr>
            </w:pPr>
            <w:r>
              <w:rPr>
                <w:rFonts w:hint="eastAsia" w:asciiTheme="minorEastAsia" w:hAnsiTheme="minorEastAsia" w:eastAsiaTheme="minorEastAsia" w:cstheme="minorEastAsia"/>
                <w:color w:val="2B2B2B"/>
                <w:w w:val="110"/>
                <w:sz w:val="30"/>
                <w:szCs w:val="30"/>
              </w:rPr>
              <w:t>过程</w:t>
            </w:r>
          </w:p>
        </w:tc>
        <w:tc>
          <w:tcPr>
            <w:tcW w:w="1475" w:type="dxa"/>
            <w:tcBorders>
              <w:top w:val="single" w:color="000000" w:sz="12" w:space="0"/>
              <w:left w:val="single" w:color="000000" w:sz="12" w:space="0"/>
              <w:bottom w:val="single" w:color="000000" w:sz="12" w:space="0"/>
              <w:right w:val="single" w:color="000000" w:sz="12" w:space="0"/>
            </w:tcBorders>
            <w:vAlign w:val="top"/>
          </w:tcPr>
          <w:p w14:paraId="1C32A2E9">
            <w:pPr>
              <w:pStyle w:val="10"/>
              <w:keepNext w:val="0"/>
              <w:keepLines w:val="0"/>
              <w:pageBreakBefore w:val="0"/>
              <w:kinsoku/>
              <w:wordWrap/>
              <w:overflowPunct/>
              <w:topLinePunct w:val="0"/>
              <w:autoSpaceDE/>
              <w:autoSpaceDN/>
              <w:bidi w:val="0"/>
              <w:adjustRightInd/>
              <w:snapToGrid/>
              <w:spacing w:before="82" w:line="560" w:lineRule="exact"/>
              <w:ind w:left="91" w:leftChars="0" w:right="52" w:rightChars="0" w:firstLine="330" w:firstLineChars="100"/>
              <w:jc w:val="both"/>
              <w:textAlignment w:val="auto"/>
              <w:rPr>
                <w:rFonts w:hint="eastAsia" w:asciiTheme="minorEastAsia" w:hAnsiTheme="minorEastAsia" w:eastAsiaTheme="minorEastAsia" w:cstheme="minorEastAsia"/>
                <w:color w:val="2B2B2B"/>
                <w:w w:val="110"/>
                <w:sz w:val="30"/>
                <w:szCs w:val="30"/>
              </w:rPr>
            </w:pPr>
            <w:r>
              <w:rPr>
                <w:rFonts w:hint="eastAsia" w:asciiTheme="minorEastAsia" w:hAnsiTheme="minorEastAsia" w:eastAsiaTheme="minorEastAsia" w:cstheme="minorEastAsia"/>
                <w:color w:val="2B2B2B"/>
                <w:w w:val="110"/>
                <w:sz w:val="30"/>
                <w:szCs w:val="30"/>
              </w:rPr>
              <w:t>产出</w:t>
            </w:r>
          </w:p>
        </w:tc>
        <w:tc>
          <w:tcPr>
            <w:tcW w:w="1310" w:type="dxa"/>
            <w:tcBorders>
              <w:top w:val="single" w:color="000000" w:sz="12" w:space="0"/>
              <w:left w:val="single" w:color="000000" w:sz="12" w:space="0"/>
              <w:bottom w:val="single" w:color="000000" w:sz="12" w:space="0"/>
              <w:right w:val="single" w:color="000000" w:sz="12" w:space="0"/>
            </w:tcBorders>
            <w:vAlign w:val="top"/>
          </w:tcPr>
          <w:p w14:paraId="13B63C09">
            <w:pPr>
              <w:pStyle w:val="10"/>
              <w:keepNext w:val="0"/>
              <w:keepLines w:val="0"/>
              <w:pageBreakBefore w:val="0"/>
              <w:kinsoku/>
              <w:wordWrap/>
              <w:overflowPunct/>
              <w:topLinePunct w:val="0"/>
              <w:autoSpaceDE/>
              <w:autoSpaceDN/>
              <w:bidi w:val="0"/>
              <w:adjustRightInd/>
              <w:snapToGrid/>
              <w:spacing w:before="82" w:line="560" w:lineRule="exact"/>
              <w:ind w:left="91" w:leftChars="0" w:right="52" w:rightChars="0" w:firstLine="330" w:firstLineChars="100"/>
              <w:jc w:val="both"/>
              <w:textAlignment w:val="auto"/>
              <w:rPr>
                <w:rFonts w:hint="eastAsia" w:asciiTheme="minorEastAsia" w:hAnsiTheme="minorEastAsia" w:eastAsiaTheme="minorEastAsia" w:cstheme="minorEastAsia"/>
                <w:color w:val="2B2B2B"/>
                <w:w w:val="110"/>
                <w:sz w:val="30"/>
                <w:szCs w:val="30"/>
                <w:lang w:val="en-US" w:eastAsia="zh-CN"/>
              </w:rPr>
            </w:pPr>
            <w:r>
              <w:rPr>
                <w:rFonts w:hint="eastAsia" w:asciiTheme="minorEastAsia" w:hAnsiTheme="minorEastAsia" w:eastAsiaTheme="minorEastAsia" w:cstheme="minorEastAsia"/>
                <w:color w:val="2B2B2B"/>
                <w:w w:val="110"/>
                <w:sz w:val="30"/>
                <w:szCs w:val="30"/>
              </w:rPr>
              <w:t>效益</w:t>
            </w:r>
          </w:p>
        </w:tc>
        <w:tc>
          <w:tcPr>
            <w:tcW w:w="1310" w:type="dxa"/>
            <w:tcBorders>
              <w:top w:val="single" w:color="000000" w:sz="12" w:space="0"/>
              <w:left w:val="single" w:color="000000" w:sz="12" w:space="0"/>
              <w:bottom w:val="single" w:color="000000" w:sz="12" w:space="0"/>
              <w:right w:val="single" w:color="000000" w:sz="12" w:space="0"/>
            </w:tcBorders>
            <w:vAlign w:val="top"/>
          </w:tcPr>
          <w:p w14:paraId="17693651">
            <w:pPr>
              <w:pStyle w:val="10"/>
              <w:keepNext w:val="0"/>
              <w:keepLines w:val="0"/>
              <w:pageBreakBefore w:val="0"/>
              <w:kinsoku/>
              <w:wordWrap/>
              <w:overflowPunct/>
              <w:topLinePunct w:val="0"/>
              <w:autoSpaceDE/>
              <w:autoSpaceDN/>
              <w:bidi w:val="0"/>
              <w:adjustRightInd/>
              <w:snapToGrid/>
              <w:spacing w:before="82" w:line="560" w:lineRule="exact"/>
              <w:ind w:left="91" w:leftChars="0" w:right="52" w:rightChars="0" w:firstLine="330" w:firstLineChars="100"/>
              <w:jc w:val="both"/>
              <w:textAlignment w:val="auto"/>
              <w:rPr>
                <w:rFonts w:hint="eastAsia" w:asciiTheme="minorEastAsia" w:hAnsiTheme="minorEastAsia" w:eastAsiaTheme="minorEastAsia" w:cstheme="minorEastAsia"/>
                <w:color w:val="2B2B2B"/>
                <w:w w:val="110"/>
                <w:sz w:val="30"/>
                <w:szCs w:val="30"/>
              </w:rPr>
            </w:pPr>
            <w:r>
              <w:rPr>
                <w:rFonts w:hint="eastAsia" w:asciiTheme="minorEastAsia" w:hAnsiTheme="minorEastAsia" w:eastAsiaTheme="minorEastAsia" w:cstheme="minorEastAsia"/>
                <w:color w:val="2B2B2B"/>
                <w:w w:val="110"/>
                <w:sz w:val="30"/>
                <w:szCs w:val="30"/>
              </w:rPr>
              <w:t>合计</w:t>
            </w:r>
          </w:p>
        </w:tc>
      </w:tr>
      <w:tr w14:paraId="5C166571">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75" w:hRule="atLeast"/>
        </w:trPr>
        <w:tc>
          <w:tcPr>
            <w:tcW w:w="1472" w:type="dxa"/>
            <w:tcBorders>
              <w:top w:val="single" w:color="000000" w:sz="12" w:space="0"/>
              <w:left w:val="single" w:color="000000" w:sz="12" w:space="0"/>
              <w:bottom w:val="single" w:color="000000" w:sz="12" w:space="0"/>
              <w:right w:val="single" w:color="000000" w:sz="12" w:space="0"/>
            </w:tcBorders>
            <w:vAlign w:val="top"/>
          </w:tcPr>
          <w:p w14:paraId="42058DAB">
            <w:pPr>
              <w:pStyle w:val="10"/>
              <w:keepNext w:val="0"/>
              <w:keepLines w:val="0"/>
              <w:pageBreakBefore w:val="0"/>
              <w:kinsoku/>
              <w:wordWrap/>
              <w:overflowPunct/>
              <w:topLinePunct w:val="0"/>
              <w:autoSpaceDE/>
              <w:autoSpaceDN/>
              <w:bidi w:val="0"/>
              <w:adjustRightInd/>
              <w:snapToGrid/>
              <w:spacing w:before="102" w:line="560" w:lineRule="exact"/>
              <w:ind w:right="52" w:rightChars="0"/>
              <w:jc w:val="both"/>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2B2B2B"/>
                <w:w w:val="110"/>
                <w:sz w:val="30"/>
                <w:szCs w:val="30"/>
              </w:rPr>
              <w:t>标准分值</w:t>
            </w:r>
          </w:p>
        </w:tc>
        <w:tc>
          <w:tcPr>
            <w:tcW w:w="1290" w:type="dxa"/>
            <w:tcBorders>
              <w:top w:val="single" w:color="000000" w:sz="12" w:space="0"/>
              <w:left w:val="single" w:color="000000" w:sz="12" w:space="0"/>
              <w:bottom w:val="single" w:color="000000" w:sz="12" w:space="0"/>
              <w:right w:val="single" w:color="000000" w:sz="12" w:space="0"/>
            </w:tcBorders>
            <w:vAlign w:val="top"/>
          </w:tcPr>
          <w:p w14:paraId="17089825">
            <w:pPr>
              <w:pStyle w:val="10"/>
              <w:keepNext w:val="0"/>
              <w:keepLines w:val="0"/>
              <w:pageBreakBefore w:val="0"/>
              <w:kinsoku/>
              <w:wordWrap/>
              <w:overflowPunct/>
              <w:topLinePunct w:val="0"/>
              <w:autoSpaceDE/>
              <w:autoSpaceDN/>
              <w:bidi w:val="0"/>
              <w:adjustRightInd/>
              <w:snapToGrid/>
              <w:spacing w:before="98" w:line="560" w:lineRule="exact"/>
              <w:ind w:left="492" w:leftChars="0" w:right="407"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10</w:t>
            </w:r>
          </w:p>
        </w:tc>
        <w:tc>
          <w:tcPr>
            <w:tcW w:w="1428" w:type="dxa"/>
            <w:tcBorders>
              <w:top w:val="single" w:color="000000" w:sz="12" w:space="0"/>
              <w:left w:val="single" w:color="000000" w:sz="12" w:space="0"/>
              <w:bottom w:val="single" w:color="000000" w:sz="12" w:space="0"/>
              <w:right w:val="single" w:color="000000" w:sz="12" w:space="0"/>
            </w:tcBorders>
            <w:vAlign w:val="top"/>
          </w:tcPr>
          <w:p w14:paraId="773A76F9">
            <w:pPr>
              <w:pStyle w:val="10"/>
              <w:keepNext w:val="0"/>
              <w:keepLines w:val="0"/>
              <w:pageBreakBefore w:val="0"/>
              <w:kinsoku/>
              <w:wordWrap/>
              <w:overflowPunct/>
              <w:topLinePunct w:val="0"/>
              <w:autoSpaceDE/>
              <w:autoSpaceDN/>
              <w:bidi w:val="0"/>
              <w:adjustRightInd/>
              <w:snapToGrid/>
              <w:spacing w:before="98" w:line="560" w:lineRule="exact"/>
              <w:ind w:left="438" w:leftChars="0" w:right="331"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25</w:t>
            </w:r>
          </w:p>
        </w:tc>
        <w:tc>
          <w:tcPr>
            <w:tcW w:w="1475" w:type="dxa"/>
            <w:tcBorders>
              <w:top w:val="single" w:color="000000" w:sz="12" w:space="0"/>
              <w:left w:val="single" w:color="000000" w:sz="12" w:space="0"/>
              <w:bottom w:val="single" w:color="000000" w:sz="12" w:space="0"/>
              <w:right w:val="single" w:color="000000" w:sz="12" w:space="0"/>
            </w:tcBorders>
            <w:vAlign w:val="top"/>
          </w:tcPr>
          <w:p w14:paraId="6608ED50">
            <w:pPr>
              <w:pStyle w:val="10"/>
              <w:keepNext w:val="0"/>
              <w:keepLines w:val="0"/>
              <w:pageBreakBefore w:val="0"/>
              <w:kinsoku/>
              <w:wordWrap/>
              <w:overflowPunct/>
              <w:topLinePunct w:val="0"/>
              <w:autoSpaceDE/>
              <w:autoSpaceDN/>
              <w:bidi w:val="0"/>
              <w:adjustRightInd/>
              <w:snapToGrid/>
              <w:spacing w:before="98" w:line="560" w:lineRule="exact"/>
              <w:ind w:left="421" w:leftChars="0" w:right="361"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40</w:t>
            </w:r>
          </w:p>
        </w:tc>
        <w:tc>
          <w:tcPr>
            <w:tcW w:w="1310" w:type="dxa"/>
            <w:tcBorders>
              <w:top w:val="single" w:color="000000" w:sz="12" w:space="0"/>
              <w:left w:val="single" w:color="000000" w:sz="12" w:space="0"/>
              <w:bottom w:val="single" w:color="000000" w:sz="12" w:space="0"/>
              <w:right w:val="single" w:color="000000" w:sz="12" w:space="0"/>
            </w:tcBorders>
            <w:vAlign w:val="top"/>
          </w:tcPr>
          <w:p w14:paraId="6A16411A">
            <w:pPr>
              <w:pStyle w:val="10"/>
              <w:keepNext w:val="0"/>
              <w:keepLines w:val="0"/>
              <w:pageBreakBefore w:val="0"/>
              <w:kinsoku/>
              <w:wordWrap/>
              <w:overflowPunct/>
              <w:topLinePunct w:val="0"/>
              <w:autoSpaceDE/>
              <w:autoSpaceDN/>
              <w:bidi w:val="0"/>
              <w:adjustRightInd/>
              <w:snapToGrid/>
              <w:spacing w:before="98" w:line="560" w:lineRule="exact"/>
              <w:ind w:left="419" w:leftChars="0" w:right="361"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25</w:t>
            </w:r>
          </w:p>
        </w:tc>
        <w:tc>
          <w:tcPr>
            <w:tcW w:w="1310" w:type="dxa"/>
            <w:tcBorders>
              <w:top w:val="single" w:color="000000" w:sz="12" w:space="0"/>
              <w:left w:val="single" w:color="000000" w:sz="12" w:space="0"/>
              <w:bottom w:val="single" w:color="000000" w:sz="12" w:space="0"/>
              <w:right w:val="single" w:color="000000" w:sz="12" w:space="0"/>
            </w:tcBorders>
            <w:vAlign w:val="top"/>
          </w:tcPr>
          <w:p w14:paraId="151D80C3">
            <w:pPr>
              <w:pStyle w:val="10"/>
              <w:keepNext w:val="0"/>
              <w:keepLines w:val="0"/>
              <w:pageBreakBefore w:val="0"/>
              <w:kinsoku/>
              <w:wordWrap/>
              <w:overflowPunct/>
              <w:topLinePunct w:val="0"/>
              <w:autoSpaceDE/>
              <w:autoSpaceDN/>
              <w:bidi w:val="0"/>
              <w:adjustRightInd/>
              <w:snapToGrid/>
              <w:spacing w:line="560" w:lineRule="exact"/>
              <w:ind w:right="0" w:rightChars="0" w:firstLine="280" w:firstLineChars="100"/>
              <w:jc w:val="both"/>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100</w:t>
            </w:r>
          </w:p>
        </w:tc>
      </w:tr>
      <w:tr w14:paraId="6A16A07A">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60" w:hRule="atLeast"/>
        </w:trPr>
        <w:tc>
          <w:tcPr>
            <w:tcW w:w="1472" w:type="dxa"/>
            <w:tcBorders>
              <w:top w:val="single" w:color="000000" w:sz="12" w:space="0"/>
              <w:left w:val="single" w:color="000000" w:sz="12" w:space="0"/>
              <w:bottom w:val="single" w:color="000000" w:sz="12" w:space="0"/>
              <w:right w:val="single" w:color="000000" w:sz="12" w:space="0"/>
            </w:tcBorders>
            <w:vAlign w:val="top"/>
          </w:tcPr>
          <w:p w14:paraId="699A3886">
            <w:pPr>
              <w:pStyle w:val="10"/>
              <w:keepNext w:val="0"/>
              <w:keepLines w:val="0"/>
              <w:pageBreakBefore w:val="0"/>
              <w:kinsoku/>
              <w:wordWrap/>
              <w:overflowPunct/>
              <w:topLinePunct w:val="0"/>
              <w:autoSpaceDE/>
              <w:autoSpaceDN/>
              <w:bidi w:val="0"/>
              <w:adjustRightInd/>
              <w:snapToGrid/>
              <w:spacing w:before="90" w:line="560" w:lineRule="exact"/>
              <w:ind w:right="52" w:rightChars="0"/>
              <w:jc w:val="both"/>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444444"/>
                <w:w w:val="110"/>
                <w:sz w:val="30"/>
                <w:szCs w:val="30"/>
              </w:rPr>
              <w:t>实</w:t>
            </w:r>
            <w:r>
              <w:rPr>
                <w:rFonts w:hint="eastAsia" w:asciiTheme="minorEastAsia" w:hAnsiTheme="minorEastAsia" w:eastAsiaTheme="minorEastAsia" w:cstheme="minorEastAsia"/>
                <w:color w:val="2B2B2B"/>
                <w:w w:val="110"/>
                <w:sz w:val="30"/>
                <w:szCs w:val="30"/>
              </w:rPr>
              <w:t>际得分</w:t>
            </w:r>
          </w:p>
        </w:tc>
        <w:tc>
          <w:tcPr>
            <w:tcW w:w="1290" w:type="dxa"/>
            <w:tcBorders>
              <w:top w:val="single" w:color="000000" w:sz="12" w:space="0"/>
              <w:left w:val="single" w:color="000000" w:sz="12" w:space="0"/>
              <w:bottom w:val="single" w:color="000000" w:sz="12" w:space="0"/>
              <w:right w:val="single" w:color="000000" w:sz="12" w:space="0"/>
            </w:tcBorders>
            <w:vAlign w:val="top"/>
          </w:tcPr>
          <w:p w14:paraId="479D4B99">
            <w:pPr>
              <w:pStyle w:val="10"/>
              <w:keepNext w:val="0"/>
              <w:keepLines w:val="0"/>
              <w:pageBreakBefore w:val="0"/>
              <w:kinsoku/>
              <w:wordWrap/>
              <w:overflowPunct/>
              <w:topLinePunct w:val="0"/>
              <w:autoSpaceDE/>
              <w:autoSpaceDN/>
              <w:bidi w:val="0"/>
              <w:adjustRightInd/>
              <w:snapToGrid/>
              <w:spacing w:before="86" w:line="560" w:lineRule="exact"/>
              <w:ind w:left="492" w:leftChars="0" w:right="404"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10</w:t>
            </w:r>
          </w:p>
        </w:tc>
        <w:tc>
          <w:tcPr>
            <w:tcW w:w="1428" w:type="dxa"/>
            <w:tcBorders>
              <w:top w:val="single" w:color="000000" w:sz="12" w:space="0"/>
              <w:left w:val="single" w:color="000000" w:sz="12" w:space="0"/>
              <w:bottom w:val="single" w:color="000000" w:sz="12" w:space="0"/>
              <w:right w:val="single" w:color="000000" w:sz="12" w:space="0"/>
            </w:tcBorders>
            <w:vAlign w:val="top"/>
          </w:tcPr>
          <w:p w14:paraId="6877EC70">
            <w:pPr>
              <w:pStyle w:val="10"/>
              <w:keepNext w:val="0"/>
              <w:keepLines w:val="0"/>
              <w:pageBreakBefore w:val="0"/>
              <w:kinsoku/>
              <w:wordWrap/>
              <w:overflowPunct/>
              <w:topLinePunct w:val="0"/>
              <w:autoSpaceDE/>
              <w:autoSpaceDN/>
              <w:bidi w:val="0"/>
              <w:adjustRightInd/>
              <w:snapToGrid/>
              <w:spacing w:before="74" w:line="560" w:lineRule="exact"/>
              <w:ind w:left="438" w:leftChars="0" w:right="361"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25</w:t>
            </w:r>
          </w:p>
        </w:tc>
        <w:tc>
          <w:tcPr>
            <w:tcW w:w="1475" w:type="dxa"/>
            <w:tcBorders>
              <w:top w:val="single" w:color="000000" w:sz="12" w:space="0"/>
              <w:left w:val="single" w:color="000000" w:sz="12" w:space="0"/>
              <w:bottom w:val="single" w:color="000000" w:sz="12" w:space="0"/>
              <w:right w:val="single" w:color="000000" w:sz="12" w:space="0"/>
            </w:tcBorders>
            <w:vAlign w:val="top"/>
          </w:tcPr>
          <w:p w14:paraId="0C62EF3A">
            <w:pPr>
              <w:pStyle w:val="10"/>
              <w:keepNext w:val="0"/>
              <w:keepLines w:val="0"/>
              <w:pageBreakBefore w:val="0"/>
              <w:kinsoku/>
              <w:wordWrap/>
              <w:overflowPunct/>
              <w:topLinePunct w:val="0"/>
              <w:autoSpaceDE/>
              <w:autoSpaceDN/>
              <w:bidi w:val="0"/>
              <w:adjustRightInd/>
              <w:snapToGrid/>
              <w:spacing w:before="86" w:line="560" w:lineRule="exact"/>
              <w:ind w:left="438" w:leftChars="0" w:right="361"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40</w:t>
            </w:r>
          </w:p>
        </w:tc>
        <w:tc>
          <w:tcPr>
            <w:tcW w:w="1310" w:type="dxa"/>
            <w:tcBorders>
              <w:top w:val="single" w:color="000000" w:sz="12" w:space="0"/>
              <w:left w:val="single" w:color="000000" w:sz="12" w:space="0"/>
              <w:bottom w:val="single" w:color="000000" w:sz="12" w:space="0"/>
              <w:right w:val="single" w:color="000000" w:sz="12" w:space="0"/>
            </w:tcBorders>
            <w:vAlign w:val="top"/>
          </w:tcPr>
          <w:p w14:paraId="5350ED5B">
            <w:pPr>
              <w:pStyle w:val="10"/>
              <w:keepNext w:val="0"/>
              <w:keepLines w:val="0"/>
              <w:pageBreakBefore w:val="0"/>
              <w:kinsoku/>
              <w:wordWrap/>
              <w:overflowPunct/>
              <w:topLinePunct w:val="0"/>
              <w:autoSpaceDE/>
              <w:autoSpaceDN/>
              <w:bidi w:val="0"/>
              <w:adjustRightInd/>
              <w:snapToGrid/>
              <w:spacing w:before="86" w:line="560" w:lineRule="exact"/>
              <w:ind w:left="431" w:leftChars="0" w:right="361" w:rightChars="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20</w:t>
            </w:r>
          </w:p>
        </w:tc>
        <w:tc>
          <w:tcPr>
            <w:tcW w:w="1310" w:type="dxa"/>
            <w:tcBorders>
              <w:top w:val="single" w:color="000000" w:sz="12" w:space="0"/>
              <w:left w:val="single" w:color="000000" w:sz="12" w:space="0"/>
              <w:bottom w:val="single" w:color="000000" w:sz="12" w:space="0"/>
              <w:right w:val="single" w:color="000000" w:sz="12" w:space="0"/>
            </w:tcBorders>
            <w:vAlign w:val="top"/>
          </w:tcPr>
          <w:p w14:paraId="37531A29">
            <w:pPr>
              <w:pStyle w:val="10"/>
              <w:keepNext w:val="0"/>
              <w:keepLines w:val="0"/>
              <w:pageBreakBefore w:val="0"/>
              <w:kinsoku/>
              <w:wordWrap/>
              <w:overflowPunct/>
              <w:topLinePunct w:val="0"/>
              <w:autoSpaceDE/>
              <w:autoSpaceDN/>
              <w:bidi w:val="0"/>
              <w:adjustRightInd/>
              <w:snapToGrid/>
              <w:spacing w:before="74" w:line="560" w:lineRule="exact"/>
              <w:ind w:right="387" w:rightChars="0" w:firstLine="280" w:firstLineChars="100"/>
              <w:jc w:val="center"/>
              <w:textAlignment w:val="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95</w:t>
            </w:r>
          </w:p>
        </w:tc>
      </w:tr>
    </w:tbl>
    <w:p w14:paraId="1CF89E63">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（二）主要结论</w:t>
      </w:r>
    </w:p>
    <w:p w14:paraId="043CB21E">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综上评价，评价小组认为：</w:t>
      </w:r>
    </w:p>
    <w:p w14:paraId="7911D3E5">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lang w:val="en-US" w:eastAsia="zh-CN"/>
        </w:rPr>
        <w:t>秦川镇应急管理与法制服务中心</w:t>
      </w:r>
      <w:r>
        <w:rPr>
          <w:rFonts w:hint="eastAsia" w:ascii="仿宋_GB2312" w:hAnsi="仿宋_GB2312" w:eastAsia="仿宋_GB2312" w:cs="仿宋_GB2312"/>
          <w:kern w:val="2"/>
          <w:sz w:val="32"/>
          <w:szCs w:val="32"/>
          <w:lang w:val="en-US" w:eastAsia="zh-CN" w:bidi="ar-SA"/>
        </w:rPr>
        <w:t>很好的完成了“</w:t>
      </w:r>
      <w:r>
        <w:rPr>
          <w:rFonts w:hint="eastAsia" w:ascii="仿宋_GB2312" w:hAnsi="宋体" w:eastAsia="仿宋_GB2312" w:cs="宋体"/>
          <w:sz w:val="32"/>
          <w:szCs w:val="32"/>
          <w:lang w:val="en-US" w:eastAsia="zh-CN"/>
        </w:rPr>
        <w:t>秦川镇202</w:t>
      </w:r>
      <w:r>
        <w:rPr>
          <w:rFonts w:hint="eastAsia" w:hAnsi="宋体" w:cs="宋体"/>
          <w:sz w:val="32"/>
          <w:szCs w:val="32"/>
          <w:lang w:val="en-US" w:eastAsia="zh-CN"/>
        </w:rPr>
        <w:t>3</w:t>
      </w:r>
      <w:r>
        <w:rPr>
          <w:rFonts w:hint="eastAsia" w:ascii="仿宋_GB2312" w:hAnsi="宋体" w:eastAsia="仿宋_GB2312" w:cs="宋体"/>
          <w:sz w:val="32"/>
          <w:szCs w:val="32"/>
          <w:lang w:val="en-US" w:eastAsia="zh-CN"/>
        </w:rPr>
        <w:t>年自建房安全专项整治</w:t>
      </w:r>
      <w:r>
        <w:rPr>
          <w:rFonts w:hint="eastAsia" w:ascii="仿宋_GB2312" w:hAnsi="仿宋_GB2312" w:eastAsia="仿宋_GB2312" w:cs="仿宋_GB2312"/>
          <w:kern w:val="2"/>
          <w:sz w:val="32"/>
          <w:szCs w:val="32"/>
          <w:lang w:val="en-US" w:eastAsia="zh-CN" w:bidi="ar-SA"/>
        </w:rPr>
        <w:t>项目”的绩效目标。“</w:t>
      </w:r>
      <w:r>
        <w:rPr>
          <w:rFonts w:hint="eastAsia" w:ascii="仿宋_GB2312" w:hAnsi="宋体" w:eastAsia="仿宋_GB2312" w:cs="宋体"/>
          <w:sz w:val="32"/>
          <w:szCs w:val="32"/>
          <w:lang w:val="en-US" w:eastAsia="zh-CN"/>
        </w:rPr>
        <w:t>秦川镇202</w:t>
      </w:r>
      <w:r>
        <w:rPr>
          <w:rFonts w:hint="eastAsia" w:hAnsi="宋体" w:cs="宋体"/>
          <w:sz w:val="32"/>
          <w:szCs w:val="32"/>
          <w:lang w:val="en-US" w:eastAsia="zh-CN"/>
        </w:rPr>
        <w:t>3</w:t>
      </w:r>
      <w:r>
        <w:rPr>
          <w:rFonts w:hint="eastAsia" w:ascii="仿宋_GB2312" w:hAnsi="宋体" w:eastAsia="仿宋_GB2312" w:cs="宋体"/>
          <w:sz w:val="32"/>
          <w:szCs w:val="32"/>
          <w:lang w:val="en-US" w:eastAsia="zh-CN"/>
        </w:rPr>
        <w:t>年自建房安全专项整治</w:t>
      </w:r>
      <w:r>
        <w:rPr>
          <w:rFonts w:hint="eastAsia" w:ascii="仿宋_GB2312" w:hAnsi="仿宋_GB2312" w:eastAsia="仿宋_GB2312" w:cs="仿宋_GB2312"/>
          <w:kern w:val="2"/>
          <w:sz w:val="32"/>
          <w:szCs w:val="32"/>
          <w:lang w:val="en-US" w:eastAsia="zh-CN" w:bidi="ar-SA"/>
        </w:rPr>
        <w:t>项目”项目立项充分，符合相关要求；项目绩效预算经新区财政局批复；项目实施单位制订了项目管理相关制度，并基本得到有效执行；项目资金到位情况良好，资金使用基本规范。该项目</w:t>
      </w:r>
      <w:r>
        <w:rPr>
          <w:rFonts w:hint="eastAsia" w:ascii="仿宋_GB2312" w:hAnsi="仿宋_GB2312" w:eastAsia="仿宋_GB2312" w:cs="仿宋_GB2312"/>
          <w:sz w:val="32"/>
          <w:szCs w:val="32"/>
          <w:lang w:val="en-US" w:eastAsia="zh-CN"/>
        </w:rPr>
        <w:t>推动建立</w:t>
      </w:r>
      <w:r>
        <w:rPr>
          <w:rFonts w:hint="eastAsia" w:cs="仿宋_GB2312"/>
          <w:sz w:val="32"/>
          <w:szCs w:val="32"/>
          <w:lang w:val="en-US" w:eastAsia="zh-CN"/>
        </w:rPr>
        <w:t>了</w:t>
      </w:r>
      <w:r>
        <w:rPr>
          <w:rFonts w:hint="eastAsia" w:ascii="仿宋_GB2312" w:hAnsi="仿宋_GB2312" w:eastAsia="仿宋_GB2312" w:cs="仿宋_GB2312"/>
          <w:sz w:val="32"/>
          <w:szCs w:val="32"/>
          <w:lang w:val="en-US" w:eastAsia="zh-CN"/>
        </w:rPr>
        <w:t>自建房安全管理长效机制，切实维护人民群众生命财产安全</w:t>
      </w:r>
      <w:r>
        <w:rPr>
          <w:rFonts w:hint="eastAsia" w:ascii="仿宋_GB2312" w:hAnsi="仿宋_GB2312" w:eastAsia="仿宋_GB2312" w:cs="仿宋_GB2312"/>
          <w:kern w:val="2"/>
          <w:sz w:val="32"/>
          <w:szCs w:val="32"/>
          <w:lang w:val="en-US" w:eastAsia="zh-CN" w:bidi="ar-SA"/>
        </w:rPr>
        <w:t>，人民群众满意度的明显增强。</w:t>
      </w:r>
    </w:p>
    <w:p w14:paraId="26333FC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五、绩效评价指标分析</w:t>
      </w:r>
    </w:p>
    <w:p w14:paraId="104F4FE8">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（一）项目决策情况。</w:t>
      </w:r>
    </w:p>
    <w:p w14:paraId="13B80FB1">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rPr>
      </w:pPr>
      <w:r>
        <w:rPr>
          <w:rFonts w:hint="eastAsia" w:cs="仿宋_GB2312"/>
          <w:kern w:val="2"/>
          <w:sz w:val="32"/>
          <w:szCs w:val="32"/>
          <w:lang w:val="en-US" w:eastAsia="zh-CN" w:bidi="ar-SA"/>
        </w:rPr>
        <w:t>决策指标满分为10分，根据评价原则，决策评价得分为10分。</w:t>
      </w:r>
    </w:p>
    <w:tbl>
      <w:tblPr>
        <w:tblStyle w:val="8"/>
        <w:tblW w:w="8100" w:type="dxa"/>
        <w:tblInd w:w="125"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437"/>
        <w:gridCol w:w="899"/>
        <w:gridCol w:w="1059"/>
        <w:gridCol w:w="1030"/>
        <w:gridCol w:w="914"/>
        <w:gridCol w:w="1291"/>
        <w:gridCol w:w="1470"/>
      </w:tblGrid>
      <w:tr w14:paraId="4EEAA49D">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184" w:hRule="atLeast"/>
        </w:trPr>
        <w:tc>
          <w:tcPr>
            <w:tcW w:w="1437" w:type="dxa"/>
            <w:tcBorders>
              <w:left w:val="single" w:color="000000" w:sz="12" w:space="0"/>
              <w:bottom w:val="single" w:color="000000" w:sz="12" w:space="0"/>
              <w:right w:val="single" w:color="000000" w:sz="12" w:space="0"/>
            </w:tcBorders>
            <w:vAlign w:val="top"/>
          </w:tcPr>
          <w:p w14:paraId="378B92F9">
            <w:pPr>
              <w:pStyle w:val="10"/>
              <w:keepNext w:val="0"/>
              <w:keepLines w:val="0"/>
              <w:pageBreakBefore w:val="0"/>
              <w:kinsoku/>
              <w:wordWrap/>
              <w:overflowPunct/>
              <w:topLinePunct w:val="0"/>
              <w:autoSpaceDE/>
              <w:autoSpaceDN/>
              <w:bidi w:val="0"/>
              <w:adjustRightInd/>
              <w:snapToGrid/>
              <w:spacing w:before="82" w:line="560" w:lineRule="exact"/>
              <w:ind w:left="91" w:right="52" w:firstLine="330" w:firstLineChars="100"/>
              <w:jc w:val="both"/>
              <w:textAlignment w:val="auto"/>
              <w:rPr>
                <w:rFonts w:hint="eastAsia" w:ascii="宋体" w:hAnsi="宋体" w:eastAsia="宋体" w:cs="宋体"/>
                <w:sz w:val="30"/>
                <w:szCs w:val="30"/>
              </w:rPr>
            </w:pPr>
            <w:r>
              <w:rPr>
                <w:rFonts w:hint="eastAsia" w:ascii="宋体" w:hAnsi="宋体" w:eastAsia="宋体" w:cs="宋体"/>
                <w:color w:val="2B2B2B"/>
                <w:w w:val="110"/>
                <w:sz w:val="30"/>
                <w:szCs w:val="30"/>
              </w:rPr>
              <w:t>项目</w:t>
            </w:r>
          </w:p>
        </w:tc>
        <w:tc>
          <w:tcPr>
            <w:tcW w:w="899" w:type="dxa"/>
            <w:tcBorders>
              <w:top w:val="single" w:color="000000" w:sz="12" w:space="0"/>
              <w:left w:val="single" w:color="000000" w:sz="12" w:space="0"/>
              <w:bottom w:val="single" w:color="000000" w:sz="12" w:space="0"/>
              <w:right w:val="single" w:color="000000" w:sz="12" w:space="0"/>
            </w:tcBorders>
            <w:vAlign w:val="top"/>
          </w:tcPr>
          <w:p w14:paraId="7A0D0737">
            <w:pPr>
              <w:pStyle w:val="10"/>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lang w:val="en-US" w:eastAsia="zh-CN"/>
              </w:rPr>
            </w:pPr>
            <w:r>
              <w:rPr>
                <w:rFonts w:hint="eastAsia" w:ascii="宋体" w:hAnsi="宋体" w:eastAsia="宋体" w:cs="宋体"/>
                <w:lang w:val="en-US" w:eastAsia="zh-CN"/>
              </w:rPr>
              <w:t>立项依据规范性</w:t>
            </w:r>
          </w:p>
        </w:tc>
        <w:tc>
          <w:tcPr>
            <w:tcW w:w="1059" w:type="dxa"/>
            <w:tcBorders>
              <w:top w:val="single" w:color="000000" w:sz="12" w:space="0"/>
              <w:left w:val="single" w:color="000000" w:sz="12" w:space="0"/>
              <w:bottom w:val="single" w:color="000000" w:sz="12" w:space="0"/>
              <w:right w:val="single" w:color="000000" w:sz="12" w:space="0"/>
            </w:tcBorders>
            <w:vAlign w:val="top"/>
          </w:tcPr>
          <w:p w14:paraId="38BC7C73">
            <w:pPr>
              <w:pStyle w:val="10"/>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Cs w:val="30"/>
                <w:lang w:val="en-US" w:eastAsia="zh-CN"/>
              </w:rPr>
            </w:pPr>
            <w:r>
              <w:rPr>
                <w:rFonts w:hint="eastAsia" w:ascii="宋体" w:hAnsi="宋体" w:eastAsia="宋体" w:cs="宋体"/>
                <w:lang w:val="en-US" w:eastAsia="zh-CN"/>
              </w:rPr>
              <w:t>立项程序规范性</w:t>
            </w:r>
          </w:p>
        </w:tc>
        <w:tc>
          <w:tcPr>
            <w:tcW w:w="1030" w:type="dxa"/>
            <w:tcBorders>
              <w:top w:val="single" w:color="000000" w:sz="12" w:space="0"/>
              <w:left w:val="single" w:color="000000" w:sz="12" w:space="0"/>
              <w:bottom w:val="single" w:color="000000" w:sz="12" w:space="0"/>
              <w:right w:val="single" w:color="000000" w:sz="12" w:space="0"/>
            </w:tcBorders>
            <w:vAlign w:val="top"/>
          </w:tcPr>
          <w:p w14:paraId="323FDC37">
            <w:pPr>
              <w:pStyle w:val="10"/>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lang w:val="en-US" w:eastAsia="zh-CN"/>
              </w:rPr>
            </w:pPr>
            <w:r>
              <w:rPr>
                <w:rFonts w:hint="eastAsia" w:ascii="宋体" w:hAnsi="宋体" w:eastAsia="宋体" w:cs="宋体"/>
                <w:lang w:val="en-US" w:eastAsia="zh-CN"/>
              </w:rPr>
              <w:t>绩效目标合理性</w:t>
            </w:r>
          </w:p>
        </w:tc>
        <w:tc>
          <w:tcPr>
            <w:tcW w:w="914" w:type="dxa"/>
            <w:tcBorders>
              <w:top w:val="single" w:color="000000" w:sz="12" w:space="0"/>
              <w:left w:val="single" w:color="000000" w:sz="12" w:space="0"/>
              <w:bottom w:val="single" w:color="000000" w:sz="12" w:space="0"/>
              <w:right w:val="single" w:color="000000" w:sz="12" w:space="0"/>
            </w:tcBorders>
            <w:vAlign w:val="top"/>
          </w:tcPr>
          <w:p w14:paraId="561692DD">
            <w:pPr>
              <w:pStyle w:val="10"/>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lang w:val="en-US" w:eastAsia="zh-CN"/>
              </w:rPr>
            </w:pPr>
            <w:r>
              <w:rPr>
                <w:rFonts w:hint="eastAsia" w:ascii="宋体" w:hAnsi="宋体" w:eastAsia="宋体" w:cs="宋体"/>
                <w:lang w:val="en-US" w:eastAsia="zh-CN"/>
              </w:rPr>
              <w:t>绩效目标明确性</w:t>
            </w:r>
          </w:p>
        </w:tc>
        <w:tc>
          <w:tcPr>
            <w:tcW w:w="1291" w:type="dxa"/>
            <w:tcBorders>
              <w:top w:val="single" w:color="000000" w:sz="12" w:space="0"/>
              <w:left w:val="single" w:color="000000" w:sz="12" w:space="0"/>
              <w:bottom w:val="single" w:color="000000" w:sz="12" w:space="0"/>
              <w:right w:val="single" w:color="000000" w:sz="12" w:space="0"/>
            </w:tcBorders>
            <w:vAlign w:val="top"/>
          </w:tcPr>
          <w:p w14:paraId="021AE7F5">
            <w:pPr>
              <w:pStyle w:val="10"/>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lang w:val="en-US" w:eastAsia="zh-CN"/>
              </w:rPr>
            </w:pPr>
            <w:r>
              <w:rPr>
                <w:rFonts w:hint="eastAsia" w:ascii="宋体" w:hAnsi="宋体" w:eastAsia="宋体" w:cs="宋体"/>
                <w:lang w:val="en-US" w:eastAsia="zh-CN"/>
              </w:rPr>
              <w:t>预算编制科学性</w:t>
            </w:r>
          </w:p>
        </w:tc>
        <w:tc>
          <w:tcPr>
            <w:tcW w:w="1470" w:type="dxa"/>
            <w:tcBorders>
              <w:top w:val="single" w:color="000000" w:sz="12" w:space="0"/>
              <w:left w:val="single" w:color="000000" w:sz="12" w:space="0"/>
              <w:bottom w:val="single" w:color="000000" w:sz="12" w:space="0"/>
              <w:right w:val="single" w:color="000000" w:sz="12" w:space="0"/>
            </w:tcBorders>
            <w:vAlign w:val="top"/>
          </w:tcPr>
          <w:p w14:paraId="121C337D">
            <w:pPr>
              <w:pStyle w:val="10"/>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lang w:val="en-US" w:eastAsia="zh-CN"/>
              </w:rPr>
            </w:pPr>
            <w:r>
              <w:rPr>
                <w:rFonts w:hint="eastAsia" w:ascii="宋体" w:hAnsi="宋体" w:eastAsia="宋体" w:cs="宋体"/>
                <w:lang w:val="en-US" w:eastAsia="zh-CN"/>
              </w:rPr>
              <w:t>资金分配合理性</w:t>
            </w:r>
          </w:p>
        </w:tc>
      </w:tr>
      <w:tr w14:paraId="386CE9B5">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00" w:hRule="atLeast"/>
        </w:trPr>
        <w:tc>
          <w:tcPr>
            <w:tcW w:w="1437" w:type="dxa"/>
            <w:tcBorders>
              <w:top w:val="single" w:color="000000" w:sz="12" w:space="0"/>
              <w:left w:val="single" w:color="000000" w:sz="12" w:space="0"/>
              <w:bottom w:val="single" w:color="000000" w:sz="12" w:space="0"/>
              <w:right w:val="single" w:color="000000" w:sz="12" w:space="0"/>
            </w:tcBorders>
            <w:vAlign w:val="top"/>
          </w:tcPr>
          <w:p w14:paraId="183E56C9">
            <w:pPr>
              <w:pStyle w:val="10"/>
              <w:keepNext w:val="0"/>
              <w:keepLines w:val="0"/>
              <w:pageBreakBefore w:val="0"/>
              <w:kinsoku/>
              <w:wordWrap/>
              <w:overflowPunct/>
              <w:topLinePunct w:val="0"/>
              <w:autoSpaceDE/>
              <w:autoSpaceDN/>
              <w:bidi w:val="0"/>
              <w:adjustRightInd/>
              <w:snapToGrid/>
              <w:spacing w:before="102" w:line="560" w:lineRule="exact"/>
              <w:ind w:right="52"/>
              <w:jc w:val="both"/>
              <w:textAlignment w:val="auto"/>
              <w:rPr>
                <w:rFonts w:hint="eastAsia" w:ascii="宋体" w:hAnsi="宋体" w:eastAsia="宋体" w:cs="宋体"/>
                <w:sz w:val="30"/>
                <w:szCs w:val="30"/>
              </w:rPr>
            </w:pPr>
            <w:r>
              <w:rPr>
                <w:rFonts w:hint="eastAsia" w:ascii="宋体" w:hAnsi="宋体" w:eastAsia="宋体" w:cs="宋体"/>
                <w:color w:val="2B2B2B"/>
                <w:w w:val="110"/>
                <w:sz w:val="30"/>
                <w:szCs w:val="30"/>
              </w:rPr>
              <w:t>标准分值</w:t>
            </w:r>
          </w:p>
        </w:tc>
        <w:tc>
          <w:tcPr>
            <w:tcW w:w="899" w:type="dxa"/>
            <w:tcBorders>
              <w:top w:val="single" w:color="000000" w:sz="12" w:space="0"/>
              <w:left w:val="single" w:color="000000" w:sz="12" w:space="0"/>
              <w:bottom w:val="single" w:color="000000" w:sz="12" w:space="0"/>
              <w:right w:val="single" w:color="000000" w:sz="12" w:space="0"/>
            </w:tcBorders>
            <w:vAlign w:val="top"/>
          </w:tcPr>
          <w:p w14:paraId="7E4BADEA">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2</w:t>
            </w:r>
          </w:p>
        </w:tc>
        <w:tc>
          <w:tcPr>
            <w:tcW w:w="1059" w:type="dxa"/>
            <w:tcBorders>
              <w:top w:val="single" w:color="000000" w:sz="12" w:space="0"/>
              <w:left w:val="single" w:color="000000" w:sz="12" w:space="0"/>
              <w:bottom w:val="single" w:color="000000" w:sz="12" w:space="0"/>
              <w:right w:val="single" w:color="000000" w:sz="12" w:space="0"/>
            </w:tcBorders>
            <w:vAlign w:val="top"/>
          </w:tcPr>
          <w:p w14:paraId="71E58C71">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1.5</w:t>
            </w:r>
          </w:p>
        </w:tc>
        <w:tc>
          <w:tcPr>
            <w:tcW w:w="1030" w:type="dxa"/>
            <w:tcBorders>
              <w:top w:val="single" w:color="000000" w:sz="12" w:space="0"/>
              <w:left w:val="single" w:color="000000" w:sz="12" w:space="0"/>
              <w:bottom w:val="single" w:color="000000" w:sz="12" w:space="0"/>
              <w:right w:val="single" w:color="000000" w:sz="12" w:space="0"/>
            </w:tcBorders>
            <w:vAlign w:val="top"/>
          </w:tcPr>
          <w:p w14:paraId="18F0566D">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2</w:t>
            </w:r>
          </w:p>
        </w:tc>
        <w:tc>
          <w:tcPr>
            <w:tcW w:w="914" w:type="dxa"/>
            <w:tcBorders>
              <w:top w:val="single" w:color="000000" w:sz="12" w:space="0"/>
              <w:left w:val="single" w:color="000000" w:sz="12" w:space="0"/>
              <w:bottom w:val="single" w:color="000000" w:sz="12" w:space="0"/>
              <w:right w:val="single" w:color="000000" w:sz="12" w:space="0"/>
            </w:tcBorders>
            <w:vAlign w:val="top"/>
          </w:tcPr>
          <w:p w14:paraId="58B9BD33">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1.5</w:t>
            </w:r>
          </w:p>
        </w:tc>
        <w:tc>
          <w:tcPr>
            <w:tcW w:w="1291" w:type="dxa"/>
            <w:tcBorders>
              <w:top w:val="single" w:color="000000" w:sz="12" w:space="0"/>
              <w:left w:val="single" w:color="000000" w:sz="12" w:space="0"/>
              <w:bottom w:val="single" w:color="000000" w:sz="12" w:space="0"/>
              <w:right w:val="single" w:color="000000" w:sz="12" w:space="0"/>
            </w:tcBorders>
            <w:vAlign w:val="top"/>
          </w:tcPr>
          <w:p w14:paraId="769594C3">
            <w:pPr>
              <w:pStyle w:val="10"/>
              <w:keepNext w:val="0"/>
              <w:keepLines w:val="0"/>
              <w:pageBreakBefore w:val="0"/>
              <w:kinsoku/>
              <w:wordWrap/>
              <w:overflowPunct/>
              <w:topLinePunct w:val="0"/>
              <w:autoSpaceDE/>
              <w:autoSpaceDN/>
              <w:bidi w:val="0"/>
              <w:adjustRightInd/>
              <w:snapToGrid/>
              <w:spacing w:line="560" w:lineRule="exact"/>
              <w:ind w:right="0" w:firstLine="0" w:firstLineChars="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2</w:t>
            </w:r>
          </w:p>
        </w:tc>
        <w:tc>
          <w:tcPr>
            <w:tcW w:w="1470" w:type="dxa"/>
            <w:tcBorders>
              <w:top w:val="single" w:color="000000" w:sz="12" w:space="0"/>
              <w:left w:val="single" w:color="000000" w:sz="12" w:space="0"/>
              <w:bottom w:val="single" w:color="000000" w:sz="12" w:space="0"/>
              <w:right w:val="single" w:color="000000" w:sz="12" w:space="0"/>
            </w:tcBorders>
            <w:vAlign w:val="top"/>
          </w:tcPr>
          <w:p w14:paraId="68E5DD5F">
            <w:pPr>
              <w:pStyle w:val="10"/>
              <w:keepNext w:val="0"/>
              <w:keepLines w:val="0"/>
              <w:pageBreakBefore w:val="0"/>
              <w:kinsoku/>
              <w:wordWrap/>
              <w:overflowPunct/>
              <w:topLinePunct w:val="0"/>
              <w:autoSpaceDE/>
              <w:autoSpaceDN/>
              <w:bidi w:val="0"/>
              <w:adjustRightInd/>
              <w:snapToGrid/>
              <w:spacing w:line="560" w:lineRule="exact"/>
              <w:ind w:right="0" w:firstLine="0" w:firstLineChars="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1</w:t>
            </w:r>
          </w:p>
        </w:tc>
      </w:tr>
      <w:tr w14:paraId="11E6A3F0">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29" w:hRule="atLeast"/>
        </w:trPr>
        <w:tc>
          <w:tcPr>
            <w:tcW w:w="1437" w:type="dxa"/>
            <w:tcBorders>
              <w:top w:val="single" w:color="000000" w:sz="12" w:space="0"/>
              <w:left w:val="single" w:color="000000" w:sz="12" w:space="0"/>
              <w:bottom w:val="single" w:color="000000" w:sz="12" w:space="0"/>
              <w:right w:val="single" w:color="000000" w:sz="12" w:space="0"/>
            </w:tcBorders>
            <w:vAlign w:val="top"/>
          </w:tcPr>
          <w:p w14:paraId="26FC761E">
            <w:pPr>
              <w:pStyle w:val="10"/>
              <w:keepNext w:val="0"/>
              <w:keepLines w:val="0"/>
              <w:pageBreakBefore w:val="0"/>
              <w:kinsoku/>
              <w:wordWrap/>
              <w:overflowPunct/>
              <w:topLinePunct w:val="0"/>
              <w:autoSpaceDE/>
              <w:autoSpaceDN/>
              <w:bidi w:val="0"/>
              <w:adjustRightInd/>
              <w:snapToGrid/>
              <w:spacing w:line="560" w:lineRule="exact"/>
              <w:ind w:left="0" w:right="0"/>
              <w:jc w:val="both"/>
              <w:textAlignment w:val="auto"/>
              <w:rPr>
                <w:rFonts w:hint="eastAsia" w:ascii="宋体" w:hAnsi="宋体" w:eastAsia="宋体" w:cs="宋体"/>
                <w:sz w:val="30"/>
                <w:szCs w:val="30"/>
              </w:rPr>
            </w:pPr>
            <w:r>
              <w:rPr>
                <w:rFonts w:hint="eastAsia" w:ascii="宋体" w:hAnsi="宋体" w:eastAsia="宋体" w:cs="宋体"/>
                <w:color w:val="444444"/>
                <w:w w:val="110"/>
                <w:sz w:val="30"/>
                <w:szCs w:val="30"/>
              </w:rPr>
              <w:t>实</w:t>
            </w:r>
            <w:r>
              <w:rPr>
                <w:rFonts w:hint="eastAsia" w:ascii="宋体" w:hAnsi="宋体" w:eastAsia="宋体" w:cs="宋体"/>
                <w:color w:val="2B2B2B"/>
                <w:w w:val="110"/>
                <w:sz w:val="30"/>
                <w:szCs w:val="30"/>
              </w:rPr>
              <w:t>际得分</w:t>
            </w:r>
          </w:p>
        </w:tc>
        <w:tc>
          <w:tcPr>
            <w:tcW w:w="899" w:type="dxa"/>
            <w:tcBorders>
              <w:top w:val="single" w:color="000000" w:sz="12" w:space="0"/>
              <w:left w:val="single" w:color="000000" w:sz="12" w:space="0"/>
              <w:bottom w:val="single" w:color="000000" w:sz="12" w:space="0"/>
              <w:right w:val="single" w:color="000000" w:sz="12" w:space="0"/>
            </w:tcBorders>
            <w:vAlign w:val="top"/>
          </w:tcPr>
          <w:p w14:paraId="6D27DBC8">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2</w:t>
            </w:r>
          </w:p>
        </w:tc>
        <w:tc>
          <w:tcPr>
            <w:tcW w:w="1059" w:type="dxa"/>
            <w:tcBorders>
              <w:top w:val="single" w:color="000000" w:sz="12" w:space="0"/>
              <w:left w:val="single" w:color="000000" w:sz="12" w:space="0"/>
              <w:bottom w:val="single" w:color="000000" w:sz="12" w:space="0"/>
              <w:right w:val="single" w:color="000000" w:sz="12" w:space="0"/>
            </w:tcBorders>
            <w:vAlign w:val="top"/>
          </w:tcPr>
          <w:p w14:paraId="53C95D31">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1.5</w:t>
            </w:r>
          </w:p>
        </w:tc>
        <w:tc>
          <w:tcPr>
            <w:tcW w:w="1030" w:type="dxa"/>
            <w:tcBorders>
              <w:top w:val="single" w:color="000000" w:sz="12" w:space="0"/>
              <w:left w:val="single" w:color="000000" w:sz="12" w:space="0"/>
              <w:bottom w:val="single" w:color="000000" w:sz="12" w:space="0"/>
              <w:right w:val="single" w:color="000000" w:sz="12" w:space="0"/>
            </w:tcBorders>
            <w:vAlign w:val="top"/>
          </w:tcPr>
          <w:p w14:paraId="712932B7">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cs="宋体"/>
                <w:color w:val="000000" w:themeColor="text1"/>
                <w:sz w:val="30"/>
                <w:szCs w:val="30"/>
                <w:lang w:val="en-US" w:eastAsia="zh-CN"/>
                <w14:textFill>
                  <w14:solidFill>
                    <w14:schemeClr w14:val="tx1"/>
                  </w14:solidFill>
                </w14:textFill>
              </w:rPr>
              <w:t>2</w:t>
            </w:r>
          </w:p>
        </w:tc>
        <w:tc>
          <w:tcPr>
            <w:tcW w:w="914" w:type="dxa"/>
            <w:tcBorders>
              <w:top w:val="single" w:color="000000" w:sz="12" w:space="0"/>
              <w:left w:val="single" w:color="000000" w:sz="12" w:space="0"/>
              <w:bottom w:val="single" w:color="000000" w:sz="12" w:space="0"/>
              <w:right w:val="single" w:color="000000" w:sz="12" w:space="0"/>
            </w:tcBorders>
            <w:vAlign w:val="top"/>
          </w:tcPr>
          <w:p w14:paraId="668E5A36">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1.5</w:t>
            </w:r>
          </w:p>
        </w:tc>
        <w:tc>
          <w:tcPr>
            <w:tcW w:w="1291" w:type="dxa"/>
            <w:tcBorders>
              <w:top w:val="single" w:color="000000" w:sz="12" w:space="0"/>
              <w:left w:val="single" w:color="000000" w:sz="12" w:space="0"/>
              <w:bottom w:val="single" w:color="000000" w:sz="12" w:space="0"/>
              <w:right w:val="single" w:color="000000" w:sz="12" w:space="0"/>
            </w:tcBorders>
            <w:vAlign w:val="top"/>
          </w:tcPr>
          <w:p w14:paraId="33C35970">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cs="宋体"/>
                <w:color w:val="000000" w:themeColor="text1"/>
                <w:sz w:val="30"/>
                <w:szCs w:val="30"/>
                <w:lang w:val="en-US" w:eastAsia="zh-CN"/>
                <w14:textFill>
                  <w14:solidFill>
                    <w14:schemeClr w14:val="tx1"/>
                  </w14:solidFill>
                </w14:textFill>
              </w:rPr>
              <w:t>2</w:t>
            </w:r>
          </w:p>
        </w:tc>
        <w:tc>
          <w:tcPr>
            <w:tcW w:w="1470" w:type="dxa"/>
            <w:tcBorders>
              <w:top w:val="single" w:color="000000" w:sz="12" w:space="0"/>
              <w:left w:val="single" w:color="000000" w:sz="12" w:space="0"/>
              <w:bottom w:val="single" w:color="000000" w:sz="12" w:space="0"/>
              <w:right w:val="single" w:color="000000" w:sz="12" w:space="0"/>
            </w:tcBorders>
            <w:vAlign w:val="top"/>
          </w:tcPr>
          <w:p w14:paraId="22354F21">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cs="宋体"/>
                <w:color w:val="000000" w:themeColor="text1"/>
                <w:sz w:val="30"/>
                <w:szCs w:val="30"/>
                <w:lang w:val="en-US" w:eastAsia="zh-CN"/>
                <w14:textFill>
                  <w14:solidFill>
                    <w14:schemeClr w14:val="tx1"/>
                  </w14:solidFill>
                </w14:textFill>
              </w:rPr>
              <w:t>1</w:t>
            </w:r>
          </w:p>
        </w:tc>
      </w:tr>
    </w:tbl>
    <w:p w14:paraId="28C0899D">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决策指标主要评价项目立项的规范性、绩效目标设置的合理性、预算编制科学性和资金分配合理性，下设”项目立项”、"绩效目标”以及“资金投入“三个二级指标和”项目立项规范性”、“立项程序规范性”、“绩效目标合理性”、“绩效目标明确性”、“预算编制科学性”、“资金分配合理性”六个三级指标。对于投入指标的评价，主要采取查阅资料的方法，如查阅预算批复、单位202</w:t>
      </w:r>
      <w:r>
        <w:rPr>
          <w:rFonts w:hint="eastAsia"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年度绩效目标、项目资金拨付明细、项目资金支付明细、项目相关政策文件以了解项目绩效目标的规范性、预算执行情况，对项目投入涉及的指标打分。</w:t>
      </w:r>
    </w:p>
    <w:p w14:paraId="168EE7D1">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（二）项目过程情况。</w:t>
      </w:r>
    </w:p>
    <w:p w14:paraId="3762689D">
      <w:pPr>
        <w:pStyle w:val="2"/>
        <w:keepNext w:val="0"/>
        <w:keepLines w:val="0"/>
        <w:pageBreakBefore w:val="0"/>
        <w:widowControl w:val="0"/>
        <w:kinsoku/>
        <w:wordWrap/>
        <w:overflowPunct/>
        <w:topLinePunct w:val="0"/>
        <w:autoSpaceDE/>
        <w:autoSpaceDN/>
        <w:bidi w:val="0"/>
        <w:adjustRightInd/>
        <w:snapToGrid/>
        <w:spacing w:after="0" w:line="240" w:lineRule="auto"/>
        <w:ind w:left="0" w:firstLine="640" w:firstLineChars="200"/>
        <w:textAlignment w:val="auto"/>
        <w:rPr>
          <w:rFonts w:hint="eastAsia"/>
          <w:lang w:val="en-US" w:eastAsia="zh-CN"/>
        </w:rPr>
      </w:pPr>
      <w:r>
        <w:rPr>
          <w:rFonts w:hint="eastAsia" w:cs="仿宋_GB2312"/>
          <w:kern w:val="2"/>
          <w:sz w:val="32"/>
          <w:szCs w:val="32"/>
          <w:lang w:val="en-US" w:eastAsia="zh-CN" w:bidi="ar-SA"/>
        </w:rPr>
        <w:t>过程指标满分为25分，根据评价原则，过程评价得分为25分。</w:t>
      </w:r>
    </w:p>
    <w:tbl>
      <w:tblPr>
        <w:tblStyle w:val="8"/>
        <w:tblW w:w="8449" w:type="dxa"/>
        <w:jc w:val="center"/>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384"/>
        <w:gridCol w:w="1155"/>
        <w:gridCol w:w="1185"/>
        <w:gridCol w:w="1606"/>
        <w:gridCol w:w="1605"/>
        <w:gridCol w:w="1514"/>
      </w:tblGrid>
      <w:tr w14:paraId="66B25E0D">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19" w:hRule="atLeast"/>
          <w:jc w:val="center"/>
        </w:trPr>
        <w:tc>
          <w:tcPr>
            <w:tcW w:w="1384" w:type="dxa"/>
            <w:tcBorders>
              <w:left w:val="single" w:color="000000" w:sz="12" w:space="0"/>
              <w:bottom w:val="single" w:color="000000" w:sz="12" w:space="0"/>
              <w:right w:val="single" w:color="000000" w:sz="12" w:space="0"/>
            </w:tcBorders>
            <w:vAlign w:val="top"/>
          </w:tcPr>
          <w:p w14:paraId="495F2A3C">
            <w:pPr>
              <w:pStyle w:val="10"/>
              <w:keepNext w:val="0"/>
              <w:keepLines w:val="0"/>
              <w:pageBreakBefore w:val="0"/>
              <w:kinsoku/>
              <w:wordWrap/>
              <w:overflowPunct/>
              <w:topLinePunct w:val="0"/>
              <w:autoSpaceDE/>
              <w:autoSpaceDN/>
              <w:bidi w:val="0"/>
              <w:adjustRightInd/>
              <w:snapToGrid/>
              <w:spacing w:line="560" w:lineRule="exact"/>
              <w:ind w:left="0" w:right="0" w:firstLine="330" w:firstLineChars="100"/>
              <w:jc w:val="both"/>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2B2B2B"/>
                <w:w w:val="110"/>
                <w:sz w:val="30"/>
                <w:szCs w:val="30"/>
              </w:rPr>
              <w:t>项目</w:t>
            </w:r>
          </w:p>
        </w:tc>
        <w:tc>
          <w:tcPr>
            <w:tcW w:w="1155" w:type="dxa"/>
            <w:tcBorders>
              <w:top w:val="single" w:color="000000" w:sz="12" w:space="0"/>
              <w:left w:val="single" w:color="000000" w:sz="12" w:space="0"/>
              <w:bottom w:val="single" w:color="000000" w:sz="12" w:space="0"/>
              <w:right w:val="single" w:color="000000" w:sz="12" w:space="0"/>
            </w:tcBorders>
            <w:vAlign w:val="top"/>
          </w:tcPr>
          <w:p w14:paraId="77AFBAAB">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lang w:val="en-US" w:eastAsia="zh-CN"/>
              </w:rPr>
            </w:pPr>
            <w:r>
              <w:rPr>
                <w:rFonts w:hint="eastAsia"/>
                <w:lang w:val="en-US" w:eastAsia="zh-CN"/>
              </w:rPr>
              <w:t>资金到位率</w:t>
            </w:r>
          </w:p>
        </w:tc>
        <w:tc>
          <w:tcPr>
            <w:tcW w:w="1185" w:type="dxa"/>
            <w:tcBorders>
              <w:top w:val="single" w:color="000000" w:sz="12" w:space="0"/>
              <w:left w:val="single" w:color="000000" w:sz="12" w:space="0"/>
              <w:bottom w:val="single" w:color="000000" w:sz="12" w:space="0"/>
              <w:right w:val="single" w:color="000000" w:sz="12" w:space="0"/>
            </w:tcBorders>
            <w:vAlign w:val="top"/>
          </w:tcPr>
          <w:p w14:paraId="5D3566F3">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asciiTheme="minorEastAsia" w:hAnsiTheme="minorEastAsia" w:eastAsiaTheme="minorEastAsia" w:cstheme="minorEastAsia"/>
                <w:szCs w:val="30"/>
                <w:lang w:val="en-US" w:eastAsia="zh-CN"/>
              </w:rPr>
            </w:pPr>
            <w:r>
              <w:rPr>
                <w:rFonts w:hint="eastAsia" w:asciiTheme="minorEastAsia" w:hAnsiTheme="minorEastAsia" w:eastAsiaTheme="minorEastAsia" w:cstheme="minorEastAsia"/>
                <w:szCs w:val="30"/>
                <w:lang w:val="en-US" w:eastAsia="zh-CN"/>
              </w:rPr>
              <w:t>预算执行率</w:t>
            </w:r>
          </w:p>
        </w:tc>
        <w:tc>
          <w:tcPr>
            <w:tcW w:w="1606" w:type="dxa"/>
            <w:tcBorders>
              <w:top w:val="single" w:color="000000" w:sz="12" w:space="0"/>
              <w:left w:val="single" w:color="000000" w:sz="12" w:space="0"/>
              <w:bottom w:val="single" w:color="000000" w:sz="12" w:space="0"/>
              <w:right w:val="single" w:color="000000" w:sz="12" w:space="0"/>
            </w:tcBorders>
            <w:vAlign w:val="top"/>
          </w:tcPr>
          <w:p w14:paraId="6477AC17">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lang w:val="en-US" w:eastAsia="zh-CN"/>
              </w:rPr>
            </w:pPr>
            <w:r>
              <w:rPr>
                <w:rFonts w:hint="eastAsia"/>
                <w:lang w:val="en-US" w:eastAsia="zh-CN"/>
              </w:rPr>
              <w:t>资金使用合规率</w:t>
            </w:r>
          </w:p>
        </w:tc>
        <w:tc>
          <w:tcPr>
            <w:tcW w:w="1605" w:type="dxa"/>
            <w:tcBorders>
              <w:top w:val="single" w:color="000000" w:sz="12" w:space="0"/>
              <w:left w:val="single" w:color="000000" w:sz="12" w:space="0"/>
              <w:bottom w:val="single" w:color="000000" w:sz="12" w:space="0"/>
              <w:right w:val="single" w:color="000000" w:sz="12" w:space="0"/>
            </w:tcBorders>
            <w:vAlign w:val="top"/>
          </w:tcPr>
          <w:p w14:paraId="7A2920AA">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lang w:val="en-US" w:eastAsia="zh-CN"/>
              </w:rPr>
            </w:pPr>
            <w:r>
              <w:rPr>
                <w:rFonts w:hint="eastAsia"/>
                <w:lang w:val="en-US" w:eastAsia="zh-CN"/>
              </w:rPr>
              <w:t>管理制度健全性</w:t>
            </w:r>
          </w:p>
        </w:tc>
        <w:tc>
          <w:tcPr>
            <w:tcW w:w="1514" w:type="dxa"/>
            <w:tcBorders>
              <w:top w:val="single" w:color="000000" w:sz="12" w:space="0"/>
              <w:left w:val="single" w:color="000000" w:sz="12" w:space="0"/>
              <w:bottom w:val="single" w:color="000000" w:sz="12" w:space="0"/>
              <w:right w:val="single" w:color="000000" w:sz="12" w:space="0"/>
            </w:tcBorders>
            <w:vAlign w:val="top"/>
          </w:tcPr>
          <w:p w14:paraId="1FB9D8CA">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lang w:val="en-US" w:eastAsia="zh-CN"/>
              </w:rPr>
            </w:pPr>
            <w:r>
              <w:rPr>
                <w:rFonts w:hint="eastAsia"/>
                <w:lang w:val="en-US" w:eastAsia="zh-CN"/>
              </w:rPr>
              <w:t>制度执行有效性</w:t>
            </w:r>
          </w:p>
        </w:tc>
      </w:tr>
      <w:tr w14:paraId="6BA9AE8D">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1" w:hRule="atLeast"/>
          <w:jc w:val="center"/>
        </w:trPr>
        <w:tc>
          <w:tcPr>
            <w:tcW w:w="1384" w:type="dxa"/>
            <w:tcBorders>
              <w:top w:val="single" w:color="000000" w:sz="12" w:space="0"/>
              <w:left w:val="single" w:color="000000" w:sz="12" w:space="0"/>
              <w:bottom w:val="single" w:color="000000" w:sz="12" w:space="0"/>
              <w:right w:val="single" w:color="000000" w:sz="12" w:space="0"/>
            </w:tcBorders>
            <w:vAlign w:val="top"/>
          </w:tcPr>
          <w:p w14:paraId="310CF514">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2B2B2B"/>
                <w:w w:val="110"/>
                <w:sz w:val="30"/>
                <w:szCs w:val="30"/>
              </w:rPr>
              <w:t>标准分值</w:t>
            </w:r>
          </w:p>
        </w:tc>
        <w:tc>
          <w:tcPr>
            <w:tcW w:w="1155" w:type="dxa"/>
            <w:tcBorders>
              <w:top w:val="single" w:color="000000" w:sz="12" w:space="0"/>
              <w:left w:val="single" w:color="000000" w:sz="12" w:space="0"/>
              <w:bottom w:val="single" w:color="000000" w:sz="12" w:space="0"/>
              <w:right w:val="single" w:color="000000" w:sz="12" w:space="0"/>
            </w:tcBorders>
            <w:vAlign w:val="top"/>
          </w:tcPr>
          <w:p w14:paraId="4E90B37C">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1185" w:type="dxa"/>
            <w:tcBorders>
              <w:top w:val="single" w:color="000000" w:sz="12" w:space="0"/>
              <w:left w:val="single" w:color="000000" w:sz="12" w:space="0"/>
              <w:bottom w:val="single" w:color="000000" w:sz="12" w:space="0"/>
              <w:right w:val="single" w:color="000000" w:sz="12" w:space="0"/>
            </w:tcBorders>
            <w:vAlign w:val="top"/>
          </w:tcPr>
          <w:p w14:paraId="4F1E58CC">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8</w:t>
            </w:r>
          </w:p>
        </w:tc>
        <w:tc>
          <w:tcPr>
            <w:tcW w:w="1606" w:type="dxa"/>
            <w:tcBorders>
              <w:top w:val="single" w:color="000000" w:sz="12" w:space="0"/>
              <w:left w:val="single" w:color="000000" w:sz="12" w:space="0"/>
              <w:bottom w:val="single" w:color="000000" w:sz="12" w:space="0"/>
              <w:right w:val="single" w:color="000000" w:sz="12" w:space="0"/>
            </w:tcBorders>
            <w:vAlign w:val="top"/>
          </w:tcPr>
          <w:p w14:paraId="5D42590D">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4</w:t>
            </w:r>
          </w:p>
        </w:tc>
        <w:tc>
          <w:tcPr>
            <w:tcW w:w="1605" w:type="dxa"/>
            <w:tcBorders>
              <w:top w:val="single" w:color="000000" w:sz="12" w:space="0"/>
              <w:left w:val="single" w:color="000000" w:sz="12" w:space="0"/>
              <w:bottom w:val="single" w:color="000000" w:sz="12" w:space="0"/>
              <w:right w:val="single" w:color="000000" w:sz="12" w:space="0"/>
            </w:tcBorders>
            <w:vAlign w:val="top"/>
          </w:tcPr>
          <w:p w14:paraId="07018717">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4</w:t>
            </w:r>
          </w:p>
        </w:tc>
        <w:tc>
          <w:tcPr>
            <w:tcW w:w="1514" w:type="dxa"/>
            <w:tcBorders>
              <w:top w:val="single" w:color="000000" w:sz="12" w:space="0"/>
              <w:left w:val="single" w:color="000000" w:sz="12" w:space="0"/>
              <w:bottom w:val="single" w:color="000000" w:sz="12" w:space="0"/>
              <w:right w:val="single" w:color="000000" w:sz="12" w:space="0"/>
            </w:tcBorders>
            <w:vAlign w:val="top"/>
          </w:tcPr>
          <w:p w14:paraId="694413DF">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4</w:t>
            </w:r>
          </w:p>
        </w:tc>
      </w:tr>
      <w:tr w14:paraId="32AEFCDE">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19" w:hRule="atLeast"/>
          <w:jc w:val="center"/>
        </w:trPr>
        <w:tc>
          <w:tcPr>
            <w:tcW w:w="1384" w:type="dxa"/>
            <w:tcBorders>
              <w:top w:val="single" w:color="000000" w:sz="12" w:space="0"/>
              <w:left w:val="single" w:color="000000" w:sz="12" w:space="0"/>
              <w:bottom w:val="single" w:color="000000" w:sz="12" w:space="0"/>
              <w:right w:val="single" w:color="000000" w:sz="12" w:space="0"/>
            </w:tcBorders>
            <w:vAlign w:val="top"/>
          </w:tcPr>
          <w:p w14:paraId="49E0E902">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444444"/>
                <w:w w:val="110"/>
                <w:sz w:val="30"/>
                <w:szCs w:val="30"/>
              </w:rPr>
              <w:t>实</w:t>
            </w:r>
            <w:r>
              <w:rPr>
                <w:rFonts w:hint="eastAsia" w:asciiTheme="minorEastAsia" w:hAnsiTheme="minorEastAsia" w:eastAsiaTheme="minorEastAsia" w:cstheme="minorEastAsia"/>
                <w:color w:val="2B2B2B"/>
                <w:w w:val="110"/>
                <w:sz w:val="30"/>
                <w:szCs w:val="30"/>
              </w:rPr>
              <w:t>际得分</w:t>
            </w:r>
          </w:p>
        </w:tc>
        <w:tc>
          <w:tcPr>
            <w:tcW w:w="1155" w:type="dxa"/>
            <w:tcBorders>
              <w:top w:val="single" w:color="000000" w:sz="12" w:space="0"/>
              <w:left w:val="single" w:color="000000" w:sz="12" w:space="0"/>
              <w:bottom w:val="single" w:color="000000" w:sz="12" w:space="0"/>
              <w:right w:val="single" w:color="000000" w:sz="12" w:space="0"/>
            </w:tcBorders>
            <w:vAlign w:val="top"/>
          </w:tcPr>
          <w:p w14:paraId="5CCF2A62">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1185" w:type="dxa"/>
            <w:tcBorders>
              <w:top w:val="single" w:color="000000" w:sz="12" w:space="0"/>
              <w:left w:val="single" w:color="000000" w:sz="12" w:space="0"/>
              <w:bottom w:val="single" w:color="000000" w:sz="12" w:space="0"/>
              <w:right w:val="single" w:color="000000" w:sz="12" w:space="0"/>
            </w:tcBorders>
            <w:vAlign w:val="top"/>
          </w:tcPr>
          <w:p w14:paraId="75602A3D">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8</w:t>
            </w:r>
          </w:p>
        </w:tc>
        <w:tc>
          <w:tcPr>
            <w:tcW w:w="1606" w:type="dxa"/>
            <w:tcBorders>
              <w:top w:val="single" w:color="000000" w:sz="12" w:space="0"/>
              <w:left w:val="single" w:color="000000" w:sz="12" w:space="0"/>
              <w:bottom w:val="single" w:color="000000" w:sz="12" w:space="0"/>
              <w:right w:val="single" w:color="000000" w:sz="12" w:space="0"/>
            </w:tcBorders>
            <w:vAlign w:val="top"/>
          </w:tcPr>
          <w:p w14:paraId="5D1DD921">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4</w:t>
            </w:r>
          </w:p>
        </w:tc>
        <w:tc>
          <w:tcPr>
            <w:tcW w:w="1605" w:type="dxa"/>
            <w:tcBorders>
              <w:top w:val="single" w:color="000000" w:sz="12" w:space="0"/>
              <w:left w:val="single" w:color="000000" w:sz="12" w:space="0"/>
              <w:bottom w:val="single" w:color="000000" w:sz="12" w:space="0"/>
              <w:right w:val="single" w:color="000000" w:sz="12" w:space="0"/>
            </w:tcBorders>
            <w:vAlign w:val="top"/>
          </w:tcPr>
          <w:p w14:paraId="45255EBE">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4</w:t>
            </w:r>
          </w:p>
        </w:tc>
        <w:tc>
          <w:tcPr>
            <w:tcW w:w="1514" w:type="dxa"/>
            <w:tcBorders>
              <w:top w:val="single" w:color="000000" w:sz="12" w:space="0"/>
              <w:left w:val="single" w:color="000000" w:sz="12" w:space="0"/>
              <w:bottom w:val="single" w:color="000000" w:sz="12" w:space="0"/>
              <w:right w:val="single" w:color="000000" w:sz="12" w:space="0"/>
            </w:tcBorders>
            <w:vAlign w:val="top"/>
          </w:tcPr>
          <w:p w14:paraId="21BA6316">
            <w:pPr>
              <w:pStyle w:val="10"/>
              <w:keepNext w:val="0"/>
              <w:keepLines w:val="0"/>
              <w:pageBreakBefore w:val="0"/>
              <w:kinsoku/>
              <w:wordWrap/>
              <w:overflowPunct/>
              <w:topLinePunct w:val="0"/>
              <w:autoSpaceDE/>
              <w:autoSpaceDN/>
              <w:bidi w:val="0"/>
              <w:adjustRightInd/>
              <w:snapToGrid/>
              <w:spacing w:line="560" w:lineRule="exact"/>
              <w:ind w:left="0" w:right="0" w:firstLine="0" w:firstLineChars="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4</w:t>
            </w:r>
          </w:p>
        </w:tc>
      </w:tr>
    </w:tbl>
    <w:p w14:paraId="46326202">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rPr>
      </w:pPr>
      <w:r>
        <w:rPr>
          <w:rFonts w:hint="eastAsia" w:ascii="仿宋_GB2312" w:hAnsi="仿宋_GB2312" w:eastAsia="仿宋_GB2312" w:cs="仿宋_GB2312"/>
          <w:kern w:val="2"/>
          <w:sz w:val="32"/>
          <w:szCs w:val="32"/>
          <w:lang w:val="en-US" w:eastAsia="zh-CN" w:bidi="ar-SA"/>
        </w:rPr>
        <w:t>过程指标主要评价对项目预算控制及资产管理情况，下设“资金管理”和”组织实施“两个二级指标，再细分五个三级指标，包括“预算执行率”、“资金到位及时率”、“资金使用合规性”、“管理制度健全性”、“制度执行有效性”。对于过程指标的评价，主要采取了查阅资料、访谈座谈、抽查记录等方式，查看了项目资金的收付款凭证，核查其账务处理是否符合规范、项目质量是否可控、监管是否有效、项目开支是否严格按照规定履行手续等情况。对项目过程涉及的指标进行打分。</w:t>
      </w:r>
    </w:p>
    <w:p w14:paraId="7481D3F2">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（三）项目产出情况。</w:t>
      </w:r>
    </w:p>
    <w:p w14:paraId="6884F1D0">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产出指标满分为40分，根据评价原则，产出评价得分40分。</w:t>
      </w:r>
    </w:p>
    <w:tbl>
      <w:tblPr>
        <w:tblStyle w:val="8"/>
        <w:tblW w:w="5211"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69"/>
        <w:gridCol w:w="1035"/>
        <w:gridCol w:w="956"/>
        <w:gridCol w:w="1078"/>
        <w:gridCol w:w="1055"/>
        <w:gridCol w:w="949"/>
        <w:gridCol w:w="1023"/>
        <w:gridCol w:w="1024"/>
      </w:tblGrid>
      <w:tr w14:paraId="3CEA890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5" w:hRule="atLeast"/>
        </w:trPr>
        <w:tc>
          <w:tcPr>
            <w:tcW w:w="902" w:type="pct"/>
            <w:vMerge w:val="restart"/>
          </w:tcPr>
          <w:p w14:paraId="52248008">
            <w:pPr>
              <w:pStyle w:val="10"/>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Theme="minorEastAsia" w:hAnsiTheme="minorEastAsia" w:eastAsiaTheme="minorEastAsia" w:cstheme="minorEastAsia"/>
                <w:sz w:val="30"/>
                <w:szCs w:val="30"/>
              </w:rPr>
            </w:pPr>
          </w:p>
          <w:p w14:paraId="3D25AFCF">
            <w:pPr>
              <w:pStyle w:val="10"/>
              <w:keepNext w:val="0"/>
              <w:keepLines w:val="0"/>
              <w:pageBreakBefore w:val="0"/>
              <w:kinsoku/>
              <w:wordWrap/>
              <w:overflowPunct/>
              <w:topLinePunct w:val="0"/>
              <w:autoSpaceDE/>
              <w:autoSpaceDN/>
              <w:bidi w:val="0"/>
              <w:adjustRightInd/>
              <w:snapToGrid/>
              <w:spacing w:line="560" w:lineRule="exact"/>
              <w:ind w:left="0"/>
              <w:jc w:val="center"/>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2F2F2F"/>
                <w:w w:val="110"/>
                <w:sz w:val="30"/>
                <w:szCs w:val="30"/>
              </w:rPr>
              <w:t>项目</w:t>
            </w:r>
          </w:p>
        </w:tc>
        <w:tc>
          <w:tcPr>
            <w:tcW w:w="1145" w:type="pct"/>
            <w:gridSpan w:val="2"/>
          </w:tcPr>
          <w:p w14:paraId="1C5C4BAD">
            <w:pPr>
              <w:pStyle w:val="10"/>
              <w:keepNext w:val="0"/>
              <w:keepLines w:val="0"/>
              <w:pageBreakBefore w:val="0"/>
              <w:kinsoku/>
              <w:wordWrap/>
              <w:overflowPunct/>
              <w:topLinePunct w:val="0"/>
              <w:autoSpaceDE/>
              <w:autoSpaceDN/>
              <w:bidi w:val="0"/>
              <w:adjustRightInd/>
              <w:snapToGrid/>
              <w:spacing w:line="560" w:lineRule="exact"/>
              <w:textAlignment w:val="auto"/>
              <w:rPr>
                <w:rFonts w:hint="eastAsia" w:eastAsia="宋体"/>
                <w:lang w:val="en-US" w:eastAsia="zh-CN"/>
              </w:rPr>
            </w:pPr>
            <w:r>
              <w:rPr>
                <w:rFonts w:hint="eastAsia"/>
                <w:lang w:val="en-US" w:eastAsia="zh-CN"/>
              </w:rPr>
              <w:t>数量指标</w:t>
            </w:r>
          </w:p>
        </w:tc>
        <w:tc>
          <w:tcPr>
            <w:tcW w:w="1227" w:type="pct"/>
            <w:gridSpan w:val="2"/>
          </w:tcPr>
          <w:p w14:paraId="3007F9D4">
            <w:pPr>
              <w:pStyle w:val="10"/>
              <w:keepNext w:val="0"/>
              <w:keepLines w:val="0"/>
              <w:pageBreakBefore w:val="0"/>
              <w:kinsoku/>
              <w:wordWrap/>
              <w:overflowPunct/>
              <w:topLinePunct w:val="0"/>
              <w:autoSpaceDE/>
              <w:autoSpaceDN/>
              <w:bidi w:val="0"/>
              <w:adjustRightInd/>
              <w:snapToGrid/>
              <w:spacing w:line="560" w:lineRule="exact"/>
              <w:textAlignment w:val="auto"/>
              <w:rPr>
                <w:rFonts w:hint="default" w:eastAsia="宋体"/>
                <w:lang w:val="en-US" w:eastAsia="zh-CN"/>
              </w:rPr>
            </w:pPr>
            <w:r>
              <w:rPr>
                <w:rFonts w:hint="eastAsia"/>
                <w:lang w:val="en-US" w:eastAsia="zh-CN"/>
              </w:rPr>
              <w:t>质量指标</w:t>
            </w:r>
          </w:p>
        </w:tc>
        <w:tc>
          <w:tcPr>
            <w:tcW w:w="1134" w:type="pct"/>
            <w:gridSpan w:val="2"/>
          </w:tcPr>
          <w:p w14:paraId="7F40FFC1">
            <w:pPr>
              <w:pStyle w:val="10"/>
              <w:keepNext w:val="0"/>
              <w:keepLines w:val="0"/>
              <w:pageBreakBefore w:val="0"/>
              <w:kinsoku/>
              <w:wordWrap/>
              <w:overflowPunct/>
              <w:topLinePunct w:val="0"/>
              <w:autoSpaceDE/>
              <w:autoSpaceDN/>
              <w:bidi w:val="0"/>
              <w:adjustRightInd/>
              <w:snapToGrid/>
              <w:spacing w:line="560" w:lineRule="exact"/>
              <w:jc w:val="center"/>
              <w:textAlignment w:val="auto"/>
              <w:rPr>
                <w:rFonts w:hint="eastAsia"/>
                <w:lang w:val="en-US" w:eastAsia="zh-CN"/>
              </w:rPr>
            </w:pPr>
            <w:r>
              <w:rPr>
                <w:rFonts w:hint="eastAsia"/>
                <w:lang w:val="en-US" w:eastAsia="zh-CN"/>
              </w:rPr>
              <w:t>时效指标</w:t>
            </w:r>
          </w:p>
        </w:tc>
        <w:tc>
          <w:tcPr>
            <w:tcW w:w="589" w:type="pct"/>
          </w:tcPr>
          <w:p w14:paraId="640E7D0D">
            <w:pPr>
              <w:pStyle w:val="10"/>
              <w:keepNext w:val="0"/>
              <w:keepLines w:val="0"/>
              <w:pageBreakBefore w:val="0"/>
              <w:kinsoku/>
              <w:wordWrap/>
              <w:overflowPunct/>
              <w:topLinePunct w:val="0"/>
              <w:autoSpaceDE/>
              <w:autoSpaceDN/>
              <w:bidi w:val="0"/>
              <w:adjustRightInd/>
              <w:snapToGrid/>
              <w:spacing w:line="560" w:lineRule="exact"/>
              <w:textAlignment w:val="auto"/>
              <w:rPr>
                <w:rFonts w:hint="default"/>
                <w:lang w:val="en-US" w:eastAsia="zh-CN"/>
              </w:rPr>
            </w:pPr>
            <w:r>
              <w:rPr>
                <w:rFonts w:hint="eastAsia"/>
                <w:lang w:val="en-US" w:eastAsia="zh-CN"/>
              </w:rPr>
              <w:t>成本指标</w:t>
            </w:r>
          </w:p>
        </w:tc>
      </w:tr>
      <w:tr w14:paraId="14CB206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9" w:hRule="atLeast"/>
        </w:trPr>
        <w:tc>
          <w:tcPr>
            <w:tcW w:w="902" w:type="pct"/>
            <w:vMerge w:val="continue"/>
            <w:tcBorders>
              <w:top w:val="nil"/>
            </w:tcBorders>
          </w:tcPr>
          <w:p w14:paraId="455EB228">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Theme="minorEastAsia" w:hAnsiTheme="minorEastAsia" w:eastAsiaTheme="minorEastAsia" w:cstheme="minorEastAsia"/>
                <w:sz w:val="30"/>
                <w:szCs w:val="30"/>
              </w:rPr>
            </w:pPr>
          </w:p>
        </w:tc>
        <w:tc>
          <w:tcPr>
            <w:tcW w:w="595" w:type="pct"/>
          </w:tcPr>
          <w:p w14:paraId="3217865D">
            <w:pPr>
              <w:pStyle w:val="10"/>
              <w:keepNext w:val="0"/>
              <w:keepLines w:val="0"/>
              <w:pageBreakBefore w:val="0"/>
              <w:kinsoku/>
              <w:wordWrap/>
              <w:overflowPunct/>
              <w:topLinePunct w:val="0"/>
              <w:autoSpaceDE/>
              <w:autoSpaceDN/>
              <w:bidi w:val="0"/>
              <w:adjustRightInd/>
              <w:snapToGrid/>
              <w:spacing w:line="240" w:lineRule="auto"/>
              <w:textAlignment w:val="auto"/>
              <w:rPr>
                <w:rFonts w:hint="default" w:eastAsia="宋体"/>
                <w:lang w:val="en-US" w:eastAsia="zh-CN"/>
              </w:rPr>
            </w:pPr>
            <w:r>
              <w:rPr>
                <w:rFonts w:hint="eastAsia"/>
                <w:lang w:eastAsia="zh-CN"/>
              </w:rPr>
              <w:t>图斑摸排</w:t>
            </w:r>
            <w:r>
              <w:rPr>
                <w:rFonts w:hint="eastAsia"/>
                <w:lang w:val="en-US" w:eastAsia="zh-CN"/>
              </w:rPr>
              <w:t>量</w:t>
            </w:r>
          </w:p>
        </w:tc>
        <w:tc>
          <w:tcPr>
            <w:tcW w:w="550" w:type="pct"/>
          </w:tcPr>
          <w:p w14:paraId="24290315">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eastAsia="宋体"/>
                <w:lang w:val="en-US" w:eastAsia="zh-CN"/>
              </w:rPr>
            </w:pPr>
            <w:r>
              <w:rPr>
                <w:rFonts w:hint="eastAsia"/>
                <w:lang w:eastAsia="zh-CN"/>
              </w:rPr>
              <w:t>房屋鉴定</w:t>
            </w:r>
            <w:r>
              <w:rPr>
                <w:rFonts w:hint="eastAsia"/>
                <w:lang w:val="en-US" w:eastAsia="zh-CN"/>
              </w:rPr>
              <w:t>量</w:t>
            </w:r>
          </w:p>
        </w:tc>
        <w:tc>
          <w:tcPr>
            <w:tcW w:w="620" w:type="pct"/>
          </w:tcPr>
          <w:p w14:paraId="51FD619A">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eastAsia="宋体"/>
                <w:lang w:val="en-US" w:eastAsia="zh-CN"/>
              </w:rPr>
            </w:pPr>
            <w:r>
              <w:rPr>
                <w:rFonts w:hint="eastAsia"/>
              </w:rPr>
              <w:t>全域</w:t>
            </w:r>
            <w:r>
              <w:rPr>
                <w:rFonts w:hint="eastAsia"/>
                <w:lang w:eastAsia="zh-CN"/>
              </w:rPr>
              <w:t>摸排覆盖</w:t>
            </w:r>
            <w:r>
              <w:rPr>
                <w:rFonts w:hint="eastAsia"/>
                <w:lang w:val="en-US" w:eastAsia="zh-CN"/>
              </w:rPr>
              <w:t>率</w:t>
            </w:r>
          </w:p>
        </w:tc>
        <w:tc>
          <w:tcPr>
            <w:tcW w:w="607" w:type="pct"/>
          </w:tcPr>
          <w:p w14:paraId="502FED6D">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eastAsia="宋体"/>
                <w:lang w:val="en-US" w:eastAsia="zh-CN"/>
              </w:rPr>
            </w:pPr>
            <w:r>
              <w:rPr>
                <w:rFonts w:hint="eastAsia"/>
                <w:lang w:eastAsia="zh-CN"/>
              </w:rPr>
              <w:t>检测结果准确</w:t>
            </w:r>
            <w:r>
              <w:rPr>
                <w:rFonts w:hint="eastAsia"/>
                <w:lang w:val="en-US" w:eastAsia="zh-CN"/>
              </w:rPr>
              <w:t>率</w:t>
            </w:r>
          </w:p>
        </w:tc>
        <w:tc>
          <w:tcPr>
            <w:tcW w:w="546" w:type="pct"/>
            <w:vAlign w:val="top"/>
          </w:tcPr>
          <w:p w14:paraId="5934CF85">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kern w:val="2"/>
                <w:sz w:val="21"/>
                <w:szCs w:val="24"/>
                <w:lang w:val="en-US" w:eastAsia="zh-CN" w:bidi="ar-SA"/>
              </w:rPr>
            </w:pPr>
            <w:r>
              <w:rPr>
                <w:rFonts w:hint="eastAsia"/>
                <w:lang w:eastAsia="zh-CN"/>
              </w:rPr>
              <w:t>图斑摸排</w:t>
            </w:r>
            <w:r>
              <w:rPr>
                <w:rFonts w:hint="eastAsia"/>
              </w:rPr>
              <w:t>及时性</w:t>
            </w:r>
          </w:p>
        </w:tc>
        <w:tc>
          <w:tcPr>
            <w:tcW w:w="588" w:type="pct"/>
            <w:vAlign w:val="top"/>
          </w:tcPr>
          <w:p w14:paraId="581E9B62">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kern w:val="2"/>
                <w:sz w:val="21"/>
                <w:szCs w:val="24"/>
                <w:lang w:val="en-US" w:eastAsia="zh-CN" w:bidi="ar-SA"/>
              </w:rPr>
            </w:pPr>
            <w:r>
              <w:rPr>
                <w:rFonts w:hint="eastAsia"/>
                <w:lang w:eastAsia="zh-CN"/>
              </w:rPr>
              <w:t>房屋鉴定</w:t>
            </w:r>
            <w:r>
              <w:rPr>
                <w:rFonts w:hint="eastAsia"/>
              </w:rPr>
              <w:t>及时性</w:t>
            </w:r>
          </w:p>
        </w:tc>
        <w:tc>
          <w:tcPr>
            <w:tcW w:w="589" w:type="pct"/>
          </w:tcPr>
          <w:p w14:paraId="13CDA1C5">
            <w:pPr>
              <w:pStyle w:val="10"/>
              <w:keepNext w:val="0"/>
              <w:keepLines w:val="0"/>
              <w:pageBreakBefore w:val="0"/>
              <w:kinsoku/>
              <w:wordWrap/>
              <w:overflowPunct/>
              <w:topLinePunct w:val="0"/>
              <w:autoSpaceDE/>
              <w:autoSpaceDN/>
              <w:bidi w:val="0"/>
              <w:adjustRightInd/>
              <w:snapToGrid/>
              <w:spacing w:line="240" w:lineRule="auto"/>
              <w:textAlignment w:val="auto"/>
              <w:rPr>
                <w:rFonts w:hint="default" w:eastAsia="宋体"/>
                <w:lang w:val="en-US" w:eastAsia="zh-CN"/>
              </w:rPr>
            </w:pPr>
            <w:r>
              <w:rPr>
                <w:rFonts w:hint="eastAsia"/>
                <w:lang w:val="en-US" w:eastAsia="zh-CN"/>
              </w:rPr>
              <w:t>成本控制</w:t>
            </w:r>
          </w:p>
        </w:tc>
      </w:tr>
      <w:tr w14:paraId="68C9411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4" w:hRule="atLeast"/>
        </w:trPr>
        <w:tc>
          <w:tcPr>
            <w:tcW w:w="902" w:type="pct"/>
          </w:tcPr>
          <w:p w14:paraId="1B7AEF19">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2F2F2F"/>
                <w:w w:val="110"/>
                <w:sz w:val="30"/>
                <w:szCs w:val="30"/>
              </w:rPr>
              <w:t>标准分值</w:t>
            </w:r>
          </w:p>
        </w:tc>
        <w:tc>
          <w:tcPr>
            <w:tcW w:w="595" w:type="pct"/>
          </w:tcPr>
          <w:p w14:paraId="44EE3CC4">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550" w:type="pct"/>
          </w:tcPr>
          <w:p w14:paraId="2E731C86">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10</w:t>
            </w:r>
          </w:p>
        </w:tc>
        <w:tc>
          <w:tcPr>
            <w:tcW w:w="620" w:type="pct"/>
          </w:tcPr>
          <w:p w14:paraId="4FCFE888">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607" w:type="pct"/>
          </w:tcPr>
          <w:p w14:paraId="790DE13F">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t>5</w:t>
            </w:r>
          </w:p>
        </w:tc>
        <w:tc>
          <w:tcPr>
            <w:tcW w:w="546" w:type="pct"/>
            <w:vAlign w:val="top"/>
          </w:tcPr>
          <w:p w14:paraId="61DAEC8D">
            <w:pPr>
              <w:pStyle w:val="10"/>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Theme="minorEastAsia" w:hAnsiTheme="minorEastAsia" w:eastAsiaTheme="minorEastAsia" w:cstheme="minorEastAsia"/>
                <w:color w:val="000000" w:themeColor="text1"/>
                <w:kern w:val="2"/>
                <w:sz w:val="30"/>
                <w:szCs w:val="30"/>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588" w:type="pct"/>
            <w:vAlign w:val="top"/>
          </w:tcPr>
          <w:p w14:paraId="5968B33A">
            <w:pPr>
              <w:pStyle w:val="10"/>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default" w:asciiTheme="minorEastAsia" w:hAnsiTheme="minorEastAsia" w:eastAsiaTheme="minorEastAsia" w:cstheme="minorEastAsia"/>
                <w:color w:val="000000" w:themeColor="text1"/>
                <w:w w:val="108"/>
                <w:kern w:val="2"/>
                <w:sz w:val="30"/>
                <w:szCs w:val="30"/>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w w:val="108"/>
                <w:kern w:val="2"/>
                <w:sz w:val="30"/>
                <w:szCs w:val="30"/>
                <w:lang w:val="en-US" w:eastAsia="zh-CN" w:bidi="ar-SA"/>
                <w14:textFill>
                  <w14:solidFill>
                    <w14:schemeClr w14:val="tx1"/>
                  </w14:solidFill>
                </w14:textFill>
              </w:rPr>
              <w:t>5</w:t>
            </w:r>
          </w:p>
        </w:tc>
        <w:tc>
          <w:tcPr>
            <w:tcW w:w="589" w:type="pct"/>
          </w:tcPr>
          <w:p w14:paraId="62AB2C90">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r>
      <w:tr w14:paraId="4746F45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9" w:hRule="atLeast"/>
        </w:trPr>
        <w:tc>
          <w:tcPr>
            <w:tcW w:w="902" w:type="pct"/>
          </w:tcPr>
          <w:p w14:paraId="71882186">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2F2F2F"/>
                <w:w w:val="105"/>
                <w:sz w:val="30"/>
                <w:szCs w:val="30"/>
              </w:rPr>
              <w:t>实际得分</w:t>
            </w:r>
          </w:p>
        </w:tc>
        <w:tc>
          <w:tcPr>
            <w:tcW w:w="595" w:type="pct"/>
          </w:tcPr>
          <w:p w14:paraId="742A24B8">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550" w:type="pct"/>
          </w:tcPr>
          <w:p w14:paraId="081C6343">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10</w:t>
            </w:r>
          </w:p>
        </w:tc>
        <w:tc>
          <w:tcPr>
            <w:tcW w:w="620" w:type="pct"/>
          </w:tcPr>
          <w:p w14:paraId="26AB3405">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607" w:type="pct"/>
          </w:tcPr>
          <w:p w14:paraId="0BA01B19">
            <w:pPr>
              <w:pStyle w:val="10"/>
              <w:keepNext w:val="0"/>
              <w:keepLines w:val="0"/>
              <w:pageBreakBefore w:val="0"/>
              <w:kinsoku/>
              <w:wordWrap/>
              <w:overflowPunct/>
              <w:topLinePunct w:val="0"/>
              <w:autoSpaceDE/>
              <w:autoSpaceDN/>
              <w:bidi w:val="0"/>
              <w:adjustRightInd/>
              <w:snapToGrid/>
              <w:spacing w:line="560" w:lineRule="exact"/>
              <w:ind w:left="0" w:right="0"/>
              <w:jc w:val="center"/>
              <w:textAlignment w:val="auto"/>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t>5</w:t>
            </w:r>
          </w:p>
        </w:tc>
        <w:tc>
          <w:tcPr>
            <w:tcW w:w="546" w:type="pct"/>
            <w:vAlign w:val="top"/>
          </w:tcPr>
          <w:p w14:paraId="512D55B6">
            <w:pPr>
              <w:pStyle w:val="10"/>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Theme="minorEastAsia" w:hAnsiTheme="minorEastAsia" w:eastAsiaTheme="minorEastAsia" w:cstheme="minorEastAsia"/>
                <w:color w:val="000000" w:themeColor="text1"/>
                <w:kern w:val="2"/>
                <w:sz w:val="30"/>
                <w:szCs w:val="30"/>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c>
          <w:tcPr>
            <w:tcW w:w="588" w:type="pct"/>
            <w:vAlign w:val="top"/>
          </w:tcPr>
          <w:p w14:paraId="39BD4FC2">
            <w:pPr>
              <w:pStyle w:val="10"/>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eastAsia" w:asciiTheme="minorEastAsia" w:hAnsiTheme="minorEastAsia" w:eastAsiaTheme="minorEastAsia" w:cstheme="minorEastAsia"/>
                <w:color w:val="000000" w:themeColor="text1"/>
                <w:kern w:val="2"/>
                <w:sz w:val="30"/>
                <w:szCs w:val="30"/>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w w:val="108"/>
                <w:kern w:val="2"/>
                <w:sz w:val="30"/>
                <w:szCs w:val="30"/>
                <w:lang w:val="en-US" w:eastAsia="zh-CN" w:bidi="ar-SA"/>
                <w14:textFill>
                  <w14:solidFill>
                    <w14:schemeClr w14:val="tx1"/>
                  </w14:solidFill>
                </w14:textFill>
              </w:rPr>
              <w:t>5</w:t>
            </w:r>
          </w:p>
        </w:tc>
        <w:tc>
          <w:tcPr>
            <w:tcW w:w="589" w:type="pct"/>
            <w:vAlign w:val="top"/>
          </w:tcPr>
          <w:p w14:paraId="17E93505">
            <w:pPr>
              <w:pStyle w:val="10"/>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5</w:t>
            </w:r>
          </w:p>
        </w:tc>
      </w:tr>
    </w:tbl>
    <w:p w14:paraId="094C5C80">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default" w:eastAsiaTheme="minorEastAsia"/>
          <w:lang w:val="en-US" w:eastAsia="zh-CN"/>
        </w:rPr>
      </w:pPr>
      <w:r>
        <w:rPr>
          <w:rFonts w:hint="eastAsia" w:ascii="仿宋_GB2312" w:hAnsi="宋体" w:eastAsia="仿宋_GB2312" w:cs="宋体"/>
          <w:kern w:val="2"/>
          <w:sz w:val="32"/>
          <w:szCs w:val="32"/>
          <w:lang w:val="en-US" w:eastAsia="zh-CN" w:bidi="ar-SA"/>
        </w:rPr>
        <w:t>产出指标主要评价项目实施完成情况，包括完成数量、质量的完成程度。下设“产出数量”、“产出质量”以及“产出时效,3个二级指标，再细分6个三级指标，包括“</w:t>
      </w:r>
      <w:r>
        <w:rPr>
          <w:rFonts w:hint="eastAsia"/>
          <w:lang w:eastAsia="zh-CN"/>
        </w:rPr>
        <w:t>图斑摸排</w:t>
      </w:r>
      <w:r>
        <w:rPr>
          <w:rFonts w:hint="eastAsia"/>
          <w:lang w:val="en-US" w:eastAsia="zh-CN"/>
        </w:rPr>
        <w:t>量</w:t>
      </w:r>
      <w:r>
        <w:rPr>
          <w:rFonts w:hint="eastAsia" w:ascii="仿宋_GB2312" w:hAnsi="宋体" w:eastAsia="仿宋_GB2312" w:cs="宋体"/>
          <w:kern w:val="2"/>
          <w:sz w:val="32"/>
          <w:szCs w:val="32"/>
          <w:lang w:val="en-US" w:eastAsia="zh-CN" w:bidi="ar-SA"/>
        </w:rPr>
        <w:t>”、“</w:t>
      </w:r>
      <w:r>
        <w:rPr>
          <w:rFonts w:hint="eastAsia"/>
          <w:lang w:eastAsia="zh-CN"/>
        </w:rPr>
        <w:t>房屋鉴定</w:t>
      </w:r>
      <w:r>
        <w:rPr>
          <w:rFonts w:hint="eastAsia"/>
          <w:lang w:val="en-US" w:eastAsia="zh-CN"/>
        </w:rPr>
        <w:t>量</w:t>
      </w:r>
      <w:r>
        <w:rPr>
          <w:rFonts w:hint="eastAsia" w:ascii="仿宋_GB2312" w:hAnsi="宋体" w:eastAsia="仿宋_GB2312" w:cs="宋体"/>
          <w:kern w:val="2"/>
          <w:sz w:val="32"/>
          <w:szCs w:val="32"/>
          <w:lang w:val="en-US" w:eastAsia="zh-CN" w:bidi="ar-SA"/>
        </w:rPr>
        <w:t>”、“</w:t>
      </w:r>
      <w:r>
        <w:rPr>
          <w:rFonts w:hint="eastAsia"/>
        </w:rPr>
        <w:t>全域</w:t>
      </w:r>
      <w:r>
        <w:rPr>
          <w:rFonts w:hint="eastAsia"/>
          <w:lang w:eastAsia="zh-CN"/>
        </w:rPr>
        <w:t>摸排覆盖</w:t>
      </w:r>
      <w:r>
        <w:rPr>
          <w:rFonts w:hint="eastAsia"/>
          <w:lang w:val="en-US" w:eastAsia="zh-CN"/>
        </w:rPr>
        <w:t>率</w:t>
      </w:r>
      <w:r>
        <w:rPr>
          <w:rFonts w:hint="eastAsia" w:ascii="仿宋_GB2312" w:hAnsi="宋体" w:eastAsia="仿宋_GB2312" w:cs="宋体"/>
          <w:kern w:val="2"/>
          <w:sz w:val="32"/>
          <w:szCs w:val="32"/>
          <w:lang w:val="en-US" w:eastAsia="zh-CN" w:bidi="ar-SA"/>
        </w:rPr>
        <w:t>”、“</w:t>
      </w:r>
      <w:r>
        <w:rPr>
          <w:rFonts w:hint="eastAsia"/>
          <w:lang w:eastAsia="zh-CN"/>
        </w:rPr>
        <w:t>检测结果准确</w:t>
      </w:r>
      <w:r>
        <w:rPr>
          <w:rFonts w:hint="eastAsia"/>
          <w:lang w:val="en-US" w:eastAsia="zh-CN"/>
        </w:rPr>
        <w:t>率</w:t>
      </w:r>
      <w:r>
        <w:rPr>
          <w:rFonts w:hint="eastAsia" w:ascii="仿宋_GB2312" w:hAnsi="宋体" w:eastAsia="仿宋_GB2312" w:cs="宋体"/>
          <w:kern w:val="2"/>
          <w:sz w:val="32"/>
          <w:szCs w:val="32"/>
          <w:lang w:val="en-US" w:eastAsia="zh-CN" w:bidi="ar-SA"/>
        </w:rPr>
        <w:t>”、“</w:t>
      </w:r>
      <w:r>
        <w:rPr>
          <w:rFonts w:hint="eastAsia"/>
          <w:lang w:eastAsia="zh-CN"/>
        </w:rPr>
        <w:t>图斑摸排</w:t>
      </w:r>
      <w:r>
        <w:rPr>
          <w:rFonts w:hint="eastAsia"/>
        </w:rPr>
        <w:t>及时性</w:t>
      </w:r>
      <w:r>
        <w:rPr>
          <w:rFonts w:hint="eastAsia" w:ascii="仿宋_GB2312" w:hAnsi="宋体" w:eastAsia="仿宋_GB2312" w:cs="宋体"/>
          <w:kern w:val="2"/>
          <w:sz w:val="32"/>
          <w:szCs w:val="32"/>
          <w:lang w:val="en-US" w:eastAsia="zh-CN" w:bidi="ar-SA"/>
        </w:rPr>
        <w:t>”、“</w:t>
      </w:r>
      <w:r>
        <w:rPr>
          <w:rFonts w:hint="eastAsia"/>
          <w:lang w:eastAsia="zh-CN"/>
        </w:rPr>
        <w:t>房屋鉴定</w:t>
      </w:r>
      <w:r>
        <w:rPr>
          <w:rFonts w:hint="eastAsia"/>
        </w:rPr>
        <w:t>及时性</w:t>
      </w:r>
      <w:r>
        <w:rPr>
          <w:rFonts w:hint="eastAsia" w:ascii="仿宋_GB2312" w:hAnsi="宋体" w:eastAsia="仿宋_GB2312" w:cs="宋体"/>
          <w:kern w:val="2"/>
          <w:sz w:val="32"/>
          <w:szCs w:val="32"/>
          <w:lang w:val="en-US" w:eastAsia="zh-CN" w:bidi="ar-SA"/>
        </w:rPr>
        <w:t>”于产出指标的评价</w:t>
      </w:r>
      <w:r>
        <w:rPr>
          <w:rFonts w:hint="eastAsia" w:hAnsi="宋体" w:cs="宋体"/>
          <w:kern w:val="2"/>
          <w:sz w:val="32"/>
          <w:szCs w:val="32"/>
          <w:lang w:val="en-US" w:eastAsia="zh-CN" w:bidi="ar-SA"/>
        </w:rPr>
        <w:t>。</w:t>
      </w:r>
      <w:r>
        <w:rPr>
          <w:rFonts w:hint="eastAsia" w:ascii="仿宋_GB2312" w:hAnsi="宋体" w:eastAsia="仿宋_GB2312" w:cs="宋体"/>
          <w:kern w:val="2"/>
          <w:sz w:val="32"/>
          <w:szCs w:val="32"/>
          <w:lang w:val="en-US" w:eastAsia="zh-CN" w:bidi="ar-SA"/>
        </w:rPr>
        <w:t>主要采取了查阅资料和访谈座谈进行资料收集、整理和分析，收集了与各项指标相关的项目资料，了解项目的具体产出情况及成果，对项目产出涉及的指标进行打分并计算结果。</w:t>
      </w:r>
    </w:p>
    <w:p w14:paraId="64C95C87">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四</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项目效益情况。</w:t>
      </w:r>
    </w:p>
    <w:p w14:paraId="00104F67">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rPr>
      </w:pPr>
      <w:r>
        <w:rPr>
          <w:rFonts w:hint="eastAsia" w:cs="仿宋_GB2312"/>
          <w:kern w:val="2"/>
          <w:sz w:val="32"/>
          <w:szCs w:val="32"/>
          <w:lang w:val="en-US" w:eastAsia="zh-CN" w:bidi="ar-SA"/>
        </w:rPr>
        <w:t>效益指标满分为25分，根据评价原则，效益评价得分为20分。</w:t>
      </w:r>
    </w:p>
    <w:tbl>
      <w:tblPr>
        <w:tblStyle w:val="8"/>
        <w:tblW w:w="4825"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14"/>
        <w:gridCol w:w="1512"/>
        <w:gridCol w:w="1385"/>
        <w:gridCol w:w="1602"/>
        <w:gridCol w:w="2131"/>
      </w:tblGrid>
      <w:tr w14:paraId="35D3A87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5" w:hRule="atLeast"/>
        </w:trPr>
        <w:tc>
          <w:tcPr>
            <w:tcW w:w="878" w:type="pct"/>
            <w:vMerge w:val="restart"/>
          </w:tcPr>
          <w:p w14:paraId="09E495A4">
            <w:pPr>
              <w:pStyle w:val="10"/>
              <w:keepNext w:val="0"/>
              <w:keepLines w:val="0"/>
              <w:pageBreakBefore w:val="0"/>
              <w:kinsoku/>
              <w:wordWrap/>
              <w:overflowPunct/>
              <w:topLinePunct w:val="0"/>
              <w:autoSpaceDE/>
              <w:autoSpaceDN/>
              <w:bidi w:val="0"/>
              <w:adjustRightInd/>
              <w:snapToGrid/>
              <w:spacing w:line="240" w:lineRule="auto"/>
              <w:ind w:left="0"/>
              <w:jc w:val="center"/>
              <w:textAlignment w:val="auto"/>
              <w:rPr>
                <w:rFonts w:hint="default"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项目</w:t>
            </w:r>
          </w:p>
        </w:tc>
        <w:tc>
          <w:tcPr>
            <w:tcW w:w="939" w:type="pct"/>
          </w:tcPr>
          <w:p w14:paraId="16629833">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rPr>
            </w:pPr>
            <w:r>
              <w:rPr>
                <w:rFonts w:hint="eastAsia"/>
              </w:rPr>
              <w:t>社会效益</w:t>
            </w:r>
          </w:p>
        </w:tc>
        <w:tc>
          <w:tcPr>
            <w:tcW w:w="860" w:type="pct"/>
          </w:tcPr>
          <w:p w14:paraId="35AFAFC7">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eastAsia="宋体"/>
                <w:lang w:val="en-US" w:eastAsia="zh-CN"/>
              </w:rPr>
            </w:pPr>
            <w:r>
              <w:rPr>
                <w:rFonts w:hint="eastAsia"/>
                <w:lang w:val="en-US" w:eastAsia="zh-CN"/>
              </w:rPr>
              <w:t>安全效益</w:t>
            </w:r>
          </w:p>
        </w:tc>
        <w:tc>
          <w:tcPr>
            <w:tcW w:w="995" w:type="pct"/>
          </w:tcPr>
          <w:p w14:paraId="64A2577D">
            <w:pPr>
              <w:pStyle w:val="10"/>
              <w:keepNext w:val="0"/>
              <w:keepLines w:val="0"/>
              <w:pageBreakBefore w:val="0"/>
              <w:kinsoku/>
              <w:wordWrap/>
              <w:overflowPunct/>
              <w:topLinePunct w:val="0"/>
              <w:autoSpaceDE/>
              <w:autoSpaceDN/>
              <w:bidi w:val="0"/>
              <w:adjustRightInd/>
              <w:snapToGrid/>
              <w:spacing w:line="240" w:lineRule="auto"/>
              <w:textAlignment w:val="auto"/>
              <w:rPr>
                <w:rFonts w:hint="default" w:eastAsia="宋体"/>
                <w:lang w:val="en-US" w:eastAsia="zh-CN"/>
              </w:rPr>
            </w:pPr>
            <w:r>
              <w:rPr>
                <w:rFonts w:hint="eastAsia"/>
                <w:lang w:val="en-US" w:eastAsia="zh-CN"/>
              </w:rPr>
              <w:t>可持续性影响</w:t>
            </w:r>
          </w:p>
        </w:tc>
        <w:tc>
          <w:tcPr>
            <w:tcW w:w="1324" w:type="pct"/>
          </w:tcPr>
          <w:p w14:paraId="091CC960">
            <w:pPr>
              <w:pStyle w:val="10"/>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2F2F2F"/>
                <w:w w:val="105"/>
                <w:szCs w:val="30"/>
                <w:lang w:val="en-US" w:eastAsia="zh-CN"/>
              </w:rPr>
            </w:pPr>
            <w:r>
              <w:rPr>
                <w:rFonts w:hint="eastAsia"/>
                <w:lang w:val="en-US" w:eastAsia="zh-CN"/>
              </w:rPr>
              <w:t>服务对象满意度</w:t>
            </w:r>
          </w:p>
        </w:tc>
      </w:tr>
      <w:tr w14:paraId="3C29231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9" w:hRule="atLeast"/>
        </w:trPr>
        <w:tc>
          <w:tcPr>
            <w:tcW w:w="878" w:type="pct"/>
            <w:vMerge w:val="continue"/>
            <w:tcBorders>
              <w:top w:val="nil"/>
            </w:tcBorders>
          </w:tcPr>
          <w:p w14:paraId="25C8F873">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30"/>
                <w:szCs w:val="30"/>
              </w:rPr>
            </w:pPr>
          </w:p>
        </w:tc>
        <w:tc>
          <w:tcPr>
            <w:tcW w:w="939" w:type="pct"/>
          </w:tcPr>
          <w:p w14:paraId="19A958D3">
            <w:pPr>
              <w:pStyle w:val="10"/>
              <w:keepNext w:val="0"/>
              <w:keepLines w:val="0"/>
              <w:pageBreakBefore w:val="0"/>
              <w:kinsoku/>
              <w:wordWrap/>
              <w:overflowPunct/>
              <w:topLinePunct w:val="0"/>
              <w:autoSpaceDE/>
              <w:autoSpaceDN/>
              <w:bidi w:val="0"/>
              <w:adjustRightInd/>
              <w:snapToGrid/>
              <w:spacing w:line="240" w:lineRule="auto"/>
              <w:textAlignment w:val="auto"/>
              <w:rPr>
                <w:rFonts w:hint="default" w:eastAsia="宋体"/>
                <w:lang w:val="en-US" w:eastAsia="zh-CN"/>
              </w:rPr>
            </w:pPr>
            <w:r>
              <w:rPr>
                <w:rFonts w:hint="eastAsia"/>
                <w:lang w:eastAsia="zh-CN"/>
              </w:rPr>
              <w:t>公众安全意识</w:t>
            </w:r>
            <w:r>
              <w:rPr>
                <w:rFonts w:hint="eastAsia"/>
                <w:lang w:val="en-US" w:eastAsia="zh-CN"/>
              </w:rPr>
              <w:t>提升程度</w:t>
            </w:r>
          </w:p>
        </w:tc>
        <w:tc>
          <w:tcPr>
            <w:tcW w:w="860" w:type="pct"/>
          </w:tcPr>
          <w:p w14:paraId="1D815B29">
            <w:pPr>
              <w:pStyle w:val="10"/>
              <w:keepNext w:val="0"/>
              <w:keepLines w:val="0"/>
              <w:pageBreakBefore w:val="0"/>
              <w:kinsoku/>
              <w:wordWrap/>
              <w:overflowPunct/>
              <w:topLinePunct w:val="0"/>
              <w:autoSpaceDE/>
              <w:autoSpaceDN/>
              <w:bidi w:val="0"/>
              <w:adjustRightInd/>
              <w:snapToGrid/>
              <w:spacing w:line="240" w:lineRule="auto"/>
              <w:textAlignment w:val="auto"/>
              <w:rPr>
                <w:rFonts w:hint="default" w:eastAsia="宋体"/>
                <w:lang w:val="en-US" w:eastAsia="zh-CN"/>
              </w:rPr>
            </w:pPr>
            <w:r>
              <w:rPr>
                <w:rFonts w:hint="eastAsia"/>
                <w:lang w:val="en-US" w:eastAsia="zh-CN"/>
              </w:rPr>
              <w:t>消除安全隐患</w:t>
            </w:r>
          </w:p>
        </w:tc>
        <w:tc>
          <w:tcPr>
            <w:tcW w:w="995" w:type="pct"/>
          </w:tcPr>
          <w:p w14:paraId="33D47D78">
            <w:pPr>
              <w:pStyle w:val="10"/>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lang w:val="en-US" w:eastAsia="zh-CN"/>
              </w:rPr>
            </w:pPr>
            <w:r>
              <w:rPr>
                <w:rFonts w:hint="eastAsia"/>
                <w:lang w:val="en-US" w:eastAsia="zh-CN"/>
              </w:rPr>
              <w:t>持续推动城乡建设发展</w:t>
            </w:r>
          </w:p>
        </w:tc>
        <w:tc>
          <w:tcPr>
            <w:tcW w:w="1324" w:type="pct"/>
          </w:tcPr>
          <w:p w14:paraId="41BE6950">
            <w:pPr>
              <w:pStyle w:val="10"/>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lang w:val="en-US" w:eastAsia="zh-CN"/>
              </w:rPr>
            </w:pPr>
            <w:r>
              <w:rPr>
                <w:rFonts w:hint="eastAsia"/>
                <w:lang w:val="en-US" w:eastAsia="zh-CN"/>
              </w:rPr>
              <w:t>镇域内常住人口满意度</w:t>
            </w:r>
          </w:p>
        </w:tc>
      </w:tr>
      <w:tr w14:paraId="5AB1299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1" w:hRule="atLeast"/>
        </w:trPr>
        <w:tc>
          <w:tcPr>
            <w:tcW w:w="878" w:type="pct"/>
          </w:tcPr>
          <w:p w14:paraId="5A300C7E">
            <w:pPr>
              <w:pStyle w:val="10"/>
              <w:keepNext w:val="0"/>
              <w:keepLines w:val="0"/>
              <w:pageBreakBefore w:val="0"/>
              <w:kinsoku/>
              <w:wordWrap/>
              <w:overflowPunct/>
              <w:topLinePunct w:val="0"/>
              <w:autoSpaceDE/>
              <w:autoSpaceDN/>
              <w:bidi w:val="0"/>
              <w:adjustRightInd/>
              <w:snapToGrid/>
              <w:spacing w:line="240" w:lineRule="auto"/>
              <w:ind w:left="0" w:right="0"/>
              <w:jc w:val="both"/>
              <w:textAlignment w:val="auto"/>
              <w:rPr>
                <w:rFonts w:hint="default"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标准得分</w:t>
            </w:r>
          </w:p>
        </w:tc>
        <w:tc>
          <w:tcPr>
            <w:tcW w:w="939" w:type="pct"/>
          </w:tcPr>
          <w:p w14:paraId="68EFEC2C">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10</w:t>
            </w:r>
          </w:p>
        </w:tc>
        <w:tc>
          <w:tcPr>
            <w:tcW w:w="860" w:type="pct"/>
          </w:tcPr>
          <w:p w14:paraId="098AA404">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w w:val="108"/>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t>5</w:t>
            </w:r>
          </w:p>
        </w:tc>
        <w:tc>
          <w:tcPr>
            <w:tcW w:w="995" w:type="pct"/>
          </w:tcPr>
          <w:p w14:paraId="7C860F11">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w w:val="108"/>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t>5</w:t>
            </w:r>
          </w:p>
        </w:tc>
        <w:tc>
          <w:tcPr>
            <w:tcW w:w="1324" w:type="pct"/>
          </w:tcPr>
          <w:p w14:paraId="412774E3">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w w:val="108"/>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t>5</w:t>
            </w:r>
          </w:p>
        </w:tc>
      </w:tr>
      <w:tr w14:paraId="157C6D9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9" w:hRule="atLeast"/>
        </w:trPr>
        <w:tc>
          <w:tcPr>
            <w:tcW w:w="878" w:type="pct"/>
          </w:tcPr>
          <w:p w14:paraId="63AD7193">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实际得分</w:t>
            </w:r>
          </w:p>
        </w:tc>
        <w:tc>
          <w:tcPr>
            <w:tcW w:w="939" w:type="pct"/>
          </w:tcPr>
          <w:p w14:paraId="7F4A0A2B">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10</w:t>
            </w:r>
          </w:p>
        </w:tc>
        <w:tc>
          <w:tcPr>
            <w:tcW w:w="860" w:type="pct"/>
          </w:tcPr>
          <w:p w14:paraId="68B61E3F">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w w:val="108"/>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t>3</w:t>
            </w:r>
          </w:p>
        </w:tc>
        <w:tc>
          <w:tcPr>
            <w:tcW w:w="995" w:type="pct"/>
          </w:tcPr>
          <w:p w14:paraId="3B2EAB0F">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30"/>
                <w:szCs w:val="30"/>
                <w:lang w:val="en-US" w:eastAsia="zh-CN"/>
                <w14:textFill>
                  <w14:solidFill>
                    <w14:schemeClr w14:val="tx1"/>
                  </w14:solidFill>
                </w14:textFill>
              </w:rPr>
              <w:t>4</w:t>
            </w:r>
          </w:p>
        </w:tc>
        <w:tc>
          <w:tcPr>
            <w:tcW w:w="1324" w:type="pct"/>
          </w:tcPr>
          <w:p w14:paraId="695285C2">
            <w:pPr>
              <w:pStyle w:val="10"/>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default" w:asciiTheme="minorEastAsia" w:hAnsiTheme="minorEastAsia" w:eastAsiaTheme="minorEastAsia" w:cstheme="minorEastAsia"/>
                <w:color w:val="000000" w:themeColor="text1"/>
                <w:w w:val="108"/>
                <w:sz w:val="30"/>
                <w:szCs w:val="30"/>
                <w:lang w:val="en-US" w:eastAsia="zh-CN"/>
                <w14:textFill>
                  <w14:solidFill>
                    <w14:schemeClr w14:val="tx1"/>
                  </w14:solidFill>
                </w14:textFill>
              </w:rPr>
            </w:pPr>
            <w:r>
              <w:rPr>
                <w:rFonts w:hint="eastAsia" w:asciiTheme="minorEastAsia" w:hAnsiTheme="minorEastAsia" w:eastAsiaTheme="minorEastAsia" w:cstheme="minorEastAsia"/>
                <w:color w:val="000000" w:themeColor="text1"/>
                <w:w w:val="108"/>
                <w:sz w:val="30"/>
                <w:szCs w:val="30"/>
                <w:lang w:val="en-US" w:eastAsia="zh-CN"/>
                <w14:textFill>
                  <w14:solidFill>
                    <w14:schemeClr w14:val="tx1"/>
                  </w14:solidFill>
                </w14:textFill>
              </w:rPr>
              <w:t>3</w:t>
            </w:r>
          </w:p>
        </w:tc>
      </w:tr>
    </w:tbl>
    <w:p w14:paraId="75ECA3FD">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rPr>
      </w:pPr>
      <w:r>
        <w:rPr>
          <w:rFonts w:hint="eastAsia" w:ascii="仿宋_GB2312" w:hAnsi="宋体" w:eastAsia="仿宋_GB2312" w:cs="宋体"/>
          <w:kern w:val="2"/>
          <w:sz w:val="32"/>
          <w:szCs w:val="32"/>
          <w:lang w:val="en-US" w:eastAsia="zh-CN" w:bidi="ar-SA"/>
        </w:rPr>
        <w:t>效益方面主要评价项目实施对社会发展所带来的直接或间接影响，项目后续运行及成效发挥的可持续影响情况。对于效益指标的评价，主要采取了查阅资料、现场访谈等方式进行资料收集、整理和分析，对项目效益涉及的指标进行打分，并计算结果。</w:t>
      </w:r>
    </w:p>
    <w:p w14:paraId="5D79959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六、项目主要经验及做法</w:t>
      </w:r>
    </w:p>
    <w:p w14:paraId="2FF448F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kern w:val="2"/>
          <w:sz w:val="32"/>
          <w:szCs w:val="24"/>
          <w:u w:val="none"/>
          <w:lang w:val="en-US" w:eastAsia="zh-CN" w:bidi="ar-SA"/>
        </w:rPr>
      </w:pPr>
      <w:r>
        <w:rPr>
          <w:rFonts w:hint="eastAsia" w:ascii="仿宋_GB2312" w:hAnsi="仿宋" w:eastAsia="仿宋_GB2312" w:cs="Times New Roman"/>
          <w:kern w:val="2"/>
          <w:sz w:val="32"/>
          <w:szCs w:val="24"/>
          <w:u w:val="none"/>
          <w:lang w:val="en-US" w:eastAsia="zh-CN" w:bidi="ar-SA"/>
        </w:rPr>
        <w:t>对全镇35980栋自建房（其中经营性1099栋，非经营性34881栋）开展地毯式大排查。排查出存在安全隐患的经营性自建房共计20栋（鉴定为D级8栋，鉴定为C级12栋），6栋D级经营性自建房已拆除，2栋D级经营性自建房已管控，11栋C级经营性自建房已拆除，1栋C级经营性自建房已管控，排查出存在安全隐患的非自建房共计23栋，其中18栋已进行拆除，5栋无人居住的已管控，均已消除安全隐患。</w:t>
      </w:r>
    </w:p>
    <w:p w14:paraId="78B0672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七、存在的问题及原因分析</w:t>
      </w:r>
    </w:p>
    <w:p w14:paraId="530D965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宋体" w:eastAsia="仿宋_GB2312" w:cs="宋体"/>
          <w:color w:val="000000"/>
          <w:kern w:val="0"/>
          <w:sz w:val="32"/>
          <w:szCs w:val="32"/>
          <w:lang w:val="en-US" w:eastAsia="zh-CN"/>
        </w:rPr>
      </w:pPr>
      <w:r>
        <w:rPr>
          <w:rFonts w:hint="eastAsia" w:ascii="楷体" w:hAnsi="楷体" w:eastAsia="楷体" w:cs="楷体"/>
          <w:b/>
          <w:bCs/>
          <w:color w:val="000000"/>
          <w:kern w:val="0"/>
          <w:sz w:val="32"/>
          <w:szCs w:val="32"/>
          <w:lang w:val="en-US" w:eastAsia="zh-CN"/>
        </w:rPr>
        <w:t>（一</w:t>
      </w:r>
      <w:r>
        <w:rPr>
          <w:rFonts w:hint="eastAsia" w:ascii="楷体_GB2312" w:hAnsi="楷体_GB2312" w:eastAsia="楷体_GB2312" w:cs="楷体_GB2312"/>
          <w:b/>
          <w:bCs/>
          <w:color w:val="000000"/>
          <w:kern w:val="0"/>
          <w:sz w:val="32"/>
          <w:szCs w:val="32"/>
          <w:lang w:val="en-US" w:eastAsia="zh-CN"/>
        </w:rPr>
        <w:t>）</w:t>
      </w:r>
      <w:r>
        <w:rPr>
          <w:rFonts w:hint="default" w:ascii="楷体" w:hAnsi="楷体" w:eastAsia="楷体" w:cs="楷体"/>
          <w:b/>
          <w:bCs/>
          <w:color w:val="000000"/>
          <w:kern w:val="0"/>
          <w:sz w:val="32"/>
          <w:szCs w:val="32"/>
          <w:lang w:val="en-US" w:eastAsia="zh-CN"/>
        </w:rPr>
        <w:t>自建房质量问题突出。</w:t>
      </w:r>
      <w:r>
        <w:rPr>
          <w:rFonts w:hint="default" w:ascii="仿宋_GB2312" w:hAnsi="仿宋_GB2312" w:eastAsia="仿宋_GB2312" w:cs="仿宋_GB2312"/>
          <w:b w:val="0"/>
          <w:bCs w:val="0"/>
          <w:color w:val="000000"/>
          <w:kern w:val="0"/>
          <w:sz w:val="32"/>
          <w:szCs w:val="32"/>
          <w:lang w:val="en-US" w:eastAsia="zh-CN" w:bidi="ar-SA"/>
        </w:rPr>
        <w:t>随着自建房数量不断增加</w:t>
      </w:r>
      <w:r>
        <w:rPr>
          <w:rFonts w:hint="eastAsia" w:ascii="仿宋_GB2312" w:hAnsi="仿宋_GB2312" w:eastAsia="仿宋_GB2312" w:cs="仿宋_GB2312"/>
          <w:b w:val="0"/>
          <w:bCs w:val="0"/>
          <w:color w:val="000000"/>
          <w:kern w:val="0"/>
          <w:sz w:val="32"/>
          <w:szCs w:val="32"/>
          <w:lang w:val="en-US" w:eastAsia="zh-CN" w:bidi="ar-SA"/>
        </w:rPr>
        <w:t>，</w:t>
      </w:r>
      <w:r>
        <w:rPr>
          <w:rFonts w:hint="default" w:ascii="仿宋_GB2312" w:hAnsi="仿宋_GB2312" w:eastAsia="仿宋_GB2312" w:cs="仿宋_GB2312"/>
          <w:b w:val="0"/>
          <w:bCs w:val="0"/>
          <w:color w:val="000000"/>
          <w:kern w:val="0"/>
          <w:sz w:val="32"/>
          <w:szCs w:val="32"/>
          <w:lang w:val="en-US" w:eastAsia="zh-CN" w:bidi="ar-SA"/>
        </w:rPr>
        <w:t>自建房质量问题</w:t>
      </w:r>
      <w:r>
        <w:rPr>
          <w:rFonts w:hint="eastAsia" w:ascii="仿宋_GB2312" w:hAnsi="仿宋_GB2312" w:eastAsia="仿宋_GB2312" w:cs="仿宋_GB2312"/>
          <w:b w:val="0"/>
          <w:bCs w:val="0"/>
          <w:color w:val="000000"/>
          <w:kern w:val="0"/>
          <w:sz w:val="32"/>
          <w:szCs w:val="32"/>
          <w:lang w:val="en-US" w:eastAsia="zh-CN" w:bidi="ar-SA"/>
        </w:rPr>
        <w:t>也尤为</w:t>
      </w:r>
      <w:r>
        <w:rPr>
          <w:rFonts w:hint="default" w:ascii="仿宋_GB2312" w:hAnsi="仿宋_GB2312" w:eastAsia="仿宋_GB2312" w:cs="仿宋_GB2312"/>
          <w:b w:val="0"/>
          <w:bCs w:val="0"/>
          <w:color w:val="000000"/>
          <w:kern w:val="0"/>
          <w:sz w:val="32"/>
          <w:szCs w:val="32"/>
          <w:lang w:val="en-US" w:eastAsia="zh-CN" w:bidi="ar-SA"/>
        </w:rPr>
        <w:t>突出</w:t>
      </w:r>
      <w:r>
        <w:rPr>
          <w:rFonts w:hint="eastAsia" w:ascii="仿宋_GB2312" w:hAnsi="仿宋_GB2312" w:eastAsia="仿宋_GB2312" w:cs="仿宋_GB2312"/>
          <w:b w:val="0"/>
          <w:bCs w:val="0"/>
          <w:color w:val="000000"/>
          <w:kern w:val="0"/>
          <w:sz w:val="32"/>
          <w:szCs w:val="32"/>
          <w:lang w:val="en-US" w:eastAsia="zh-CN" w:bidi="ar-SA"/>
        </w:rPr>
        <w:t>，</w:t>
      </w:r>
      <w:r>
        <w:rPr>
          <w:rFonts w:hint="default" w:ascii="仿宋_GB2312" w:hAnsi="仿宋_GB2312" w:eastAsia="仿宋_GB2312" w:cs="仿宋_GB2312"/>
          <w:b w:val="0"/>
          <w:bCs w:val="0"/>
          <w:color w:val="000000"/>
          <w:kern w:val="0"/>
          <w:sz w:val="32"/>
          <w:szCs w:val="32"/>
          <w:lang w:val="en-US" w:eastAsia="zh-CN" w:bidi="ar-SA"/>
        </w:rPr>
        <w:t>部分自建房存在偷工减料、违规建设等问题，导致房屋质量无法保证，一些自建房所有人安全意识淡薄，对房屋安全问题缺乏足够的认识和重视，导致房屋长期处于危险状态</w:t>
      </w:r>
      <w:r>
        <w:rPr>
          <w:rFonts w:hint="eastAsia" w:ascii="仿宋_GB2312" w:hAnsi="仿宋_GB2312" w:eastAsia="仿宋_GB2312" w:cs="仿宋_GB2312"/>
          <w:b w:val="0"/>
          <w:bCs w:val="0"/>
          <w:color w:val="000000"/>
          <w:kern w:val="0"/>
          <w:sz w:val="32"/>
          <w:szCs w:val="32"/>
          <w:lang w:val="en-US" w:eastAsia="zh-CN" w:bidi="ar-SA"/>
        </w:rPr>
        <w:t>，</w:t>
      </w:r>
      <w:r>
        <w:rPr>
          <w:rFonts w:hint="default" w:ascii="仿宋_GB2312" w:hAnsi="仿宋_GB2312" w:eastAsia="仿宋_GB2312" w:cs="仿宋_GB2312"/>
          <w:b w:val="0"/>
          <w:bCs w:val="0"/>
          <w:color w:val="000000"/>
          <w:kern w:val="0"/>
          <w:sz w:val="32"/>
          <w:szCs w:val="32"/>
          <w:lang w:val="en-US" w:eastAsia="zh-CN" w:bidi="ar-SA"/>
        </w:rPr>
        <w:t>给居民的生命财产安全带来隐患</w:t>
      </w:r>
      <w:r>
        <w:rPr>
          <w:rFonts w:hint="eastAsia" w:ascii="仿宋_GB2312" w:hAnsi="仿宋_GB2312" w:eastAsia="仿宋_GB2312" w:cs="仿宋_GB2312"/>
          <w:b w:val="0"/>
          <w:bCs w:val="0"/>
          <w:color w:val="000000"/>
          <w:kern w:val="0"/>
          <w:sz w:val="32"/>
          <w:szCs w:val="32"/>
          <w:lang w:val="en-US" w:eastAsia="zh-CN" w:bidi="ar-SA"/>
        </w:rPr>
        <w:t>，</w:t>
      </w:r>
    </w:p>
    <w:p w14:paraId="593BFB67">
      <w:pPr>
        <w:keepNext w:val="0"/>
        <w:keepLines w:val="0"/>
        <w:pageBreakBefore w:val="0"/>
        <w:widowControl/>
        <w:kinsoku/>
        <w:wordWrap/>
        <w:overflowPunct/>
        <w:topLinePunct w:val="0"/>
        <w:autoSpaceDE/>
        <w:autoSpaceDN/>
        <w:bidi w:val="0"/>
        <w:adjustRightInd/>
        <w:snapToGrid/>
        <w:spacing w:line="240" w:lineRule="auto"/>
        <w:ind w:firstLine="643"/>
        <w:jc w:val="both"/>
        <w:textAlignment w:val="auto"/>
        <w:rPr>
          <w:rFonts w:hint="default" w:ascii="仿宋_GB2312" w:hAnsi="宋体" w:eastAsia="仿宋_GB2312" w:cs="宋体"/>
          <w:color w:val="000000"/>
          <w:kern w:val="0"/>
          <w:sz w:val="32"/>
          <w:szCs w:val="32"/>
          <w:lang w:val="en-US" w:eastAsia="zh-CN"/>
        </w:rPr>
      </w:pPr>
      <w:r>
        <w:rPr>
          <w:rFonts w:hint="eastAsia" w:ascii="楷体_GB2312" w:hAnsi="楷体_GB2312" w:eastAsia="楷体_GB2312" w:cs="楷体_GB2312"/>
          <w:b/>
          <w:bCs/>
          <w:color w:val="000000"/>
          <w:kern w:val="0"/>
          <w:sz w:val="32"/>
          <w:szCs w:val="32"/>
          <w:lang w:val="en-US" w:eastAsia="zh-CN"/>
        </w:rPr>
        <w:t>（二）自建房监管难度较大。</w:t>
      </w:r>
      <w:r>
        <w:rPr>
          <w:rFonts w:hint="eastAsia" w:ascii="仿宋_GB2312" w:hAnsi="宋体" w:eastAsia="仿宋_GB2312" w:cs="宋体"/>
          <w:color w:val="000000"/>
          <w:kern w:val="0"/>
          <w:sz w:val="32"/>
          <w:szCs w:val="32"/>
          <w:lang w:val="en-US" w:eastAsia="zh-CN"/>
        </w:rPr>
        <w:t>之前因长期对自建房缺少监管，农村居民很难理解与接受相关的监管要求，导致如今自建房监管难度较大，</w:t>
      </w:r>
      <w:r>
        <w:rPr>
          <w:rFonts w:hint="default" w:ascii="仿宋_GB2312" w:hAnsi="宋体" w:eastAsia="仿宋_GB2312" w:cs="宋体"/>
          <w:color w:val="000000"/>
          <w:kern w:val="0"/>
          <w:sz w:val="32"/>
          <w:szCs w:val="32"/>
          <w:lang w:val="en-US" w:eastAsia="zh-CN"/>
        </w:rPr>
        <w:t>缺乏有效的监管机制和手段，一些违规建设和存在安全隐患的房屋未能及时发现和处理。</w:t>
      </w:r>
      <w:r>
        <w:rPr>
          <w:rFonts w:hint="eastAsia" w:ascii="仿宋_GB2312" w:hAnsi="宋体" w:eastAsia="仿宋_GB2312" w:cs="宋体"/>
          <w:color w:val="000000"/>
          <w:kern w:val="0"/>
          <w:sz w:val="32"/>
          <w:szCs w:val="32"/>
          <w:lang w:val="en-US" w:eastAsia="zh-CN"/>
        </w:rPr>
        <w:t>并且</w:t>
      </w:r>
      <w:r>
        <w:rPr>
          <w:rFonts w:hint="default" w:ascii="仿宋_GB2312" w:hAnsi="宋体" w:eastAsia="仿宋_GB2312" w:cs="宋体"/>
          <w:color w:val="000000"/>
          <w:kern w:val="0"/>
          <w:sz w:val="32"/>
          <w:szCs w:val="32"/>
          <w:lang w:val="en-US" w:eastAsia="zh-CN"/>
        </w:rPr>
        <w:t>目前针对自建房安全的法规制度还不够完善，对于</w:t>
      </w:r>
      <w:r>
        <w:rPr>
          <w:rFonts w:hint="default" w:ascii="仿宋_GB2312" w:hAnsi="仿宋_GB2312" w:eastAsia="仿宋_GB2312" w:cs="仿宋_GB2312"/>
          <w:b w:val="0"/>
          <w:bCs w:val="0"/>
          <w:color w:val="000000"/>
          <w:kern w:val="0"/>
          <w:sz w:val="32"/>
          <w:szCs w:val="32"/>
          <w:lang w:val="en-US" w:eastAsia="zh-CN" w:bidi="ar-SA"/>
        </w:rPr>
        <w:t>违规建设和存在安全隐</w:t>
      </w:r>
      <w:r>
        <w:rPr>
          <w:rFonts w:hint="default" w:ascii="仿宋_GB2312" w:hAnsi="宋体" w:eastAsia="仿宋_GB2312" w:cs="宋体"/>
          <w:color w:val="000000"/>
          <w:kern w:val="0"/>
          <w:sz w:val="32"/>
          <w:szCs w:val="32"/>
          <w:lang w:val="en-US" w:eastAsia="zh-CN"/>
        </w:rPr>
        <w:t>患的房屋缺乏明确的处罚措施和标准。</w:t>
      </w:r>
    </w:p>
    <w:p w14:paraId="7C14D1C4">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heme="minorEastAsia" w:hAnsiTheme="minorEastAsia" w:eastAsiaTheme="minorEastAsia" w:cstheme="minorEastAsia"/>
          <w:sz w:val="30"/>
          <w:szCs w:val="30"/>
        </w:rPr>
      </w:pPr>
      <w:r>
        <w:rPr>
          <w:rFonts w:hint="eastAsia" w:ascii="楷体_GB2312" w:hAnsi="楷体_GB2312" w:eastAsia="楷体_GB2312" w:cs="楷体_GB2312"/>
          <w:b/>
          <w:bCs/>
          <w:color w:val="000000"/>
          <w:kern w:val="0"/>
          <w:sz w:val="32"/>
          <w:szCs w:val="32"/>
          <w:lang w:val="en-US" w:eastAsia="zh-CN"/>
        </w:rPr>
        <w:t>（三）自建房基础</w:t>
      </w:r>
      <w:r>
        <w:rPr>
          <w:rFonts w:hint="default" w:ascii="楷体_GB2312" w:hAnsi="楷体_GB2312" w:eastAsia="楷体_GB2312" w:cs="楷体_GB2312"/>
          <w:b/>
          <w:bCs/>
          <w:color w:val="000000"/>
          <w:kern w:val="0"/>
          <w:sz w:val="32"/>
          <w:szCs w:val="32"/>
          <w:lang w:val="en-US" w:eastAsia="zh-CN"/>
        </w:rPr>
        <w:t>设施不足</w:t>
      </w:r>
      <w:r>
        <w:rPr>
          <w:rFonts w:hint="eastAsia" w:ascii="楷体_GB2312" w:hAnsi="楷体_GB2312" w:eastAsia="楷体_GB2312" w:cs="楷体_GB2312"/>
          <w:b/>
          <w:bCs/>
          <w:color w:val="000000"/>
          <w:kern w:val="0"/>
          <w:sz w:val="32"/>
          <w:szCs w:val="32"/>
          <w:lang w:val="en-US" w:eastAsia="zh-CN"/>
        </w:rPr>
        <w:t>。</w:t>
      </w:r>
      <w:r>
        <w:rPr>
          <w:rFonts w:hint="default" w:ascii="仿宋_GB2312" w:hAnsi="宋体" w:eastAsia="仿宋_GB2312" w:cs="宋体"/>
          <w:color w:val="000000"/>
          <w:kern w:val="0"/>
          <w:sz w:val="32"/>
          <w:szCs w:val="32"/>
          <w:lang w:val="en-US" w:eastAsia="zh-CN"/>
        </w:rPr>
        <w:t>在农村及乡镇，应纳入而未纳入前期管理的自建房大量存在，市政配套不完善，公共设施不足，管理不到位，“脏乱差”问题非常突出，</w:t>
      </w:r>
      <w:r>
        <w:rPr>
          <w:rFonts w:hint="eastAsia" w:ascii="仿宋_GB2312" w:hAnsi="宋体" w:eastAsia="仿宋_GB2312" w:cs="宋体"/>
          <w:color w:val="000000"/>
          <w:kern w:val="0"/>
          <w:sz w:val="32"/>
          <w:szCs w:val="32"/>
          <w:lang w:val="en-US" w:eastAsia="zh-CN"/>
        </w:rPr>
        <w:t>自建房</w:t>
      </w:r>
      <w:r>
        <w:rPr>
          <w:rFonts w:hint="default" w:ascii="仿宋_GB2312" w:hAnsi="宋体" w:eastAsia="仿宋_GB2312" w:cs="宋体"/>
          <w:color w:val="000000"/>
          <w:kern w:val="0"/>
          <w:sz w:val="32"/>
          <w:szCs w:val="32"/>
          <w:lang w:val="en-US" w:eastAsia="zh-CN"/>
        </w:rPr>
        <w:t>建房资金预算有限，居民房屋安全意识淡薄，为了节约成本，自建房普遍存在“三无”情况，即建房无设计图纸、施工队伍无资质、无施工监理单位。最终建造的房屋结构不合理，建房质量普遍不高，安全系数极低。</w:t>
      </w:r>
      <w:r>
        <w:rPr>
          <w:rFonts w:hint="eastAsia" w:ascii="仿宋_GB2312" w:hAnsi="宋体" w:eastAsia="仿宋_GB2312" w:cs="宋体"/>
          <w:color w:val="000000"/>
          <w:kern w:val="0"/>
          <w:sz w:val="32"/>
          <w:szCs w:val="32"/>
          <w:lang w:val="en-US" w:eastAsia="zh-CN"/>
        </w:rPr>
        <w:t>并且</w:t>
      </w:r>
      <w:r>
        <w:rPr>
          <w:rFonts w:hint="default" w:ascii="仿宋_GB2312" w:hAnsi="宋体" w:eastAsia="仿宋_GB2312" w:cs="宋体"/>
          <w:color w:val="000000"/>
          <w:kern w:val="0"/>
          <w:sz w:val="32"/>
          <w:szCs w:val="32"/>
          <w:lang w:val="en-US" w:eastAsia="zh-CN"/>
        </w:rPr>
        <w:t>法律上对参与自建房施工队伍的资质等方面没有强制性规定。同时，也缺乏针对性的行业规定，从业者鱼龙混杂，一定程度上让居民随意建房、无序建房处于野蛮生长状态，让自建房</w:t>
      </w:r>
      <w:r>
        <w:rPr>
          <w:rFonts w:hint="eastAsia" w:ascii="仿宋_GB2312" w:hAnsi="宋体" w:eastAsia="仿宋_GB2312" w:cs="宋体"/>
          <w:color w:val="000000"/>
          <w:kern w:val="0"/>
          <w:sz w:val="32"/>
          <w:szCs w:val="32"/>
          <w:lang w:val="en-US" w:eastAsia="zh-CN"/>
        </w:rPr>
        <w:t>基础</w:t>
      </w:r>
      <w:r>
        <w:rPr>
          <w:rFonts w:hint="default" w:ascii="仿宋_GB2312" w:hAnsi="宋体" w:eastAsia="仿宋_GB2312" w:cs="宋体"/>
          <w:color w:val="000000"/>
          <w:kern w:val="0"/>
          <w:sz w:val="32"/>
          <w:szCs w:val="32"/>
          <w:lang w:val="en-US" w:eastAsia="zh-CN"/>
        </w:rPr>
        <w:t>设施</w:t>
      </w:r>
      <w:r>
        <w:rPr>
          <w:rFonts w:hint="eastAsia" w:ascii="仿宋_GB2312" w:hAnsi="宋体" w:eastAsia="仿宋_GB2312" w:cs="宋体"/>
          <w:color w:val="000000"/>
          <w:kern w:val="0"/>
          <w:sz w:val="32"/>
          <w:szCs w:val="32"/>
          <w:lang w:val="en-US" w:eastAsia="zh-CN"/>
        </w:rPr>
        <w:t>完全没有保障</w:t>
      </w:r>
      <w:r>
        <w:rPr>
          <w:rFonts w:hint="default" w:ascii="仿宋_GB2312" w:hAnsi="宋体" w:eastAsia="仿宋_GB2312" w:cs="宋体"/>
          <w:color w:val="000000"/>
          <w:kern w:val="0"/>
          <w:sz w:val="32"/>
          <w:szCs w:val="32"/>
          <w:lang w:val="en-US" w:eastAsia="zh-CN"/>
        </w:rPr>
        <w:t>。</w:t>
      </w:r>
      <w:r>
        <w:rPr>
          <w:rFonts w:hint="default" w:ascii="仿宋_GB2312" w:hAnsi="宋体" w:eastAsia="仿宋_GB2312" w:cs="宋体"/>
          <w:color w:val="000000"/>
          <w:kern w:val="0"/>
          <w:sz w:val="32"/>
          <w:szCs w:val="32"/>
          <w:lang w:val="en-US" w:eastAsia="zh-CN"/>
        </w:rPr>
        <w:br w:type="textWrapping"/>
      </w:r>
      <w:r>
        <w:rPr>
          <w:rFonts w:hint="eastAsia" w:ascii="仿宋_GB2312" w:hAnsi="宋体" w:eastAsia="仿宋_GB2312" w:cs="宋体"/>
          <w:color w:val="000000"/>
          <w:kern w:val="0"/>
          <w:sz w:val="32"/>
          <w:szCs w:val="32"/>
          <w:lang w:val="en-US" w:eastAsia="zh-CN"/>
        </w:rPr>
        <w:t xml:space="preserve">   </w:t>
      </w:r>
      <w:r>
        <w:rPr>
          <w:rFonts w:hint="eastAsia" w:ascii="黑体" w:hAnsi="黑体" w:eastAsia="黑体" w:cs="黑体"/>
          <w:sz w:val="32"/>
          <w:szCs w:val="32"/>
        </w:rPr>
        <w:t>八、有关建议</w:t>
      </w:r>
    </w:p>
    <w:p w14:paraId="1BA9F33A">
      <w:pPr>
        <w:keepNext w:val="0"/>
        <w:keepLines w:val="0"/>
        <w:pageBreakBefore w:val="0"/>
        <w:kinsoku/>
        <w:wordWrap/>
        <w:overflowPunct/>
        <w:topLinePunct w:val="0"/>
        <w:autoSpaceDE/>
        <w:autoSpaceDN/>
        <w:bidi w:val="0"/>
        <w:adjustRightInd/>
        <w:snapToGrid/>
        <w:spacing w:line="240" w:lineRule="auto"/>
        <w:ind w:firstLine="643" w:firstLineChars="200"/>
        <w:jc w:val="both"/>
        <w:textAlignment w:val="auto"/>
        <w:rPr>
          <w:rFonts w:hint="default" w:ascii="仿宋_GB2312" w:hAnsi="仿宋_GB2312" w:eastAsia="仿宋_GB2312" w:cs="仿宋_GB2312"/>
          <w:b w:val="0"/>
          <w:bCs w:val="0"/>
          <w:color w:val="000000"/>
          <w:kern w:val="0"/>
          <w:sz w:val="32"/>
          <w:szCs w:val="32"/>
          <w:lang w:val="en-US" w:eastAsia="zh-CN" w:bidi="ar-SA"/>
        </w:rPr>
      </w:pPr>
      <w:r>
        <w:rPr>
          <w:rFonts w:hint="default" w:ascii="楷体_GB2312" w:hAnsi="楷体_GB2312" w:eastAsia="楷体_GB2312" w:cs="楷体_GB2312"/>
          <w:b/>
          <w:bCs/>
          <w:color w:val="000000"/>
          <w:kern w:val="0"/>
          <w:sz w:val="32"/>
          <w:szCs w:val="32"/>
          <w:lang w:val="en-US" w:eastAsia="zh-CN"/>
        </w:rPr>
        <w:t>（一）切实消除安全隐患。</w:t>
      </w:r>
      <w:r>
        <w:rPr>
          <w:rFonts w:hint="default" w:ascii="仿宋_GB2312" w:hAnsi="仿宋_GB2312" w:eastAsia="仿宋_GB2312" w:cs="仿宋_GB2312"/>
          <w:b w:val="0"/>
          <w:bCs w:val="0"/>
          <w:color w:val="000000"/>
          <w:kern w:val="0"/>
          <w:sz w:val="32"/>
          <w:szCs w:val="32"/>
          <w:lang w:val="en-US" w:eastAsia="zh-CN" w:bidi="ar-SA"/>
        </w:rPr>
        <w:t>深入推进经营性自建房安全隐患整治，组织专业力量对初步判定存在安全隐患的开展安全鉴定，建立整治台账，按照先急后缓、先大后小的原则，整改完成一户、销号一户。对存在结构倒塌风险、危及公共安全的，要立即采取停止使用、临时封闭、人员撤离等管控措施，该拆除的依法拆除；对存在设计施工缺陷的，通过除险加固、限制用途等方式处理；对一般性隐患要立查立改，落实整改责任和措施。要积极探索符合地方实际的整治措施，结合棚户区改造、农村危房改造、</w:t>
      </w:r>
      <w:r>
        <w:rPr>
          <w:rFonts w:hint="eastAsia" w:ascii="仿宋_GB2312" w:hAnsi="仿宋_GB2312" w:eastAsia="仿宋_GB2312" w:cs="仿宋_GB2312"/>
          <w:b w:val="0"/>
          <w:bCs w:val="0"/>
          <w:color w:val="000000"/>
          <w:kern w:val="0"/>
          <w:sz w:val="32"/>
          <w:szCs w:val="32"/>
          <w:lang w:val="en-US" w:eastAsia="zh-CN" w:bidi="ar-SA"/>
        </w:rPr>
        <w:t>镇域改造</w:t>
      </w:r>
      <w:r>
        <w:rPr>
          <w:rFonts w:hint="default" w:ascii="仿宋_GB2312" w:hAnsi="仿宋_GB2312" w:eastAsia="仿宋_GB2312" w:cs="仿宋_GB2312"/>
          <w:b w:val="0"/>
          <w:bCs w:val="0"/>
          <w:color w:val="000000"/>
          <w:kern w:val="0"/>
          <w:sz w:val="32"/>
          <w:szCs w:val="32"/>
          <w:lang w:val="en-US" w:eastAsia="zh-CN" w:bidi="ar-SA"/>
        </w:rPr>
        <w:t>等，因地制宜采取分类处置措施，及时消除安全隐患</w:t>
      </w:r>
      <w:r>
        <w:rPr>
          <w:rFonts w:hint="eastAsia" w:ascii="仿宋_GB2312" w:hAnsi="仿宋_GB2312" w:eastAsia="仿宋_GB2312" w:cs="仿宋_GB2312"/>
          <w:b w:val="0"/>
          <w:bCs w:val="0"/>
          <w:color w:val="000000"/>
          <w:kern w:val="0"/>
          <w:sz w:val="32"/>
          <w:szCs w:val="32"/>
          <w:lang w:val="en-US" w:eastAsia="zh-CN" w:bidi="ar-SA"/>
        </w:rPr>
        <w:t>。</w:t>
      </w:r>
    </w:p>
    <w:p w14:paraId="1BC94574">
      <w:pPr>
        <w:keepNext w:val="0"/>
        <w:keepLines w:val="0"/>
        <w:pageBreakBefore w:val="0"/>
        <w:kinsoku/>
        <w:wordWrap/>
        <w:overflowPunct/>
        <w:topLinePunct w:val="0"/>
        <w:autoSpaceDE/>
        <w:autoSpaceDN/>
        <w:bidi w:val="0"/>
        <w:adjustRightInd/>
        <w:snapToGrid/>
        <w:spacing w:line="240" w:lineRule="auto"/>
        <w:ind w:firstLine="640"/>
        <w:jc w:val="both"/>
        <w:textAlignment w:val="auto"/>
        <w:rPr>
          <w:rFonts w:hint="default" w:ascii="仿宋_GB2312" w:hAnsi="仿宋_GB2312" w:eastAsia="仿宋_GB2312" w:cs="仿宋_GB2312"/>
          <w:b w:val="0"/>
          <w:bCs w:val="0"/>
          <w:color w:val="000000"/>
          <w:kern w:val="0"/>
          <w:sz w:val="32"/>
          <w:szCs w:val="32"/>
          <w:lang w:val="en-US" w:eastAsia="zh-CN" w:bidi="ar-SA"/>
        </w:rPr>
      </w:pPr>
      <w:r>
        <w:rPr>
          <w:rFonts w:hint="default" w:ascii="楷体_GB2312" w:hAnsi="楷体_GB2312" w:eastAsia="楷体_GB2312" w:cs="楷体_GB2312"/>
          <w:b/>
          <w:bCs/>
          <w:color w:val="000000"/>
          <w:kern w:val="0"/>
          <w:sz w:val="32"/>
          <w:szCs w:val="32"/>
          <w:lang w:val="en-US" w:eastAsia="zh-CN"/>
        </w:rPr>
        <w:t>（</w:t>
      </w:r>
      <w:r>
        <w:rPr>
          <w:rFonts w:hint="eastAsia" w:ascii="楷体_GB2312" w:hAnsi="楷体_GB2312" w:eastAsia="楷体_GB2312" w:cs="楷体_GB2312"/>
          <w:b/>
          <w:bCs/>
          <w:color w:val="000000"/>
          <w:kern w:val="0"/>
          <w:sz w:val="32"/>
          <w:szCs w:val="32"/>
          <w:lang w:val="en-US" w:eastAsia="zh-CN"/>
        </w:rPr>
        <w:t>二</w:t>
      </w:r>
      <w:r>
        <w:rPr>
          <w:rFonts w:hint="default" w:ascii="楷体_GB2312" w:hAnsi="楷体_GB2312" w:eastAsia="楷体_GB2312" w:cs="楷体_GB2312"/>
          <w:b/>
          <w:bCs/>
          <w:color w:val="000000"/>
          <w:kern w:val="0"/>
          <w:sz w:val="32"/>
          <w:szCs w:val="32"/>
          <w:lang w:val="en-US" w:eastAsia="zh-CN"/>
        </w:rPr>
        <w:t>）强化日常检查</w:t>
      </w:r>
      <w:r>
        <w:rPr>
          <w:rFonts w:hint="eastAsia" w:ascii="楷体_GB2312" w:hAnsi="楷体_GB2312" w:eastAsia="楷体_GB2312" w:cs="楷体_GB2312"/>
          <w:b/>
          <w:bCs/>
          <w:color w:val="000000"/>
          <w:kern w:val="0"/>
          <w:sz w:val="32"/>
          <w:szCs w:val="32"/>
          <w:lang w:val="en-US" w:eastAsia="zh-CN"/>
        </w:rPr>
        <w:t>工作</w:t>
      </w:r>
      <w:r>
        <w:rPr>
          <w:rFonts w:hint="default" w:ascii="楷体_GB2312" w:hAnsi="楷体_GB2312" w:eastAsia="楷体_GB2312" w:cs="楷体_GB2312"/>
          <w:b/>
          <w:bCs/>
          <w:color w:val="000000"/>
          <w:kern w:val="0"/>
          <w:sz w:val="32"/>
          <w:szCs w:val="32"/>
          <w:lang w:val="en-US" w:eastAsia="zh-CN"/>
        </w:rPr>
        <w:t>。</w:t>
      </w:r>
      <w:r>
        <w:rPr>
          <w:rFonts w:hint="default" w:ascii="仿宋_GB2312" w:hAnsi="仿宋_GB2312" w:eastAsia="仿宋_GB2312" w:cs="仿宋_GB2312"/>
          <w:b w:val="0"/>
          <w:bCs w:val="0"/>
          <w:color w:val="000000"/>
          <w:kern w:val="0"/>
          <w:sz w:val="32"/>
          <w:szCs w:val="32"/>
          <w:lang w:val="en-US" w:eastAsia="zh-CN" w:bidi="ar-SA"/>
        </w:rPr>
        <w:t>压紧压实属地责任，加强组织领导，进一步明确审批部门和行业主管部门的安全管理职责，强化督促指导，统筹协调解决重大问题，充实城镇房屋专业化管理力量，强化监管执法保障，定期对一线执法人员开展培训，提升基层监管执法能力和水平。</w:t>
      </w:r>
    </w:p>
    <w:p w14:paraId="3E61343C">
      <w:pPr>
        <w:keepNext w:val="0"/>
        <w:keepLines w:val="0"/>
        <w:pageBreakBefore w:val="0"/>
        <w:kinsoku/>
        <w:wordWrap/>
        <w:overflowPunct/>
        <w:topLinePunct w:val="0"/>
        <w:autoSpaceDE/>
        <w:autoSpaceDN/>
        <w:bidi w:val="0"/>
        <w:adjustRightInd/>
        <w:snapToGrid/>
        <w:spacing w:line="240" w:lineRule="auto"/>
        <w:ind w:firstLine="640"/>
        <w:jc w:val="both"/>
        <w:textAlignment w:val="auto"/>
        <w:rPr>
          <w:rFonts w:hint="eastAsia" w:ascii="仿宋_GB2312" w:hAnsi="仿宋_GB2312" w:eastAsia="仿宋_GB2312" w:cs="仿宋_GB2312"/>
          <w:kern w:val="0"/>
          <w:sz w:val="32"/>
          <w:szCs w:val="32"/>
          <w:lang w:val="en-US" w:eastAsia="zh-CN" w:bidi="ar"/>
        </w:rPr>
      </w:pPr>
      <w:r>
        <w:rPr>
          <w:rFonts w:hint="default" w:ascii="楷体_GB2312" w:hAnsi="楷体_GB2312" w:eastAsia="楷体_GB2312" w:cs="楷体_GB2312"/>
          <w:b/>
          <w:bCs/>
          <w:color w:val="000000"/>
          <w:kern w:val="0"/>
          <w:sz w:val="32"/>
          <w:szCs w:val="32"/>
          <w:lang w:val="en-US" w:eastAsia="zh-CN"/>
        </w:rPr>
        <w:t>（</w:t>
      </w:r>
      <w:r>
        <w:rPr>
          <w:rFonts w:hint="eastAsia" w:ascii="楷体_GB2312" w:hAnsi="楷体_GB2312" w:eastAsia="楷体_GB2312" w:cs="楷体_GB2312"/>
          <w:b/>
          <w:bCs/>
          <w:color w:val="000000"/>
          <w:kern w:val="0"/>
          <w:sz w:val="32"/>
          <w:szCs w:val="32"/>
          <w:lang w:val="en-US" w:eastAsia="zh-CN"/>
        </w:rPr>
        <w:t>三</w:t>
      </w:r>
      <w:r>
        <w:rPr>
          <w:rFonts w:hint="default" w:ascii="楷体_GB2312" w:hAnsi="楷体_GB2312" w:eastAsia="楷体_GB2312" w:cs="楷体_GB2312"/>
          <w:b/>
          <w:bCs/>
          <w:color w:val="000000"/>
          <w:kern w:val="0"/>
          <w:sz w:val="32"/>
          <w:szCs w:val="32"/>
          <w:lang w:val="en-US" w:eastAsia="zh-CN"/>
        </w:rPr>
        <w:t>）加强房屋安全鉴定管理。</w:t>
      </w:r>
      <w:r>
        <w:rPr>
          <w:rFonts w:hint="default" w:ascii="仿宋_GB2312" w:hAnsi="仿宋_GB2312" w:eastAsia="仿宋_GB2312" w:cs="仿宋_GB2312"/>
          <w:b w:val="0"/>
          <w:bCs w:val="0"/>
          <w:color w:val="000000"/>
          <w:kern w:val="0"/>
          <w:sz w:val="32"/>
          <w:szCs w:val="32"/>
          <w:lang w:val="en-US" w:eastAsia="zh-CN" w:bidi="ar-SA"/>
        </w:rPr>
        <w:t>规范房屋安全鉴定市场，公布房屋安全鉴定专业机构推荐名录。加强房屋安全鉴定机构和从业人员管理，定期开展专项检查，督促鉴定机构配备开展业务所必需的人员和设备，依法严厉打击出具虚假报告等行为，切实维护群众利益。</w:t>
      </w:r>
    </w:p>
    <w:p w14:paraId="2E1BCFD5">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需要说明的问题</w:t>
      </w:r>
    </w:p>
    <w:p w14:paraId="6AD4DAE6">
      <w:pPr>
        <w:pStyle w:val="2"/>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lang w:val="en-US" w:eastAsia="zh-CN"/>
        </w:rPr>
        <w:t>无</w:t>
      </w:r>
    </w:p>
    <w:p w14:paraId="72D29490">
      <w:pPr>
        <w:rPr>
          <w:rFonts w:hint="eastAsia"/>
          <w:lang w:val="en-US" w:eastAsia="zh-CN"/>
        </w:rPr>
      </w:pPr>
    </w:p>
    <w:p w14:paraId="79D6696E">
      <w:pPr>
        <w:pStyle w:val="2"/>
        <w:rPr>
          <w:rFonts w:hint="eastAsia"/>
          <w:lang w:val="en-US" w:eastAsia="zh-CN"/>
        </w:rPr>
      </w:pPr>
    </w:p>
    <w:p w14:paraId="4A5DC3F4">
      <w:pPr>
        <w:rPr>
          <w:rFonts w:hint="eastAsia"/>
          <w:lang w:val="en-US" w:eastAsia="zh-CN"/>
        </w:rPr>
      </w:pPr>
    </w:p>
    <w:p w14:paraId="44C44717">
      <w:pPr>
        <w:keepNext w:val="0"/>
        <w:keepLines w:val="0"/>
        <w:pageBreakBefore w:val="0"/>
        <w:kinsoku/>
        <w:wordWrap/>
        <w:overflowPunct/>
        <w:topLinePunct w:val="0"/>
        <w:autoSpaceDE/>
        <w:autoSpaceDN/>
        <w:bidi w:val="0"/>
        <w:adjustRightInd/>
        <w:snapToGrid/>
        <w:spacing w:line="240" w:lineRule="auto"/>
        <w:ind w:firstLine="4480" w:firstLineChars="1400"/>
        <w:jc w:val="both"/>
        <w:textAlignment w:val="auto"/>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2024年8月29日</w:t>
      </w:r>
    </w:p>
    <w:p w14:paraId="6B8099F8">
      <w:pPr>
        <w:pStyle w:val="2"/>
        <w:ind w:firstLine="4800" w:firstLineChars="1500"/>
        <w:rPr>
          <w:rFonts w:hint="default"/>
          <w:lang w:val="en-US" w:eastAsia="zh-CN"/>
        </w:rPr>
      </w:pPr>
      <w:r>
        <w:rPr>
          <w:rFonts w:hint="eastAsia" w:cs="仿宋_GB2312"/>
          <w:b w:val="0"/>
          <w:bCs w:val="0"/>
          <w:color w:val="000000"/>
          <w:kern w:val="0"/>
          <w:sz w:val="32"/>
          <w:szCs w:val="32"/>
          <w:lang w:val="en-US" w:eastAsia="zh-CN" w:bidi="ar-SA"/>
        </w:rPr>
        <w:t>秦川镇人民政府</w:t>
      </w:r>
    </w:p>
    <w:sectPr>
      <w:footerReference r:id="rId4" w:type="default"/>
      <w:pgSz w:w="11906" w:h="16838"/>
      <w:pgMar w:top="1440" w:right="1800" w:bottom="1440" w:left="1800" w:header="851" w:footer="1531"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ADACA">
    <w:pPr>
      <w:spacing w:line="240" w:lineRule="auto"/>
      <w:jc w:val="left"/>
      <w:rPr>
        <w:rFonts w:hint="default" w:ascii="Arial" w:hAnsi="Arial" w:eastAsia="Arial" w:cs="Arial"/>
        <w:sz w:val="2"/>
        <w:szCs w:val="2"/>
        <w:lang w:val="en-US"/>
      </w:rPr>
    </w:pPr>
    <w:r>
      <w:rPr>
        <w:rFonts w:hint="eastAsia" w:ascii="Arial" w:hAnsi="Arial" w:cs="Arial"/>
        <w:sz w:val="2"/>
        <w:szCs w:val="2"/>
        <w:lang w:val="en-US" w:eastAsia="zh-CN"/>
      </w:rPr>
      <w:t>21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32376">
    <w:pPr>
      <w:spacing w:line="240" w:lineRule="auto"/>
      <w:jc w:val="left"/>
      <w:rPr>
        <w:rFonts w:hint="default" w:ascii="Arial" w:hAnsi="Arial" w:eastAsia="Arial" w:cs="Arial"/>
        <w:sz w:val="2"/>
        <w:szCs w:val="2"/>
        <w:lang w:val="en-US"/>
      </w:rPr>
    </w:pPr>
    <w:r>
      <w:rPr>
        <w:sz w:val="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92795B">
                          <w:pPr>
                            <w:pStyle w:val="5"/>
                            <w:ind w:left="0" w:leftChars="0" w:firstLine="0" w:firstLineChars="0"/>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C92795B">
                    <w:pPr>
                      <w:pStyle w:val="5"/>
                      <w:ind w:left="0" w:leftChars="0" w:firstLine="0" w:firstLineChars="0"/>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p>
                </w:txbxContent>
              </v:textbox>
            </v:shape>
          </w:pict>
        </mc:Fallback>
      </mc:AlternateContent>
    </w:r>
    <w:r>
      <w:rPr>
        <w:rFonts w:hint="eastAsia" w:ascii="Arial" w:hAnsi="Arial" w:cs="Arial"/>
        <w:sz w:val="2"/>
        <w:szCs w:val="2"/>
        <w:lang w:val="en-US" w:eastAsia="zh-CN"/>
      </w:rPr>
      <w:t>21</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697A2C"/>
    <w:multiLevelType w:val="singleLevel"/>
    <w:tmpl w:val="99697A2C"/>
    <w:lvl w:ilvl="0" w:tentative="0">
      <w:start w:val="1"/>
      <w:numFmt w:val="chineseCounting"/>
      <w:suff w:val="nothing"/>
      <w:lvlText w:val="%1、"/>
      <w:lvlJc w:val="left"/>
      <w:rPr>
        <w:rFonts w:hint="eastAsia"/>
      </w:rPr>
    </w:lvl>
  </w:abstractNum>
  <w:abstractNum w:abstractNumId="1">
    <w:nsid w:val="38D09597"/>
    <w:multiLevelType w:val="singleLevel"/>
    <w:tmpl w:val="38D09597"/>
    <w:lvl w:ilvl="0" w:tentative="0">
      <w:start w:val="9"/>
      <w:numFmt w:val="chineseCounting"/>
      <w:suff w:val="nothing"/>
      <w:lvlText w:val="%1、"/>
      <w:lvlJc w:val="left"/>
      <w:rPr>
        <w:rFonts w:hint="eastAsia"/>
      </w:rPr>
    </w:lvl>
  </w:abstractNum>
  <w:abstractNum w:abstractNumId="2">
    <w:nsid w:val="7C0ED045"/>
    <w:multiLevelType w:val="singleLevel"/>
    <w:tmpl w:val="7C0ED045"/>
    <w:lvl w:ilvl="0" w:tentative="0">
      <w:start w:val="2"/>
      <w:numFmt w:val="chineseCounting"/>
      <w:suff w:val="nothing"/>
      <w:lvlText w:val="（%1）"/>
      <w:lvlJc w:val="left"/>
      <w:pPr>
        <w:ind w:left="-1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MTAxY2M1MWVkYzgzNjcyYzg3ZDAzZDFmNjIzZWMifQ=="/>
  </w:docVars>
  <w:rsids>
    <w:rsidRoot w:val="12C74F68"/>
    <w:rsid w:val="009C011B"/>
    <w:rsid w:val="00DA78E9"/>
    <w:rsid w:val="0119677B"/>
    <w:rsid w:val="01270F12"/>
    <w:rsid w:val="029A38EC"/>
    <w:rsid w:val="062A31D9"/>
    <w:rsid w:val="06B50CF4"/>
    <w:rsid w:val="07C80EFB"/>
    <w:rsid w:val="0A6E6F3C"/>
    <w:rsid w:val="0B9510F4"/>
    <w:rsid w:val="0CA37841"/>
    <w:rsid w:val="0CAB08EF"/>
    <w:rsid w:val="0E1307B0"/>
    <w:rsid w:val="0E367AEC"/>
    <w:rsid w:val="0E5C414B"/>
    <w:rsid w:val="0F704352"/>
    <w:rsid w:val="12865C3B"/>
    <w:rsid w:val="12C74F68"/>
    <w:rsid w:val="147A532B"/>
    <w:rsid w:val="1528122B"/>
    <w:rsid w:val="159643E7"/>
    <w:rsid w:val="19DC1B95"/>
    <w:rsid w:val="1B0A286E"/>
    <w:rsid w:val="1C0A2824"/>
    <w:rsid w:val="1D291FE4"/>
    <w:rsid w:val="1FA12306"/>
    <w:rsid w:val="22851A6B"/>
    <w:rsid w:val="243A6885"/>
    <w:rsid w:val="2CD0422B"/>
    <w:rsid w:val="2D845261"/>
    <w:rsid w:val="320D55D9"/>
    <w:rsid w:val="326E1D19"/>
    <w:rsid w:val="33347DFC"/>
    <w:rsid w:val="34C12832"/>
    <w:rsid w:val="36392746"/>
    <w:rsid w:val="385C2E16"/>
    <w:rsid w:val="3AB31024"/>
    <w:rsid w:val="3AE66F0D"/>
    <w:rsid w:val="3B0A0908"/>
    <w:rsid w:val="3F2B588D"/>
    <w:rsid w:val="42957528"/>
    <w:rsid w:val="430345BA"/>
    <w:rsid w:val="45717A64"/>
    <w:rsid w:val="47460F19"/>
    <w:rsid w:val="4AC42881"/>
    <w:rsid w:val="4B95246F"/>
    <w:rsid w:val="4DC25072"/>
    <w:rsid w:val="4F2E29BF"/>
    <w:rsid w:val="4FFDD15C"/>
    <w:rsid w:val="50FC089B"/>
    <w:rsid w:val="55452C15"/>
    <w:rsid w:val="57572CCF"/>
    <w:rsid w:val="5783624D"/>
    <w:rsid w:val="57DF24E8"/>
    <w:rsid w:val="599E6993"/>
    <w:rsid w:val="5FCE450D"/>
    <w:rsid w:val="61840B64"/>
    <w:rsid w:val="6198016C"/>
    <w:rsid w:val="62712E97"/>
    <w:rsid w:val="638C3D00"/>
    <w:rsid w:val="6451306F"/>
    <w:rsid w:val="64622E98"/>
    <w:rsid w:val="6481216A"/>
    <w:rsid w:val="65FE6C66"/>
    <w:rsid w:val="67FD6F7B"/>
    <w:rsid w:val="684352D5"/>
    <w:rsid w:val="68993147"/>
    <w:rsid w:val="6D686B04"/>
    <w:rsid w:val="70ED4030"/>
    <w:rsid w:val="732A65B7"/>
    <w:rsid w:val="755A763E"/>
    <w:rsid w:val="76544B51"/>
    <w:rsid w:val="79E63176"/>
    <w:rsid w:val="7A1533E7"/>
    <w:rsid w:val="7ADF1FAA"/>
    <w:rsid w:val="7AE2272C"/>
    <w:rsid w:val="7B735A7A"/>
    <w:rsid w:val="7CE81B50"/>
    <w:rsid w:val="7EA61CC2"/>
    <w:rsid w:val="BFAB2271"/>
    <w:rsid w:val="DFE20635"/>
    <w:rsid w:val="EE53F1AC"/>
    <w:rsid w:val="EFBD5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6"/>
    <w:next w:val="1"/>
    <w:qFormat/>
    <w:uiPriority w:val="9"/>
    <w:pPr>
      <w:keepNext/>
      <w:keepLines/>
      <w:widowControl w:val="0"/>
      <w:spacing w:line="360" w:lineRule="auto"/>
      <w:ind w:firstLine="640" w:firstLineChars="200"/>
      <w:jc w:val="both"/>
      <w:outlineLvl w:val="5"/>
    </w:pPr>
    <w:rPr>
      <w:rFonts w:ascii="Cambria" w:hAnsi="Cambria" w:eastAsia="仿宋_GB2312" w:cs="Times New Roman"/>
      <w:bCs/>
      <w:kern w:val="2"/>
      <w:sz w:val="24"/>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spacing w:after="120" w:line="660" w:lineRule="exact"/>
      <w:ind w:firstLine="640" w:firstLineChars="200"/>
      <w:jc w:val="both"/>
    </w:pPr>
    <w:rPr>
      <w:rFonts w:ascii="仿宋_GB2312" w:hAnsi="仿宋_GB2312" w:eastAsia="仿宋_GB2312" w:cs="Times New Roman"/>
      <w:kern w:val="2"/>
      <w:sz w:val="32"/>
      <w:szCs w:val="24"/>
      <w:lang w:val="en-US" w:eastAsia="zh-CN" w:bidi="ar-SA"/>
    </w:rPr>
  </w:style>
  <w:style w:type="paragraph" w:styleId="4">
    <w:name w:val="toc 3"/>
    <w:basedOn w:val="1"/>
    <w:next w:val="1"/>
    <w:qFormat/>
    <w:uiPriority w:val="0"/>
    <w:pPr>
      <w:ind w:left="840"/>
    </w:pPr>
  </w:style>
  <w:style w:type="paragraph" w:styleId="5">
    <w:name w:val="footer"/>
    <w:basedOn w:val="1"/>
    <w:qFormat/>
    <w:uiPriority w:val="99"/>
    <w:pPr>
      <w:widowControl w:val="0"/>
      <w:tabs>
        <w:tab w:val="center" w:pos="4153"/>
        <w:tab w:val="right" w:pos="8306"/>
      </w:tabs>
      <w:snapToGrid w:val="0"/>
      <w:spacing w:line="660" w:lineRule="exact"/>
      <w:ind w:firstLine="640" w:firstLineChars="200"/>
    </w:pPr>
    <w:rPr>
      <w:rFonts w:ascii="仿宋_GB2312" w:hAnsi="仿宋_GB2312" w:eastAsia="仿宋_GB2312" w:cs="Times New Roman"/>
      <w:kern w:val="2"/>
      <w:sz w:val="18"/>
      <w:szCs w:val="24"/>
      <w:lang w:val="en-US" w:eastAsia="zh-CN" w:bidi="ar-SA"/>
    </w:rPr>
  </w:style>
  <w:style w:type="paragraph" w:styleId="6">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Table Paragraph"/>
    <w:basedOn w:val="1"/>
    <w:qFormat/>
    <w:uiPriority w:val="1"/>
    <w:pPr>
      <w:jc w:val="center"/>
    </w:pPr>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5964</Words>
  <Characters>6224</Characters>
  <Lines>0</Lines>
  <Paragraphs>0</Paragraphs>
  <TotalTime>52</TotalTime>
  <ScaleCrop>false</ScaleCrop>
  <LinksUpToDate>false</LinksUpToDate>
  <CharactersWithSpaces>6382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2022-10-12T19:08:00Z</dcterms:created>
  <dc:creator>Administrator</dc:creator>
  <cp:lastModifiedBy>尘音</cp:lastModifiedBy>
  <cp:lastPrinted>2023-09-21T19:52:00Z</cp:lastPrinted>
  <dcterms:modified xsi:type="dcterms:W3CDTF">2024-08-29T08:38:14Z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053EC0E7B6E24D309A94F61CC3058490</vt:lpwstr>
  </property>
</Properties>
</file>