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atLeast"/>
        <w:jc w:val="center"/>
        <w:rPr>
          <w:rFonts w:hint="eastAsia" w:ascii="方正小标宋简体" w:hAnsi="华文中宋" w:eastAsia="方正小标宋简体"/>
          <w:sz w:val="44"/>
          <w:szCs w:val="44"/>
          <w:highlight w:val="none"/>
        </w:rPr>
      </w:pPr>
      <w:r>
        <w:rPr>
          <w:rFonts w:hint="eastAsia" w:ascii="方正小标宋简体" w:hAnsi="华文中宋" w:eastAsia="方正小标宋简体"/>
          <w:sz w:val="44"/>
          <w:szCs w:val="44"/>
          <w:highlight w:val="none"/>
        </w:rPr>
        <w:t>关于202</w:t>
      </w:r>
      <w:r>
        <w:rPr>
          <w:rFonts w:hint="eastAsia" w:ascii="方正小标宋简体" w:hAnsi="华文中宋" w:eastAsia="方正小标宋简体"/>
          <w:sz w:val="44"/>
          <w:szCs w:val="44"/>
          <w:highlight w:val="none"/>
          <w:lang w:val="en-US" w:eastAsia="zh-CN"/>
        </w:rPr>
        <w:t>3</w:t>
      </w:r>
      <w:r>
        <w:rPr>
          <w:rFonts w:hint="eastAsia" w:ascii="方正小标宋简体" w:hAnsi="华文中宋" w:eastAsia="方正小标宋简体"/>
          <w:sz w:val="44"/>
          <w:szCs w:val="44"/>
          <w:highlight w:val="none"/>
        </w:rPr>
        <w:t>年</w:t>
      </w:r>
      <w:r>
        <w:rPr>
          <w:rFonts w:hint="eastAsia" w:ascii="方正小标宋简体" w:hAnsi="华文中宋" w:eastAsia="方正小标宋简体"/>
          <w:sz w:val="44"/>
          <w:szCs w:val="44"/>
          <w:highlight w:val="none"/>
          <w:lang w:eastAsia="zh-CN"/>
        </w:rPr>
        <w:t>兰州新区</w:t>
      </w:r>
      <w:r>
        <w:rPr>
          <w:rFonts w:hint="eastAsia" w:ascii="方正小标宋简体" w:hAnsi="华文中宋" w:eastAsia="方正小标宋简体"/>
          <w:sz w:val="44"/>
          <w:szCs w:val="44"/>
          <w:highlight w:val="none"/>
        </w:rPr>
        <w:t>一般公共预算</w:t>
      </w:r>
      <w:r>
        <w:rPr>
          <w:rFonts w:hint="eastAsia" w:ascii="方正小标宋简体" w:hAnsi="华文中宋" w:eastAsia="方正小标宋简体"/>
          <w:sz w:val="44"/>
          <w:szCs w:val="44"/>
          <w:highlight w:val="none"/>
          <w:lang w:eastAsia="zh-CN"/>
        </w:rPr>
        <w:t>收</w:t>
      </w:r>
      <w:r>
        <w:rPr>
          <w:rFonts w:hint="eastAsia" w:ascii="方正小标宋简体" w:hAnsi="华文中宋" w:eastAsia="方正小标宋简体"/>
          <w:sz w:val="44"/>
          <w:szCs w:val="44"/>
          <w:highlight w:val="none"/>
        </w:rPr>
        <w:t>入</w:t>
      </w:r>
    </w:p>
    <w:p>
      <w:pPr>
        <w:adjustRightInd w:val="0"/>
        <w:snapToGrid w:val="0"/>
        <w:spacing w:line="560" w:lineRule="atLeast"/>
        <w:ind w:firstLine="880" w:firstLineChars="200"/>
        <w:jc w:val="center"/>
        <w:rPr>
          <w:rFonts w:ascii="方正小标宋简体" w:hAnsi="华文中宋" w:eastAsia="方正小标宋简体"/>
          <w:sz w:val="44"/>
          <w:szCs w:val="44"/>
          <w:highlight w:val="none"/>
        </w:rPr>
      </w:pPr>
      <w:r>
        <w:rPr>
          <w:rFonts w:hint="eastAsia" w:ascii="方正小标宋简体" w:hAnsi="华文中宋" w:eastAsia="方正小标宋简体"/>
          <w:sz w:val="44"/>
          <w:szCs w:val="44"/>
          <w:highlight w:val="none"/>
        </w:rPr>
        <w:t>决算的说明</w:t>
      </w:r>
    </w:p>
    <w:p>
      <w:pPr>
        <w:pStyle w:val="2"/>
        <w:adjustRightInd w:val="0"/>
        <w:snapToGrid w:val="0"/>
        <w:spacing w:line="560" w:lineRule="atLeast"/>
        <w:ind w:left="0" w:firstLine="640" w:firstLineChars="200"/>
        <w:jc w:val="both"/>
        <w:rPr>
          <w:rFonts w:ascii="仿宋_GB2312" w:hAnsi="仿宋" w:eastAsia="仿宋_GB2312"/>
          <w:highlight w:val="none"/>
        </w:rPr>
      </w:pPr>
      <w:r>
        <w:rPr>
          <w:rFonts w:hint="eastAsia" w:ascii="仿宋_GB2312" w:hAnsi="仿宋" w:eastAsia="仿宋_GB2312" w:cs="宋体"/>
          <w:position w:val="1"/>
          <w:highlight w:val="none"/>
        </w:rPr>
        <w:t>经</w:t>
      </w:r>
      <w:bookmarkStart w:id="0" w:name="_GoBack"/>
      <w:bookmarkEnd w:id="0"/>
      <w:r>
        <w:rPr>
          <w:rFonts w:hint="eastAsia" w:eastAsia="仿宋_GB2312"/>
          <w:sz w:val="32"/>
          <w:szCs w:val="36"/>
          <w:lang w:eastAsia="zh-CN"/>
        </w:rPr>
        <w:t>市</w:t>
      </w:r>
      <w:r>
        <w:rPr>
          <w:rFonts w:hint="eastAsia" w:eastAsia="仿宋_GB2312"/>
          <w:sz w:val="32"/>
          <w:szCs w:val="36"/>
        </w:rPr>
        <w:t>第十七届人民代表大会第二次会议</w:t>
      </w:r>
      <w:r>
        <w:rPr>
          <w:rFonts w:hint="eastAsia" w:ascii="仿宋_GB2312" w:hAnsi="宋体" w:eastAsia="仿宋_GB2312" w:cs="仿宋_GB2312"/>
          <w:b w:val="0"/>
          <w:bCs w:val="0"/>
          <w:color w:val="auto"/>
          <w:kern w:val="0"/>
          <w:sz w:val="32"/>
          <w:szCs w:val="32"/>
          <w:highlight w:val="none"/>
        </w:rPr>
        <w:t>批准的</w:t>
      </w:r>
      <w:r>
        <w:rPr>
          <w:rFonts w:hint="eastAsia" w:ascii="仿宋_GB2312" w:hAnsi="仿宋" w:eastAsia="仿宋_GB2312" w:cs="宋体"/>
          <w:position w:val="1"/>
          <w:highlight w:val="none"/>
        </w:rPr>
        <w:t>202</w:t>
      </w:r>
      <w:r>
        <w:rPr>
          <w:rFonts w:hint="eastAsia" w:ascii="仿宋_GB2312" w:hAnsi="仿宋" w:eastAsia="仿宋_GB2312" w:cs="宋体"/>
          <w:position w:val="1"/>
          <w:highlight w:val="none"/>
          <w:lang w:val="en-US" w:eastAsia="zh-CN"/>
        </w:rPr>
        <w:t>3</w:t>
      </w:r>
      <w:r>
        <w:rPr>
          <w:rFonts w:hint="eastAsia" w:ascii="仿宋_GB2312" w:hAnsi="仿宋" w:eastAsia="仿宋_GB2312" w:cs="宋体"/>
          <w:position w:val="1"/>
          <w:highlight w:val="none"/>
        </w:rPr>
        <w:t>年</w:t>
      </w:r>
      <w:r>
        <w:rPr>
          <w:rFonts w:hint="eastAsia" w:ascii="仿宋_GB2312" w:hAnsi="仿宋" w:eastAsia="仿宋_GB2312" w:cs="宋体"/>
          <w:position w:val="1"/>
          <w:highlight w:val="none"/>
          <w:lang w:eastAsia="zh-CN"/>
        </w:rPr>
        <w:t>新区</w:t>
      </w:r>
      <w:r>
        <w:rPr>
          <w:rFonts w:hint="eastAsia" w:ascii="仿宋_GB2312" w:hAnsi="仿宋" w:eastAsia="仿宋_GB2312" w:cs="宋体"/>
          <w:position w:val="1"/>
          <w:highlight w:val="none"/>
        </w:rPr>
        <w:t>一般公共预算收入预算为</w:t>
      </w:r>
      <w:r>
        <w:rPr>
          <w:rFonts w:hint="eastAsia" w:ascii="仿宋_GB2312" w:hAnsi="仿宋" w:eastAsia="仿宋_GB2312" w:cs="宋体"/>
          <w:position w:val="1"/>
          <w:highlight w:val="none"/>
          <w:lang w:val="en-US" w:eastAsia="zh-CN"/>
        </w:rPr>
        <w:t>36.77</w:t>
      </w:r>
      <w:r>
        <w:rPr>
          <w:rFonts w:hint="eastAsia" w:ascii="仿宋_GB2312" w:hAnsi="仿宋" w:eastAsia="仿宋_GB2312" w:cs="宋体"/>
          <w:position w:val="1"/>
          <w:highlight w:val="none"/>
        </w:rPr>
        <w:t>亿元，年终决算收入</w:t>
      </w:r>
      <w:r>
        <w:rPr>
          <w:rFonts w:hint="eastAsia" w:ascii="仿宋_GB2312" w:hAnsi="仿宋" w:eastAsia="仿宋_GB2312" w:cs="宋体"/>
          <w:position w:val="1"/>
          <w:highlight w:val="none"/>
          <w:lang w:val="en-US" w:eastAsia="zh-CN"/>
        </w:rPr>
        <w:t>39.34</w:t>
      </w:r>
      <w:r>
        <w:rPr>
          <w:rFonts w:hint="eastAsia" w:ascii="仿宋_GB2312" w:hAnsi="仿宋" w:eastAsia="仿宋_GB2312" w:cs="宋体"/>
          <w:position w:val="1"/>
          <w:highlight w:val="none"/>
        </w:rPr>
        <w:t>亿元，为预算的</w:t>
      </w:r>
      <w:r>
        <w:rPr>
          <w:rFonts w:hint="eastAsia" w:ascii="仿宋_GB2312" w:hAnsi="仿宋" w:eastAsia="仿宋_GB2312" w:cs="宋体"/>
          <w:position w:val="1"/>
          <w:highlight w:val="none"/>
          <w:lang w:val="en-US" w:eastAsia="zh-CN"/>
        </w:rPr>
        <w:t>106.98</w:t>
      </w:r>
      <w:r>
        <w:rPr>
          <w:rFonts w:hint="eastAsia" w:ascii="仿宋_GB2312" w:hAnsi="仿宋" w:eastAsia="仿宋_GB2312"/>
          <w:spacing w:val="-2"/>
          <w:sz w:val="32"/>
          <w:szCs w:val="32"/>
          <w:highlight w:val="none"/>
        </w:rPr>
        <w:t>%</w:t>
      </w:r>
      <w:r>
        <w:rPr>
          <w:rFonts w:hint="eastAsia" w:ascii="仿宋_GB2312" w:hAnsi="仿宋" w:eastAsia="仿宋_GB2312" w:cs="宋体"/>
          <w:position w:val="1"/>
          <w:highlight w:val="none"/>
          <w:lang w:val="en-US" w:eastAsia="zh-CN"/>
        </w:rPr>
        <w:t>，</w:t>
      </w:r>
      <w:r>
        <w:rPr>
          <w:rFonts w:hint="eastAsia" w:ascii="仿宋_GB2312" w:hAnsi="仿宋" w:eastAsia="仿宋_GB2312" w:cs="宋体"/>
          <w:position w:val="1"/>
          <w:highlight w:val="none"/>
        </w:rPr>
        <w:t>同比</w:t>
      </w:r>
      <w:r>
        <w:rPr>
          <w:rFonts w:hint="eastAsia" w:ascii="仿宋_GB2312" w:hAnsi="仿宋" w:eastAsia="仿宋_GB2312" w:cs="宋体"/>
          <w:position w:val="1"/>
          <w:highlight w:val="none"/>
          <w:lang w:eastAsia="zh-CN"/>
        </w:rPr>
        <w:t>增长</w:t>
      </w:r>
      <w:r>
        <w:rPr>
          <w:rFonts w:hint="eastAsia" w:ascii="仿宋_GB2312" w:hAnsi="仿宋" w:eastAsia="仿宋_GB2312" w:cs="宋体"/>
          <w:position w:val="1"/>
          <w:highlight w:val="none"/>
          <w:lang w:val="en-US" w:eastAsia="zh-CN"/>
        </w:rPr>
        <w:t>11.8</w:t>
      </w:r>
      <w:r>
        <w:rPr>
          <w:rFonts w:hint="eastAsia" w:ascii="仿宋_GB2312" w:hAnsi="仿宋" w:eastAsia="仿宋_GB2312"/>
          <w:spacing w:val="-2"/>
          <w:sz w:val="32"/>
          <w:szCs w:val="32"/>
          <w:highlight w:val="none"/>
        </w:rPr>
        <w:t>%</w:t>
      </w:r>
      <w:r>
        <w:rPr>
          <w:rFonts w:hint="eastAsia" w:ascii="仿宋_GB2312" w:hAnsi="仿宋" w:eastAsia="仿宋_GB2312"/>
          <w:position w:val="1"/>
          <w:highlight w:val="none"/>
        </w:rPr>
        <w:t>，其中：税收收入</w:t>
      </w:r>
      <w:r>
        <w:rPr>
          <w:rFonts w:hint="eastAsia" w:ascii="仿宋_GB2312" w:hAnsi="仿宋" w:eastAsia="仿宋_GB2312"/>
          <w:position w:val="1"/>
          <w:highlight w:val="none"/>
          <w:lang w:val="en-US" w:eastAsia="zh-CN"/>
        </w:rPr>
        <w:t>33.46</w:t>
      </w:r>
      <w:r>
        <w:rPr>
          <w:rFonts w:hint="eastAsia" w:ascii="仿宋_GB2312" w:hAnsi="仿宋" w:eastAsia="仿宋_GB2312"/>
          <w:position w:val="1"/>
          <w:highlight w:val="none"/>
        </w:rPr>
        <w:t>亿元，为预算的</w:t>
      </w:r>
      <w:r>
        <w:rPr>
          <w:rFonts w:hint="eastAsia" w:ascii="仿宋_GB2312" w:hAnsi="仿宋" w:eastAsia="仿宋_GB2312"/>
          <w:position w:val="1"/>
          <w:highlight w:val="none"/>
          <w:lang w:val="en-US" w:eastAsia="zh-CN"/>
        </w:rPr>
        <w:t>103.4</w:t>
      </w:r>
      <w:r>
        <w:rPr>
          <w:rFonts w:hint="eastAsia" w:ascii="仿宋_GB2312" w:hAnsi="仿宋" w:eastAsia="仿宋_GB2312"/>
          <w:spacing w:val="-2"/>
          <w:sz w:val="32"/>
          <w:szCs w:val="32"/>
          <w:highlight w:val="none"/>
        </w:rPr>
        <w:t>%</w:t>
      </w:r>
      <w:r>
        <w:rPr>
          <w:rFonts w:hint="eastAsia" w:ascii="仿宋_GB2312" w:hAnsi="仿宋" w:eastAsia="仿宋_GB2312"/>
          <w:position w:val="1"/>
          <w:highlight w:val="none"/>
        </w:rPr>
        <w:t>，同比</w:t>
      </w:r>
      <w:r>
        <w:rPr>
          <w:rFonts w:hint="eastAsia" w:ascii="仿宋_GB2312" w:hAnsi="仿宋" w:eastAsia="仿宋_GB2312"/>
          <w:position w:val="1"/>
          <w:highlight w:val="none"/>
          <w:lang w:eastAsia="zh-CN"/>
        </w:rPr>
        <w:t>增长</w:t>
      </w:r>
      <w:r>
        <w:rPr>
          <w:rFonts w:hint="eastAsia" w:ascii="仿宋_GB2312" w:hAnsi="仿宋" w:eastAsia="仿宋_GB2312"/>
          <w:position w:val="1"/>
          <w:highlight w:val="none"/>
          <w:lang w:val="en-US" w:eastAsia="zh-CN"/>
        </w:rPr>
        <w:t>41.1</w:t>
      </w:r>
      <w:r>
        <w:rPr>
          <w:rFonts w:hint="eastAsia" w:ascii="仿宋_GB2312" w:hAnsi="仿宋" w:eastAsia="仿宋_GB2312"/>
          <w:spacing w:val="-2"/>
          <w:sz w:val="32"/>
          <w:szCs w:val="32"/>
          <w:highlight w:val="none"/>
        </w:rPr>
        <w:t>%</w:t>
      </w:r>
      <w:r>
        <w:rPr>
          <w:rFonts w:hint="eastAsia" w:ascii="仿宋_GB2312" w:hAnsi="仿宋" w:eastAsia="仿宋_GB2312"/>
          <w:position w:val="1"/>
          <w:highlight w:val="none"/>
        </w:rPr>
        <w:t>；非税收入</w:t>
      </w:r>
      <w:r>
        <w:rPr>
          <w:rFonts w:hint="eastAsia" w:ascii="仿宋_GB2312" w:hAnsi="仿宋" w:eastAsia="仿宋_GB2312"/>
          <w:position w:val="1"/>
          <w:highlight w:val="none"/>
          <w:lang w:val="en-US" w:eastAsia="zh-CN"/>
        </w:rPr>
        <w:t>5.88</w:t>
      </w:r>
      <w:r>
        <w:rPr>
          <w:rFonts w:hint="eastAsia" w:ascii="仿宋_GB2312" w:hAnsi="仿宋" w:eastAsia="仿宋_GB2312"/>
          <w:position w:val="1"/>
          <w:highlight w:val="none"/>
        </w:rPr>
        <w:t>亿元，为预算的</w:t>
      </w:r>
      <w:r>
        <w:rPr>
          <w:rFonts w:hint="eastAsia" w:ascii="仿宋_GB2312" w:hAnsi="仿宋" w:eastAsia="仿宋_GB2312"/>
          <w:position w:val="1"/>
          <w:highlight w:val="none"/>
          <w:lang w:val="en-US" w:eastAsia="zh-CN"/>
        </w:rPr>
        <w:t>133.3</w:t>
      </w:r>
      <w:r>
        <w:rPr>
          <w:rFonts w:hint="eastAsia" w:ascii="仿宋_GB2312" w:hAnsi="仿宋" w:eastAsia="仿宋_GB2312"/>
          <w:spacing w:val="-2"/>
          <w:sz w:val="32"/>
          <w:szCs w:val="32"/>
          <w:highlight w:val="none"/>
        </w:rPr>
        <w:t>%</w:t>
      </w:r>
      <w:r>
        <w:rPr>
          <w:rFonts w:hint="eastAsia" w:ascii="仿宋_GB2312" w:hAnsi="仿宋" w:eastAsia="仿宋_GB2312"/>
          <w:position w:val="1"/>
          <w:highlight w:val="none"/>
        </w:rPr>
        <w:t>，同比</w:t>
      </w:r>
      <w:r>
        <w:rPr>
          <w:rFonts w:hint="eastAsia" w:ascii="仿宋_GB2312" w:hAnsi="仿宋" w:eastAsia="仿宋_GB2312"/>
          <w:position w:val="1"/>
          <w:highlight w:val="none"/>
          <w:lang w:eastAsia="zh-CN"/>
        </w:rPr>
        <w:t>下降</w:t>
      </w:r>
      <w:r>
        <w:rPr>
          <w:rFonts w:hint="eastAsia" w:ascii="仿宋_GB2312" w:hAnsi="仿宋" w:eastAsia="仿宋_GB2312"/>
          <w:position w:val="1"/>
          <w:highlight w:val="none"/>
          <w:lang w:val="en-US" w:eastAsia="zh-CN"/>
        </w:rPr>
        <w:t>48.6</w:t>
      </w:r>
      <w:r>
        <w:rPr>
          <w:rFonts w:hint="eastAsia" w:ascii="仿宋_GB2312" w:hAnsi="仿宋" w:eastAsia="仿宋_GB2312"/>
          <w:spacing w:val="-2"/>
          <w:sz w:val="32"/>
          <w:szCs w:val="32"/>
          <w:highlight w:val="none"/>
        </w:rPr>
        <w:t>%</w:t>
      </w:r>
      <w:r>
        <w:rPr>
          <w:rFonts w:hint="eastAsia" w:ascii="仿宋_GB2312" w:hAnsi="仿宋" w:eastAsia="仿宋_GB2312"/>
          <w:position w:val="1"/>
          <w:highlight w:val="none"/>
        </w:rPr>
        <w:t>。主要情况如下：</w:t>
      </w:r>
    </w:p>
    <w:p>
      <w:pPr>
        <w:pStyle w:val="9"/>
        <w:numPr>
          <w:ilvl w:val="0"/>
          <w:numId w:val="0"/>
        </w:numPr>
        <w:tabs>
          <w:tab w:val="left" w:pos="1083"/>
        </w:tabs>
        <w:adjustRightInd w:val="0"/>
        <w:snapToGrid w:val="0"/>
        <w:spacing w:line="560" w:lineRule="atLeast"/>
        <w:ind w:firstLine="643" w:firstLineChars="200"/>
        <w:jc w:val="both"/>
        <w:rPr>
          <w:rFonts w:ascii="仿宋_GB2312" w:hAnsi="仿宋" w:eastAsia="仿宋_GB2312"/>
          <w:highlight w:val="none"/>
        </w:rPr>
      </w:pPr>
      <w:r>
        <w:rPr>
          <w:rFonts w:hint="eastAsia" w:ascii="仿宋_GB2312" w:hAnsi="仿宋" w:eastAsia="仿宋_GB2312"/>
          <w:highlight w:val="none"/>
          <w:lang w:val="en-US" w:eastAsia="zh-CN"/>
        </w:rPr>
        <w:t>1.</w:t>
      </w:r>
      <w:r>
        <w:rPr>
          <w:rFonts w:hint="eastAsia" w:ascii="仿宋_GB2312" w:hAnsi="仿宋" w:eastAsia="仿宋_GB2312"/>
          <w:highlight w:val="none"/>
        </w:rPr>
        <w:t>税收收入</w:t>
      </w:r>
    </w:p>
    <w:p>
      <w:pPr>
        <w:adjustRightInd w:val="0"/>
        <w:snapToGrid w:val="0"/>
        <w:spacing w:line="560" w:lineRule="atLeast"/>
        <w:ind w:firstLine="632" w:firstLineChars="200"/>
        <w:rPr>
          <w:rFonts w:hint="eastAsia" w:ascii="仿宋_GB2312" w:hAnsi="仿宋" w:eastAsia="仿宋_GB2312"/>
          <w:sz w:val="32"/>
          <w:szCs w:val="32"/>
          <w:highlight w:val="none"/>
          <w:lang w:eastAsia="zh-CN"/>
        </w:rPr>
      </w:pPr>
      <w:r>
        <w:rPr>
          <w:rFonts w:hint="eastAsia" w:ascii="仿宋_GB2312" w:hAnsi="仿宋" w:eastAsia="仿宋_GB2312"/>
          <w:spacing w:val="-2"/>
          <w:sz w:val="32"/>
          <w:szCs w:val="32"/>
          <w:highlight w:val="none"/>
        </w:rPr>
        <w:t>增值税</w:t>
      </w:r>
      <w:r>
        <w:rPr>
          <w:rFonts w:hint="eastAsia" w:ascii="仿宋_GB2312" w:hAnsi="仿宋" w:eastAsia="仿宋_GB2312"/>
          <w:spacing w:val="-2"/>
          <w:sz w:val="32"/>
          <w:szCs w:val="32"/>
          <w:highlight w:val="none"/>
          <w:lang w:val="en-US" w:eastAsia="zh-CN"/>
        </w:rPr>
        <w:t>17.37</w:t>
      </w:r>
      <w:r>
        <w:rPr>
          <w:rFonts w:hint="eastAsia" w:ascii="仿宋_GB2312" w:hAnsi="仿宋" w:eastAsia="仿宋_GB2312"/>
          <w:spacing w:val="-2"/>
          <w:sz w:val="32"/>
          <w:szCs w:val="32"/>
          <w:highlight w:val="none"/>
        </w:rPr>
        <w:t>亿元，为预算的</w:t>
      </w:r>
      <w:r>
        <w:rPr>
          <w:rFonts w:hint="eastAsia" w:ascii="仿宋_GB2312" w:hAnsi="仿宋" w:eastAsia="仿宋_GB2312"/>
          <w:spacing w:val="-2"/>
          <w:sz w:val="32"/>
          <w:szCs w:val="32"/>
          <w:highlight w:val="none"/>
          <w:lang w:val="en-US" w:eastAsia="zh-CN"/>
        </w:rPr>
        <w:t>125.9</w:t>
      </w:r>
      <w:r>
        <w:rPr>
          <w:rFonts w:hint="eastAsia" w:ascii="仿宋_GB2312" w:hAnsi="仿宋" w:eastAsia="仿宋_GB2312"/>
          <w:spacing w:val="-2"/>
          <w:sz w:val="32"/>
          <w:szCs w:val="32"/>
          <w:highlight w:val="none"/>
        </w:rPr>
        <w:t>%，</w:t>
      </w:r>
      <w:r>
        <w:rPr>
          <w:rFonts w:hint="eastAsia" w:ascii="仿宋_GB2312" w:hAnsi="仿宋" w:eastAsia="仿宋_GB2312"/>
          <w:spacing w:val="-2"/>
          <w:sz w:val="32"/>
          <w:szCs w:val="32"/>
          <w:highlight w:val="none"/>
          <w:lang w:eastAsia="zh-CN"/>
        </w:rPr>
        <w:t>同比增长</w:t>
      </w:r>
      <w:r>
        <w:rPr>
          <w:rFonts w:hint="eastAsia" w:ascii="仿宋_GB2312" w:hAnsi="仿宋" w:eastAsia="仿宋_GB2312"/>
          <w:spacing w:val="-2"/>
          <w:sz w:val="32"/>
          <w:szCs w:val="32"/>
          <w:highlight w:val="none"/>
          <w:lang w:val="en-US" w:eastAsia="zh-CN"/>
        </w:rPr>
        <w:t>96.7</w:t>
      </w:r>
      <w:r>
        <w:rPr>
          <w:rFonts w:hint="eastAsia" w:ascii="仿宋_GB2312" w:hAnsi="仿宋" w:eastAsia="仿宋_GB2312"/>
          <w:spacing w:val="-2"/>
          <w:sz w:val="32"/>
          <w:szCs w:val="32"/>
          <w:highlight w:val="none"/>
        </w:rPr>
        <w:t>%</w:t>
      </w:r>
      <w:r>
        <w:rPr>
          <w:rFonts w:hint="eastAsia" w:ascii="仿宋_GB2312" w:hAnsi="仿宋" w:eastAsia="仿宋_GB2312"/>
          <w:spacing w:val="-2"/>
          <w:sz w:val="32"/>
          <w:szCs w:val="32"/>
          <w:highlight w:val="none"/>
          <w:lang w:eastAsia="zh-CN"/>
        </w:rPr>
        <w:t>；</w:t>
      </w:r>
      <w:r>
        <w:rPr>
          <w:rFonts w:hint="eastAsia" w:ascii="仿宋_GB2312" w:hAnsi="仿宋" w:eastAsia="仿宋_GB2312"/>
          <w:snapToGrid w:val="0"/>
          <w:position w:val="1"/>
          <w:sz w:val="32"/>
          <w:szCs w:val="32"/>
          <w:highlight w:val="none"/>
        </w:rPr>
        <w:t>企业所得税</w:t>
      </w:r>
      <w:r>
        <w:rPr>
          <w:rFonts w:hint="eastAsia" w:ascii="仿宋_GB2312" w:hAnsi="仿宋" w:eastAsia="仿宋_GB2312"/>
          <w:snapToGrid w:val="0"/>
          <w:position w:val="1"/>
          <w:sz w:val="32"/>
          <w:szCs w:val="32"/>
          <w:highlight w:val="none"/>
          <w:lang w:val="en-US" w:eastAsia="zh-CN"/>
        </w:rPr>
        <w:t>2.17</w:t>
      </w:r>
      <w:r>
        <w:rPr>
          <w:rFonts w:hint="eastAsia" w:ascii="仿宋_GB2312" w:hAnsi="仿宋" w:eastAsia="仿宋_GB2312"/>
          <w:snapToGrid w:val="0"/>
          <w:position w:val="1"/>
          <w:sz w:val="32"/>
          <w:szCs w:val="32"/>
          <w:highlight w:val="none"/>
        </w:rPr>
        <w:t>亿元，为预算的</w:t>
      </w:r>
      <w:r>
        <w:rPr>
          <w:rFonts w:hint="eastAsia" w:ascii="仿宋_GB2312" w:hAnsi="仿宋" w:eastAsia="仿宋_GB2312"/>
          <w:snapToGrid w:val="0"/>
          <w:position w:val="1"/>
          <w:sz w:val="32"/>
          <w:szCs w:val="32"/>
          <w:highlight w:val="none"/>
          <w:lang w:val="en-US" w:eastAsia="zh-CN"/>
        </w:rPr>
        <w:t>89.7</w:t>
      </w:r>
      <w:r>
        <w:rPr>
          <w:rFonts w:hint="eastAsia" w:ascii="仿宋_GB2312" w:hAnsi="仿宋" w:eastAsia="仿宋_GB2312"/>
          <w:spacing w:val="-2"/>
          <w:sz w:val="32"/>
          <w:szCs w:val="32"/>
          <w:highlight w:val="none"/>
        </w:rPr>
        <w:t>%</w:t>
      </w:r>
      <w:r>
        <w:rPr>
          <w:rFonts w:hint="eastAsia" w:ascii="仿宋_GB2312" w:hAnsi="仿宋" w:eastAsia="仿宋_GB2312"/>
          <w:snapToGrid w:val="0"/>
          <w:position w:val="1"/>
          <w:sz w:val="32"/>
          <w:szCs w:val="32"/>
          <w:highlight w:val="none"/>
        </w:rPr>
        <w:t>，</w:t>
      </w:r>
      <w:r>
        <w:rPr>
          <w:rFonts w:hint="eastAsia" w:ascii="仿宋_GB2312" w:hAnsi="仿宋" w:eastAsia="仿宋_GB2312"/>
          <w:spacing w:val="-2"/>
          <w:sz w:val="32"/>
          <w:szCs w:val="32"/>
          <w:highlight w:val="none"/>
          <w:lang w:eastAsia="zh-CN"/>
        </w:rPr>
        <w:t>同比下降</w:t>
      </w:r>
      <w:r>
        <w:rPr>
          <w:rFonts w:hint="eastAsia" w:ascii="仿宋_GB2312" w:hAnsi="仿宋" w:eastAsia="仿宋_GB2312"/>
          <w:spacing w:val="-2"/>
          <w:sz w:val="32"/>
          <w:szCs w:val="32"/>
          <w:highlight w:val="none"/>
          <w:lang w:val="en-US" w:eastAsia="zh-CN"/>
        </w:rPr>
        <w:t>0.9</w:t>
      </w:r>
      <w:r>
        <w:rPr>
          <w:rFonts w:hint="eastAsia" w:ascii="仿宋_GB2312" w:hAnsi="仿宋" w:eastAsia="仿宋_GB2312"/>
          <w:spacing w:val="-2"/>
          <w:sz w:val="32"/>
          <w:szCs w:val="32"/>
          <w:highlight w:val="none"/>
        </w:rPr>
        <w:t>%</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 w:eastAsia="仿宋_GB2312"/>
          <w:sz w:val="32"/>
          <w:szCs w:val="32"/>
          <w:highlight w:val="none"/>
        </w:rPr>
        <w:t>个人所得税</w:t>
      </w:r>
      <w:r>
        <w:rPr>
          <w:rFonts w:hint="eastAsia" w:ascii="仿宋_GB2312" w:hAnsi="仿宋" w:eastAsia="仿宋_GB2312"/>
          <w:sz w:val="32"/>
          <w:szCs w:val="32"/>
          <w:highlight w:val="none"/>
          <w:lang w:val="en-US" w:eastAsia="zh-CN"/>
        </w:rPr>
        <w:t>0.44</w:t>
      </w:r>
      <w:r>
        <w:rPr>
          <w:rFonts w:hint="eastAsia" w:ascii="仿宋_GB2312" w:hAnsi="仿宋" w:eastAsia="仿宋_GB2312"/>
          <w:sz w:val="32"/>
          <w:szCs w:val="32"/>
          <w:highlight w:val="none"/>
        </w:rPr>
        <w:t>亿元，为预算的</w:t>
      </w:r>
      <w:r>
        <w:rPr>
          <w:rFonts w:hint="eastAsia" w:ascii="仿宋_GB2312" w:hAnsi="仿宋" w:eastAsia="仿宋_GB2312"/>
          <w:sz w:val="32"/>
          <w:szCs w:val="32"/>
          <w:highlight w:val="none"/>
          <w:lang w:val="en-US" w:eastAsia="zh-CN"/>
        </w:rPr>
        <w:t>93</w:t>
      </w:r>
      <w:r>
        <w:rPr>
          <w:rFonts w:hint="eastAsia" w:ascii="仿宋_GB2312" w:hAnsi="仿宋" w:eastAsia="仿宋_GB2312"/>
          <w:spacing w:val="-2"/>
          <w:sz w:val="32"/>
          <w:szCs w:val="32"/>
          <w:highlight w:val="none"/>
        </w:rPr>
        <w:t>%</w:t>
      </w:r>
      <w:r>
        <w:rPr>
          <w:rFonts w:hint="eastAsia" w:ascii="仿宋_GB2312" w:hAnsi="仿宋" w:eastAsia="仿宋_GB2312"/>
          <w:sz w:val="32"/>
          <w:szCs w:val="32"/>
          <w:highlight w:val="none"/>
        </w:rPr>
        <w:t>，</w:t>
      </w:r>
      <w:r>
        <w:rPr>
          <w:rFonts w:hint="eastAsia" w:ascii="仿宋_GB2312" w:hAnsi="仿宋" w:eastAsia="仿宋_GB2312"/>
          <w:spacing w:val="-2"/>
          <w:sz w:val="32"/>
          <w:szCs w:val="32"/>
          <w:highlight w:val="none"/>
          <w:lang w:eastAsia="zh-CN"/>
        </w:rPr>
        <w:t>同比增长</w:t>
      </w:r>
      <w:r>
        <w:rPr>
          <w:rFonts w:hint="eastAsia" w:ascii="仿宋_GB2312" w:hAnsi="仿宋" w:eastAsia="仿宋_GB2312"/>
          <w:spacing w:val="-2"/>
          <w:sz w:val="32"/>
          <w:szCs w:val="32"/>
          <w:highlight w:val="none"/>
          <w:lang w:val="en-US" w:eastAsia="zh-CN"/>
        </w:rPr>
        <w:t>21.1</w:t>
      </w:r>
      <w:r>
        <w:rPr>
          <w:rFonts w:hint="eastAsia" w:ascii="仿宋_GB2312" w:hAnsi="仿宋" w:eastAsia="仿宋_GB2312"/>
          <w:spacing w:val="-2"/>
          <w:sz w:val="32"/>
          <w:szCs w:val="32"/>
          <w:highlight w:val="none"/>
        </w:rPr>
        <w:t>%</w:t>
      </w:r>
      <w:r>
        <w:rPr>
          <w:rFonts w:hint="eastAsia" w:ascii="仿宋_GB2312" w:hAnsi="仿宋" w:eastAsia="仿宋_GB2312"/>
          <w:spacing w:val="-2"/>
          <w:sz w:val="32"/>
          <w:szCs w:val="32"/>
          <w:highlight w:val="none"/>
          <w:lang w:eastAsia="zh-CN"/>
        </w:rPr>
        <w:t>。</w:t>
      </w:r>
      <w:r>
        <w:rPr>
          <w:rFonts w:hint="eastAsia" w:ascii="仿宋_GB2312" w:hAnsi="仿宋" w:eastAsia="仿宋_GB2312"/>
          <w:spacing w:val="-2"/>
          <w:sz w:val="32"/>
          <w:szCs w:val="32"/>
          <w:highlight w:val="none"/>
          <w:lang w:val="en-US" w:eastAsia="zh-CN"/>
        </w:rPr>
        <w:t xml:space="preserve">财政收入保持较快增长，主要是去年留抵退税拉低基数。                                                                                </w:t>
      </w:r>
    </w:p>
    <w:p>
      <w:pPr>
        <w:pStyle w:val="9"/>
        <w:tabs>
          <w:tab w:val="left" w:pos="1083"/>
        </w:tabs>
        <w:adjustRightInd w:val="0"/>
        <w:snapToGrid w:val="0"/>
        <w:spacing w:line="560" w:lineRule="atLeast"/>
        <w:ind w:left="0" w:firstLine="630" w:firstLineChars="196"/>
        <w:jc w:val="both"/>
        <w:rPr>
          <w:rFonts w:ascii="仿宋_GB2312" w:hAnsi="仿宋" w:eastAsia="仿宋_GB2312"/>
          <w:highlight w:val="none"/>
        </w:rPr>
      </w:pPr>
      <w:r>
        <w:rPr>
          <w:rFonts w:hint="eastAsia" w:ascii="仿宋_GB2312" w:hAnsi="仿宋" w:eastAsia="仿宋_GB2312"/>
          <w:highlight w:val="none"/>
        </w:rPr>
        <w:t>2.非税收入</w:t>
      </w:r>
    </w:p>
    <w:p>
      <w:pPr>
        <w:adjustRightInd w:val="0"/>
        <w:snapToGrid w:val="0"/>
        <w:spacing w:line="560" w:lineRule="atLeas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专项收入3.96亿元，为预算的139.5%，同比增长9%。主要是税务部门清缴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教育费附加及残疾人就业保障金</w:t>
      </w:r>
      <w:r>
        <w:rPr>
          <w:rFonts w:hint="eastAsia" w:ascii="仿宋_GB2312" w:hAnsi="仿宋_GB2312" w:eastAsia="仿宋_GB2312" w:cs="仿宋_GB2312"/>
          <w:color w:val="auto"/>
          <w:sz w:val="32"/>
          <w:szCs w:val="32"/>
          <w:highlight w:val="none"/>
          <w:lang w:val="en-US" w:eastAsia="zh-CN"/>
        </w:rPr>
        <w:t>。</w:t>
      </w:r>
    </w:p>
    <w:p>
      <w:pPr>
        <w:adjustRightInd w:val="0"/>
        <w:snapToGrid w:val="0"/>
        <w:spacing w:line="560" w:lineRule="atLeast"/>
        <w:ind w:firstLine="640" w:firstLineChars="200"/>
        <w:rPr>
          <w:rFonts w:hint="eastAsia"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color w:val="auto"/>
          <w:sz w:val="32"/>
          <w:szCs w:val="32"/>
          <w:highlight w:val="none"/>
          <w:lang w:val="en-US" w:eastAsia="zh-CN"/>
        </w:rPr>
        <w:t>国有资源（资产）有偿使用收入0.67亿元，为预算的85.7</w:t>
      </w:r>
      <w:r>
        <w:rPr>
          <w:rFonts w:hint="eastAsia" w:ascii="仿宋_GB2312" w:hAnsi="仿宋" w:eastAsia="仿宋_GB2312"/>
          <w:spacing w:val="-2"/>
          <w:sz w:val="32"/>
          <w:szCs w:val="32"/>
          <w:highlight w:val="none"/>
        </w:rPr>
        <w:t>%</w:t>
      </w:r>
      <w:r>
        <w:rPr>
          <w:rFonts w:hint="eastAsia" w:ascii="仿宋_GB2312" w:hAnsi="仿宋_GB2312" w:eastAsia="仿宋_GB2312" w:cs="仿宋_GB2312"/>
          <w:color w:val="auto"/>
          <w:sz w:val="32"/>
          <w:szCs w:val="32"/>
          <w:highlight w:val="none"/>
          <w:lang w:val="en-US" w:eastAsia="zh-CN"/>
        </w:rPr>
        <w:t>，同比增长163.9</w:t>
      </w:r>
      <w:r>
        <w:rPr>
          <w:rFonts w:hint="eastAsia" w:ascii="仿宋_GB2312" w:hAnsi="仿宋" w:eastAsia="仿宋_GB2312"/>
          <w:spacing w:val="-2"/>
          <w:sz w:val="32"/>
          <w:szCs w:val="32"/>
          <w:highlight w:val="none"/>
        </w:rPr>
        <w:t>%</w:t>
      </w:r>
      <w:r>
        <w:rPr>
          <w:rFonts w:hint="eastAsia" w:ascii="仿宋_GB2312" w:hAnsi="仿宋_GB2312" w:eastAsia="仿宋_GB2312" w:cs="仿宋_GB2312"/>
          <w:color w:val="auto"/>
          <w:sz w:val="32"/>
          <w:szCs w:val="32"/>
          <w:highlight w:val="none"/>
          <w:lang w:val="en-US" w:eastAsia="zh-CN"/>
        </w:rPr>
        <w:t>。主要是新区自然资源局征收矿业权出让收益0.45亿元。</w:t>
      </w:r>
    </w:p>
    <w:p>
      <w:pPr>
        <w:pStyle w:val="2"/>
        <w:adjustRightInd w:val="0"/>
        <w:snapToGrid w:val="0"/>
        <w:spacing w:line="560" w:lineRule="atLeast"/>
        <w:ind w:left="0"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 w:eastAsia="仿宋_GB2312"/>
          <w:color w:val="auto"/>
          <w:highlight w:val="none"/>
          <w:lang w:eastAsia="zh-CN"/>
        </w:rPr>
        <w:t>罚没</w:t>
      </w:r>
      <w:r>
        <w:rPr>
          <w:rFonts w:hint="eastAsia" w:ascii="仿宋_GB2312" w:hAnsi="仿宋" w:eastAsia="仿宋_GB2312"/>
          <w:color w:val="auto"/>
          <w:highlight w:val="none"/>
        </w:rPr>
        <w:t>收入</w:t>
      </w:r>
      <w:r>
        <w:rPr>
          <w:rFonts w:hint="eastAsia" w:ascii="仿宋_GB2312" w:hAnsi="仿宋" w:eastAsia="仿宋_GB2312"/>
          <w:color w:val="auto"/>
          <w:highlight w:val="none"/>
          <w:lang w:val="en-US" w:eastAsia="zh-CN"/>
        </w:rPr>
        <w:t>0.53</w:t>
      </w:r>
      <w:r>
        <w:rPr>
          <w:rFonts w:hint="eastAsia" w:ascii="仿宋_GB2312" w:hAnsi="仿宋" w:eastAsia="仿宋_GB2312"/>
          <w:color w:val="auto"/>
          <w:highlight w:val="none"/>
        </w:rPr>
        <w:t>亿元，为预算的</w:t>
      </w:r>
      <w:r>
        <w:rPr>
          <w:rFonts w:hint="eastAsia" w:ascii="仿宋_GB2312" w:hAnsi="仿宋" w:eastAsia="仿宋_GB2312"/>
          <w:color w:val="auto"/>
          <w:highlight w:val="none"/>
          <w:lang w:val="en-US" w:eastAsia="zh-CN"/>
        </w:rPr>
        <w:t>272.9</w:t>
      </w:r>
      <w:r>
        <w:rPr>
          <w:rFonts w:hint="eastAsia" w:ascii="仿宋_GB2312" w:hAnsi="仿宋" w:eastAsia="仿宋_GB2312"/>
          <w:color w:val="auto"/>
          <w:highlight w:val="none"/>
        </w:rPr>
        <w:t>%，</w:t>
      </w:r>
      <w:r>
        <w:rPr>
          <w:rFonts w:hint="eastAsia" w:ascii="仿宋_GB2312" w:hAnsi="仿宋" w:eastAsia="仿宋_GB2312"/>
          <w:color w:val="auto"/>
          <w:highlight w:val="none"/>
          <w:lang w:eastAsia="zh-CN"/>
        </w:rPr>
        <w:t>同比下降</w:t>
      </w:r>
      <w:r>
        <w:rPr>
          <w:rFonts w:hint="eastAsia" w:ascii="仿宋_GB2312" w:hAnsi="仿宋" w:eastAsia="仿宋_GB2312"/>
          <w:color w:val="auto"/>
          <w:highlight w:val="none"/>
          <w:lang w:val="en-US" w:eastAsia="zh-CN"/>
        </w:rPr>
        <w:t>37.3</w:t>
      </w:r>
      <w:r>
        <w:rPr>
          <w:rFonts w:hint="eastAsia" w:ascii="仿宋_GB2312" w:hAnsi="仿宋" w:eastAsia="仿宋_GB2312"/>
          <w:color w:val="auto"/>
          <w:highlight w:val="none"/>
        </w:rPr>
        <w:t>%</w:t>
      </w:r>
      <w:r>
        <w:rPr>
          <w:rFonts w:hint="eastAsia" w:ascii="仿宋_GB2312" w:hAnsi="仿宋" w:eastAsia="仿宋_GB2312"/>
          <w:color w:val="auto"/>
          <w:highlight w:val="none"/>
          <w:lang w:eastAsia="zh-CN"/>
        </w:rPr>
        <w:t>。</w:t>
      </w:r>
    </w:p>
    <w:p>
      <w:pPr>
        <w:adjustRightInd w:val="0"/>
        <w:snapToGrid w:val="0"/>
        <w:spacing w:line="560" w:lineRule="atLeast"/>
        <w:ind w:firstLine="643" w:firstLineChars="200"/>
        <w:jc w:val="both"/>
        <w:rPr>
          <w:rFonts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3</w:t>
      </w:r>
      <w:r>
        <w:rPr>
          <w:rFonts w:hint="eastAsia" w:ascii="仿宋_GB2312" w:hAnsi="仿宋" w:eastAsia="仿宋_GB2312"/>
          <w:color w:val="auto"/>
          <w:sz w:val="32"/>
          <w:szCs w:val="32"/>
          <w:highlight w:val="none"/>
        </w:rPr>
        <w:t>.</w:t>
      </w:r>
      <w:r>
        <w:rPr>
          <w:rFonts w:hint="eastAsia" w:ascii="仿宋_GB2312" w:hAnsi="仿宋" w:eastAsia="仿宋_GB2312"/>
          <w:b/>
          <w:color w:val="auto"/>
          <w:sz w:val="32"/>
          <w:szCs w:val="32"/>
          <w:highlight w:val="none"/>
        </w:rPr>
        <w:t>非税收入相关政策</w:t>
      </w:r>
    </w:p>
    <w:p>
      <w:pPr>
        <w:pStyle w:val="2"/>
        <w:adjustRightInd w:val="0"/>
        <w:snapToGrid w:val="0"/>
        <w:spacing w:line="560" w:lineRule="atLeast"/>
        <w:ind w:left="0" w:firstLine="640" w:firstLineChars="200"/>
        <w:jc w:val="both"/>
        <w:rPr>
          <w:rFonts w:ascii="仿宋_GB2312" w:hAnsi="仿宋" w:eastAsia="仿宋_GB2312"/>
          <w:color w:val="auto"/>
          <w:highlight w:val="none"/>
        </w:rPr>
      </w:pPr>
      <w:r>
        <w:rPr>
          <w:rFonts w:hint="eastAsia" w:ascii="仿宋_GB2312" w:hAnsi="仿宋" w:eastAsia="仿宋_GB2312"/>
          <w:color w:val="auto"/>
          <w:highlight w:val="none"/>
        </w:rPr>
        <w:t>专项收入：是指根据特定需要由国务院批准或者经国务院授权由财政部批准，设置、征集和纳入预算管理、有专门用途的收入。主要包括教育费附加收入、地方教育附加收入等。</w:t>
      </w:r>
    </w:p>
    <w:p>
      <w:pPr>
        <w:pStyle w:val="2"/>
        <w:adjustRightInd w:val="0"/>
        <w:snapToGrid w:val="0"/>
        <w:spacing w:line="560" w:lineRule="atLeast"/>
        <w:ind w:left="0" w:firstLine="640" w:firstLineChars="200"/>
        <w:jc w:val="both"/>
        <w:rPr>
          <w:rFonts w:ascii="仿宋_GB2312" w:hAnsi="仿宋" w:eastAsia="仿宋_GB2312"/>
          <w:color w:val="auto"/>
          <w:highlight w:val="none"/>
        </w:rPr>
      </w:pPr>
      <w:r>
        <w:rPr>
          <w:rFonts w:hint="eastAsia" w:ascii="仿宋_GB2312" w:hAnsi="仿宋" w:eastAsia="仿宋_GB2312"/>
          <w:color w:val="auto"/>
          <w:highlight w:val="none"/>
        </w:rPr>
        <w:t>行政事业性收费收入：反映依据法律、行政法规、国务院有关规定、国务院财政部门会同价格主管部门共同发布的规章或者规定以及省、自治区、直辖市的地方性法规、政府规章或者规定，省级财政部门会同价格主管部门共同发布的规定收取的各项收费收入。</w:t>
      </w:r>
    </w:p>
    <w:p>
      <w:pPr>
        <w:pStyle w:val="2"/>
        <w:adjustRightInd w:val="0"/>
        <w:snapToGrid w:val="0"/>
        <w:spacing w:line="560" w:lineRule="atLeast"/>
        <w:ind w:left="0" w:firstLine="640" w:firstLineChars="200"/>
        <w:jc w:val="both"/>
        <w:rPr>
          <w:rFonts w:ascii="仿宋_GB2312" w:hAnsi="仿宋" w:eastAsia="仿宋_GB2312"/>
          <w:color w:val="auto"/>
          <w:highlight w:val="none"/>
        </w:rPr>
      </w:pPr>
      <w:r>
        <w:rPr>
          <w:rFonts w:hint="eastAsia" w:ascii="仿宋_GB2312" w:hAnsi="仿宋" w:eastAsia="仿宋_GB2312"/>
          <w:color w:val="auto"/>
          <w:highlight w:val="none"/>
        </w:rPr>
        <w:t>罚没收入</w:t>
      </w:r>
      <w:r>
        <w:rPr>
          <w:rFonts w:hint="eastAsia" w:ascii="仿宋_GB2312" w:hAnsi="仿宋" w:eastAsia="仿宋_GB2312"/>
          <w:color w:val="auto"/>
          <w:highlight w:val="none"/>
          <w:lang w:eastAsia="zh-CN"/>
        </w:rPr>
        <w:t>：</w:t>
      </w:r>
      <w:r>
        <w:rPr>
          <w:rFonts w:hint="eastAsia" w:ascii="仿宋_GB2312" w:hAnsi="仿宋" w:eastAsia="仿宋_GB2312"/>
          <w:color w:val="auto"/>
          <w:highlight w:val="none"/>
        </w:rPr>
        <w:t>反映执法机关依法收缴的罚款(罚金)、没收款、赃款</w:t>
      </w:r>
      <w:r>
        <w:rPr>
          <w:rFonts w:hint="eastAsia" w:ascii="仿宋_GB2312" w:hAnsi="仿宋" w:eastAsia="仿宋_GB2312"/>
          <w:color w:val="auto"/>
          <w:highlight w:val="none"/>
          <w:lang w:eastAsia="zh-CN"/>
        </w:rPr>
        <w:t>，</w:t>
      </w:r>
      <w:r>
        <w:rPr>
          <w:rFonts w:hint="eastAsia" w:ascii="仿宋_GB2312" w:hAnsi="仿宋" w:eastAsia="仿宋_GB2312"/>
          <w:color w:val="auto"/>
          <w:highlight w:val="none"/>
        </w:rPr>
        <w:t>没收物资、赃物的变价款收入，分为一般罚没收入、缉私罚没收入和缉毒罚没收入三种。根据《罚没财物管理办法》(财税[2020]54号)，和</w:t>
      </w:r>
      <w:r>
        <w:rPr>
          <w:rFonts w:hint="eastAsia" w:ascii="仿宋_GB2312" w:hAnsi="仿宋" w:eastAsia="仿宋_GB2312"/>
          <w:color w:val="auto"/>
          <w:highlight w:val="none"/>
          <w:lang w:eastAsia="zh-CN"/>
        </w:rPr>
        <w:t>《</w:t>
      </w:r>
      <w:r>
        <w:rPr>
          <w:rFonts w:hint="eastAsia" w:ascii="仿宋_GB2312" w:hAnsi="仿宋" w:eastAsia="仿宋_GB2312"/>
          <w:color w:val="auto"/>
          <w:highlight w:val="none"/>
        </w:rPr>
        <w:t>甘肃省财政厅关于做好罚没财物管理工作的补充通知</w:t>
      </w:r>
      <w:r>
        <w:rPr>
          <w:rFonts w:hint="eastAsia" w:ascii="仿宋_GB2312" w:hAnsi="仿宋" w:eastAsia="仿宋_GB2312"/>
          <w:color w:val="auto"/>
          <w:highlight w:val="none"/>
          <w:lang w:eastAsia="zh-CN"/>
        </w:rPr>
        <w:t>》</w:t>
      </w:r>
      <w:r>
        <w:rPr>
          <w:rFonts w:hint="eastAsia" w:ascii="仿宋_GB2312" w:hAnsi="仿宋" w:eastAsia="仿宋_GB2312"/>
          <w:color w:val="auto"/>
          <w:highlight w:val="none"/>
        </w:rPr>
        <w:t>(甘财税 〔２０２１〕８号)有关规定执行。</w:t>
      </w:r>
    </w:p>
    <w:p>
      <w:pPr>
        <w:pStyle w:val="2"/>
        <w:adjustRightInd w:val="0"/>
        <w:snapToGrid w:val="0"/>
        <w:spacing w:line="560" w:lineRule="atLeast"/>
        <w:ind w:left="0" w:firstLine="640" w:firstLineChars="200"/>
        <w:jc w:val="both"/>
        <w:rPr>
          <w:rFonts w:ascii="仿宋_GB2312" w:hAnsi="仿宋" w:eastAsia="仿宋_GB2312"/>
          <w:highlight w:val="none"/>
        </w:rPr>
      </w:pPr>
      <w:r>
        <w:rPr>
          <w:rFonts w:hint="eastAsia" w:ascii="仿宋_GB2312" w:hAnsi="仿宋" w:eastAsia="仿宋_GB2312"/>
          <w:color w:val="auto"/>
          <w:highlight w:val="none"/>
        </w:rPr>
        <w:t>国有资本经营收入</w:t>
      </w:r>
      <w:r>
        <w:rPr>
          <w:rFonts w:hint="eastAsia" w:ascii="仿宋_GB2312" w:hAnsi="仿宋" w:eastAsia="仿宋_GB2312"/>
          <w:color w:val="auto"/>
          <w:highlight w:val="none"/>
          <w:lang w:eastAsia="zh-CN"/>
        </w:rPr>
        <w:t>：</w:t>
      </w:r>
      <w:r>
        <w:rPr>
          <w:rFonts w:hint="eastAsia" w:ascii="仿宋_GB2312" w:hAnsi="仿宋" w:eastAsia="仿宋_GB2312"/>
          <w:color w:val="auto"/>
          <w:highlight w:val="none"/>
        </w:rPr>
        <w:t>反映各</w:t>
      </w:r>
      <w:r>
        <w:rPr>
          <w:rFonts w:hint="eastAsia" w:ascii="仿宋_GB2312" w:hAnsi="仿宋" w:eastAsia="仿宋_GB2312"/>
          <w:highlight w:val="none"/>
        </w:rPr>
        <w:t>级人民政府及其部门、机构履行出资人职责的企业上缴的国有资本收益。有利润收入，股利、股息收入，产权转让收入，清算收入等。</w:t>
      </w:r>
    </w:p>
    <w:p>
      <w:pPr>
        <w:pStyle w:val="2"/>
        <w:adjustRightInd w:val="0"/>
        <w:snapToGrid w:val="0"/>
        <w:spacing w:line="560" w:lineRule="atLeast"/>
        <w:ind w:left="0" w:firstLine="640" w:firstLineChars="200"/>
        <w:jc w:val="both"/>
        <w:rPr>
          <w:rFonts w:ascii="仿宋_GB2312" w:hAnsi="仿宋" w:eastAsia="仿宋_GB2312"/>
          <w:highlight w:val="none"/>
        </w:rPr>
      </w:pPr>
      <w:r>
        <w:rPr>
          <w:rFonts w:hint="eastAsia" w:ascii="仿宋_GB2312" w:hAnsi="仿宋" w:eastAsia="仿宋_GB2312"/>
          <w:highlight w:val="none"/>
        </w:rPr>
        <w:t>国有资源(资产)有偿使用收入</w:t>
      </w:r>
      <w:r>
        <w:rPr>
          <w:rFonts w:hint="eastAsia" w:ascii="仿宋_GB2312" w:hAnsi="仿宋" w:eastAsia="仿宋_GB2312"/>
          <w:highlight w:val="none"/>
          <w:lang w:eastAsia="zh-CN"/>
        </w:rPr>
        <w:t>：</w:t>
      </w:r>
      <w:r>
        <w:rPr>
          <w:rFonts w:hint="eastAsia" w:ascii="仿宋_GB2312" w:hAnsi="仿宋" w:eastAsia="仿宋_GB2312"/>
          <w:highlight w:val="none"/>
        </w:rPr>
        <w:t>反映有偿转让国有资源(资产)使用权而取得的收入。主要有海域使用金收入、场地和矿区使用费收入、特种矿产品出售收入、专项储备物资销售收入、利息收入、非经营性国有资产经营收入、出租车经营权有偿出让和转让收入及其他国家资源(资产)有偿使用收入等。</w:t>
      </w:r>
    </w:p>
    <w:p>
      <w:pPr>
        <w:adjustRightInd w:val="0"/>
        <w:snapToGrid w:val="0"/>
        <w:spacing w:line="560" w:lineRule="atLeast"/>
        <w:rPr>
          <w:rFonts w:ascii="仿宋_GB2312" w:eastAsia="仿宋_GB2312"/>
          <w:sz w:val="32"/>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Meiryo">
    <w:panose1 w:val="020B0604030504040204"/>
    <w:charset w:val="80"/>
    <w:family w:val="swiss"/>
    <w:pitch w:val="default"/>
    <w:sig w:usb0="E10102FF" w:usb1="EAC7FFFF" w:usb2="00010012" w:usb3="00000000" w:csb0="6002009F" w:csb1="DFD7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yZWY1YzFmMTBlNjhmMDJmOTM0ZjY5ZDUxYzgxYzYifQ=="/>
  </w:docVars>
  <w:rsids>
    <w:rsidRoot w:val="00D82FB5"/>
    <w:rsid w:val="00012A70"/>
    <w:rsid w:val="002B66D6"/>
    <w:rsid w:val="002E636D"/>
    <w:rsid w:val="00500398"/>
    <w:rsid w:val="00662D16"/>
    <w:rsid w:val="009F3193"/>
    <w:rsid w:val="00B32923"/>
    <w:rsid w:val="00C36E97"/>
    <w:rsid w:val="00CA3177"/>
    <w:rsid w:val="00CC7119"/>
    <w:rsid w:val="00D82FB5"/>
    <w:rsid w:val="00E379D1"/>
    <w:rsid w:val="00E74E48"/>
    <w:rsid w:val="00F31C8F"/>
    <w:rsid w:val="03310B48"/>
    <w:rsid w:val="0DBF1E69"/>
    <w:rsid w:val="0FFD46F5"/>
    <w:rsid w:val="136A106C"/>
    <w:rsid w:val="19F043B8"/>
    <w:rsid w:val="21A50B34"/>
    <w:rsid w:val="2D672936"/>
    <w:rsid w:val="2EFC7147"/>
    <w:rsid w:val="2F5059E3"/>
    <w:rsid w:val="2FB36C59"/>
    <w:rsid w:val="33EF9206"/>
    <w:rsid w:val="355E0F76"/>
    <w:rsid w:val="37F80854"/>
    <w:rsid w:val="39B63C6C"/>
    <w:rsid w:val="3A630C15"/>
    <w:rsid w:val="3E4B0448"/>
    <w:rsid w:val="3EFB41F2"/>
    <w:rsid w:val="3FEF7B8A"/>
    <w:rsid w:val="47BFC4C9"/>
    <w:rsid w:val="4B8B7843"/>
    <w:rsid w:val="4CD15729"/>
    <w:rsid w:val="4D2F2C56"/>
    <w:rsid w:val="4E185E6E"/>
    <w:rsid w:val="50B30156"/>
    <w:rsid w:val="539DCDE7"/>
    <w:rsid w:val="57877302"/>
    <w:rsid w:val="58E5611E"/>
    <w:rsid w:val="5D8161E4"/>
    <w:rsid w:val="5F7AFB66"/>
    <w:rsid w:val="5FF7F32F"/>
    <w:rsid w:val="672B78DD"/>
    <w:rsid w:val="6C7F9869"/>
    <w:rsid w:val="6D875BFC"/>
    <w:rsid w:val="6FDFDDB2"/>
    <w:rsid w:val="72FFF92E"/>
    <w:rsid w:val="73905240"/>
    <w:rsid w:val="73DF007C"/>
    <w:rsid w:val="785844A3"/>
    <w:rsid w:val="78FCD2A1"/>
    <w:rsid w:val="79FDC359"/>
    <w:rsid w:val="7AEC944A"/>
    <w:rsid w:val="7B180B15"/>
    <w:rsid w:val="7BFC63F9"/>
    <w:rsid w:val="7CFFDC51"/>
    <w:rsid w:val="7EEBA858"/>
    <w:rsid w:val="7F71FA1F"/>
    <w:rsid w:val="7FB7CD37"/>
    <w:rsid w:val="7FCF1F29"/>
    <w:rsid w:val="8CFFBDAB"/>
    <w:rsid w:val="9E9A4904"/>
    <w:rsid w:val="9EBE769B"/>
    <w:rsid w:val="9FFD47B4"/>
    <w:rsid w:val="B33FB105"/>
    <w:rsid w:val="BBFF68C2"/>
    <w:rsid w:val="BF6F7F52"/>
    <w:rsid w:val="CB7D6125"/>
    <w:rsid w:val="CCFF9501"/>
    <w:rsid w:val="D3FBADF2"/>
    <w:rsid w:val="D7BF500D"/>
    <w:rsid w:val="E3D7D0CD"/>
    <w:rsid w:val="EBFE231B"/>
    <w:rsid w:val="EFF6E326"/>
    <w:rsid w:val="EFF7845E"/>
    <w:rsid w:val="F9E6A9E3"/>
    <w:rsid w:val="FCFB32E0"/>
    <w:rsid w:val="FD7B30A3"/>
    <w:rsid w:val="FE77CF25"/>
    <w:rsid w:val="FEDF517C"/>
    <w:rsid w:val="FF7BC1B8"/>
    <w:rsid w:val="FF7D64D2"/>
    <w:rsid w:val="FF7DBA31"/>
    <w:rsid w:val="FF7E6BDE"/>
    <w:rsid w:val="FFBB58BA"/>
    <w:rsid w:val="FFDFC233"/>
  </w:rsids>
  <m:mathPr>
    <m:lMargin m:val="0"/>
    <m:mathFont m:val="Cambria Math"/>
    <m:rMargin m:val="0"/>
    <m:wrapIndent m:val="1440"/>
    <m:brkBin m:val="before"/>
    <m:brkBinSub m:val="--"/>
    <m:defJc m:val="centerGroup"/>
    <m:intLim m:val="subSup"/>
    <m:naryLim m:val="undOvr"/>
    <m:smallFrac m:val="1"/>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8"/>
    <w:qFormat/>
    <w:uiPriority w:val="99"/>
    <w:pPr>
      <w:ind w:left="120"/>
    </w:pPr>
    <w:rPr>
      <w:sz w:val="32"/>
      <w:szCs w:val="32"/>
    </w:rPr>
  </w:style>
  <w:style w:type="paragraph" w:styleId="3">
    <w:name w:val="Balloon Text"/>
    <w:basedOn w:val="1"/>
    <w:link w:val="10"/>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 Char"/>
    <w:basedOn w:val="6"/>
    <w:link w:val="2"/>
    <w:qFormat/>
    <w:uiPriority w:val="99"/>
    <w:rPr>
      <w:rFonts w:ascii="宋体" w:hAnsi="宋体" w:eastAsia="宋体" w:cs="宋体"/>
      <w:kern w:val="0"/>
      <w:sz w:val="32"/>
      <w:szCs w:val="32"/>
      <w:lang w:val="zh-CN" w:bidi="zh-CN"/>
    </w:rPr>
  </w:style>
  <w:style w:type="paragraph" w:customStyle="1" w:styleId="9">
    <w:name w:val="Heading 1"/>
    <w:basedOn w:val="1"/>
    <w:qFormat/>
    <w:uiPriority w:val="1"/>
    <w:pPr>
      <w:ind w:left="1082" w:hanging="322"/>
      <w:outlineLvl w:val="1"/>
    </w:pPr>
    <w:rPr>
      <w:rFonts w:ascii="Meiryo" w:hAnsi="Meiryo" w:eastAsia="Meiryo" w:cs="Meiryo"/>
      <w:b/>
      <w:bCs/>
      <w:sz w:val="32"/>
      <w:szCs w:val="32"/>
    </w:rPr>
  </w:style>
  <w:style w:type="character" w:customStyle="1" w:styleId="10">
    <w:name w:val="批注框文本 Char"/>
    <w:basedOn w:val="6"/>
    <w:link w:val="3"/>
    <w:semiHidden/>
    <w:qFormat/>
    <w:uiPriority w:val="99"/>
    <w:rPr>
      <w:rFonts w:ascii="宋体" w:hAnsi="宋体" w:eastAsia="宋体" w:cs="宋体"/>
      <w:kern w:val="0"/>
      <w:sz w:val="18"/>
      <w:szCs w:val="18"/>
      <w:lang w:val="zh-CN" w:bidi="zh-CN"/>
    </w:rPr>
  </w:style>
  <w:style w:type="character" w:customStyle="1" w:styleId="11">
    <w:name w:val="页眉 Char"/>
    <w:basedOn w:val="6"/>
    <w:link w:val="5"/>
    <w:semiHidden/>
    <w:qFormat/>
    <w:uiPriority w:val="99"/>
    <w:rPr>
      <w:rFonts w:ascii="宋体" w:hAnsi="宋体" w:eastAsia="宋体" w:cs="宋体"/>
      <w:kern w:val="0"/>
      <w:sz w:val="18"/>
      <w:szCs w:val="18"/>
      <w:lang w:val="zh-CN" w:bidi="zh-CN"/>
    </w:rPr>
  </w:style>
  <w:style w:type="character" w:customStyle="1" w:styleId="12">
    <w:name w:val="页脚 Char"/>
    <w:basedOn w:val="6"/>
    <w:link w:val="4"/>
    <w:semiHidden/>
    <w:qFormat/>
    <w:uiPriority w:val="99"/>
    <w:rPr>
      <w:rFonts w:ascii="宋体" w:hAnsi="宋体" w:eastAsia="宋体" w:cs="宋体"/>
      <w:kern w:val="0"/>
      <w:sz w:val="18"/>
      <w:szCs w:val="18"/>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3</Pages>
  <Words>192</Words>
  <Characters>1097</Characters>
  <Lines>9</Lines>
  <Paragraphs>2</Paragraphs>
  <ScaleCrop>false</ScaleCrop>
  <LinksUpToDate>false</LinksUpToDate>
  <CharactersWithSpaces>1287</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2021-07-13T02:20:00Z</dcterms:created>
  <dc:creator>Microsoft</dc:creator>
  <cp:lastModifiedBy>fw</cp:lastModifiedBy>
  <cp:lastPrinted>2021-07-21T03:04:00Z</cp:lastPrinted>
  <dcterms:modified xsi:type="dcterms:W3CDTF">2024-09-03T02:20:17Z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y fmtid="{D5CDD505-2E9C-101B-9397-08002B2CF9AE}" pid="3" name="ICV">
    <vt:lpwstr>4D8FBA59F3B845BBA4DBAB5CB56DF9DD_13</vt:lpwstr>
  </property>
</Properties>
</file>