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5E7F2E">
      <w:pPr>
        <w:ind w:left="0" w:leftChars="0" w:firstLine="0" w:firstLineChars="0"/>
        <w:jc w:val="center"/>
        <w:rPr>
          <w:rFonts w:hint="eastAsia" w:ascii="方正小标宋简体" w:hAnsi="华文中宋" w:eastAsia="方正小标宋简体" w:cs="华文中宋"/>
          <w:b/>
          <w:color w:val="auto"/>
          <w:sz w:val="36"/>
          <w:szCs w:val="36"/>
          <w:lang w:val="en-US" w:eastAsia="zh-CN"/>
        </w:rPr>
      </w:pPr>
      <w:r>
        <w:rPr>
          <w:rFonts w:hint="eastAsia" w:ascii="方正小标宋简体" w:hAnsi="华文中宋" w:eastAsia="方正小标宋简体" w:cs="华文中宋"/>
          <w:b/>
          <w:color w:val="auto"/>
          <w:sz w:val="36"/>
          <w:szCs w:val="36"/>
          <w:lang w:val="en-US" w:eastAsia="zh-CN"/>
        </w:rPr>
        <w:t>兰州新区纪工委监工委（巡察办）2023年度</w:t>
      </w:r>
    </w:p>
    <w:p w14:paraId="0ED605E6">
      <w:pPr>
        <w:ind w:left="0" w:leftChars="0" w:firstLine="0" w:firstLineChars="0"/>
        <w:jc w:val="center"/>
        <w:rPr>
          <w:rFonts w:hint="eastAsia" w:ascii="方正小标宋简体" w:hAnsi="华文中宋" w:eastAsia="方正小标宋简体" w:cs="华文中宋"/>
          <w:b/>
          <w:color w:val="auto"/>
          <w:sz w:val="36"/>
          <w:szCs w:val="36"/>
          <w:lang w:val="en-US" w:eastAsia="zh-CN"/>
        </w:rPr>
      </w:pPr>
      <w:r>
        <w:rPr>
          <w:rFonts w:hint="eastAsia" w:ascii="方正小标宋简体" w:hAnsi="华文中宋" w:eastAsia="方正小标宋简体" w:cs="华文中宋"/>
          <w:b/>
          <w:color w:val="auto"/>
          <w:sz w:val="36"/>
          <w:szCs w:val="36"/>
          <w:lang w:val="en-US" w:eastAsia="zh-CN"/>
        </w:rPr>
        <w:t>部门整体支出绩效评价报告</w:t>
      </w:r>
    </w:p>
    <w:p w14:paraId="5A6B61BE">
      <w:pPr>
        <w:bidi w:val="0"/>
        <w:rPr>
          <w:rFonts w:hint="eastAsia"/>
          <w:lang w:val="en-US" w:eastAsia="zh-CN"/>
        </w:rPr>
      </w:pPr>
    </w:p>
    <w:tbl>
      <w:tblPr>
        <w:tblStyle w:val="13"/>
        <w:tblW w:w="8814" w:type="dxa"/>
        <w:jc w:val="center"/>
        <w:tblBorders>
          <w:top w:val="single" w:color="000000" w:sz="4" w:space="0"/>
          <w:left w:val="none" w:color="auto" w:sz="0" w:space="0"/>
          <w:bottom w:val="single" w:color="000000" w:sz="4" w:space="0"/>
          <w:right w:val="none" w:color="auto" w:sz="0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8"/>
        <w:gridCol w:w="319"/>
        <w:gridCol w:w="675"/>
        <w:gridCol w:w="270"/>
        <w:gridCol w:w="633"/>
        <w:gridCol w:w="232"/>
        <w:gridCol w:w="943"/>
        <w:gridCol w:w="233"/>
        <w:gridCol w:w="434"/>
        <w:gridCol w:w="743"/>
        <w:gridCol w:w="945"/>
        <w:gridCol w:w="172"/>
        <w:gridCol w:w="1380"/>
        <w:gridCol w:w="1137"/>
      </w:tblGrid>
      <w:tr w14:paraId="212C8BC6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8814" w:type="dxa"/>
            <w:gridSpan w:val="14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321675C">
            <w:pPr>
              <w:bidi w:val="0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一、部门整体基本情况</w:t>
            </w:r>
          </w:p>
        </w:tc>
      </w:tr>
      <w:tr w14:paraId="6AF4B77A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98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0ABD4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基本情况</w:t>
            </w:r>
          </w:p>
        </w:tc>
        <w:tc>
          <w:tcPr>
            <w:tcW w:w="1897" w:type="dxa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D1279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6219" w:type="dxa"/>
            <w:gridSpan w:val="9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B2989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兰州新区纪工委监工委（巡察办）2023年度部门整体支出绩效评价</w:t>
            </w:r>
          </w:p>
        </w:tc>
      </w:tr>
      <w:tr w14:paraId="61719E97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98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A5FBC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97" w:type="dxa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89486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评价年度</w:t>
            </w:r>
          </w:p>
        </w:tc>
        <w:tc>
          <w:tcPr>
            <w:tcW w:w="1842" w:type="dxa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47B32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2023年度</w:t>
            </w:r>
          </w:p>
        </w:tc>
        <w:tc>
          <w:tcPr>
            <w:tcW w:w="1860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09DC8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评价类型</w:t>
            </w:r>
          </w:p>
        </w:tc>
        <w:tc>
          <w:tcPr>
            <w:tcW w:w="2517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1BD42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财政评价</w:t>
            </w:r>
          </w:p>
        </w:tc>
      </w:tr>
      <w:tr w14:paraId="5836A1F6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98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B6F30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97" w:type="dxa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F6BB0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评价对象名称</w:t>
            </w:r>
          </w:p>
        </w:tc>
        <w:tc>
          <w:tcPr>
            <w:tcW w:w="6219" w:type="dxa"/>
            <w:gridSpan w:val="9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A1326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bookmarkStart w:id="0" w:name="OLE_LINK1"/>
            <w:r>
              <w:rPr>
                <w:rFonts w:hint="eastAsia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兰州新区纪工委监工委（巡察办）</w:t>
            </w:r>
            <w:bookmarkEnd w:id="0"/>
          </w:p>
        </w:tc>
      </w:tr>
      <w:tr w14:paraId="5A75FAF3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645F7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实施目的</w:t>
            </w:r>
          </w:p>
        </w:tc>
        <w:tc>
          <w:tcPr>
            <w:tcW w:w="8116" w:type="dxa"/>
            <w:gridSpan w:val="13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D21D8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通过综合分析兰州新区纪工委监工委（巡察办）部门整体支出预算编制的合理性和科学性、预算执行的时效性、预算控制和监督的有效性，以及部门基本运转、履职尽责和履职效能等情况，全面考核部门整体支出和履职职能的匹配程度，及时发现部门存在的不足和问题，提出合理意见建议，从而提升部门整体预算绩效管理水平，提高财政资金使用效益。</w:t>
            </w:r>
          </w:p>
        </w:tc>
      </w:tr>
      <w:tr w14:paraId="55E014A2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98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6D14A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资金情况（万元）</w:t>
            </w:r>
          </w:p>
        </w:tc>
        <w:tc>
          <w:tcPr>
            <w:tcW w:w="1897" w:type="dxa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1AD7B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预算安排资金</w:t>
            </w:r>
          </w:p>
        </w:tc>
        <w:tc>
          <w:tcPr>
            <w:tcW w:w="1842" w:type="dxa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DD5D8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bookmarkStart w:id="1" w:name="OLE_LINK2"/>
            <w:bookmarkStart w:id="2" w:name="OLE_LINK3"/>
            <w:r>
              <w:rPr>
                <w:rFonts w:hint="eastAsia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13</w:t>
            </w:r>
            <w:bookmarkEnd w:id="1"/>
            <w:r>
              <w:rPr>
                <w:rFonts w:hint="eastAsia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99.79</w:t>
            </w:r>
            <w:bookmarkEnd w:id="2"/>
          </w:p>
        </w:tc>
        <w:tc>
          <w:tcPr>
            <w:tcW w:w="1860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EC8D1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实际到位资金</w:t>
            </w:r>
          </w:p>
        </w:tc>
        <w:tc>
          <w:tcPr>
            <w:tcW w:w="2517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7D182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1399.79</w:t>
            </w:r>
          </w:p>
        </w:tc>
      </w:tr>
      <w:tr w14:paraId="506AB51C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98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5C5C2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97" w:type="dxa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03331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其中：市级资金</w:t>
            </w:r>
          </w:p>
        </w:tc>
        <w:tc>
          <w:tcPr>
            <w:tcW w:w="1842" w:type="dxa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B38F6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1399.79</w:t>
            </w:r>
          </w:p>
        </w:tc>
        <w:tc>
          <w:tcPr>
            <w:tcW w:w="1860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067EA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  <w:t>其中：市级资金</w:t>
            </w:r>
          </w:p>
        </w:tc>
        <w:tc>
          <w:tcPr>
            <w:tcW w:w="2517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4B2CE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1399.79</w:t>
            </w:r>
          </w:p>
        </w:tc>
      </w:tr>
      <w:tr w14:paraId="1941B9AD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98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CC7ED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97" w:type="dxa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6DD03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right"/>
              <w:textAlignment w:val="auto"/>
              <w:rPr>
                <w:rFonts w:hint="eastAsia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县级资金</w:t>
            </w:r>
          </w:p>
        </w:tc>
        <w:tc>
          <w:tcPr>
            <w:tcW w:w="1842" w:type="dxa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AC605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60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E94B5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righ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  <w:t>县级资金</w:t>
            </w:r>
          </w:p>
        </w:tc>
        <w:tc>
          <w:tcPr>
            <w:tcW w:w="2517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406B7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4F741714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98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45317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97" w:type="dxa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09311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实际支出资金</w:t>
            </w:r>
          </w:p>
        </w:tc>
        <w:tc>
          <w:tcPr>
            <w:tcW w:w="1842" w:type="dxa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2AA5D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1399.08</w:t>
            </w:r>
          </w:p>
        </w:tc>
        <w:tc>
          <w:tcPr>
            <w:tcW w:w="1860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947E0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结余资金</w:t>
            </w:r>
          </w:p>
        </w:tc>
        <w:tc>
          <w:tcPr>
            <w:tcW w:w="2517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E4AC6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0.71</w:t>
            </w:r>
          </w:p>
        </w:tc>
      </w:tr>
      <w:tr w14:paraId="4E962C20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98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3FF21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97" w:type="dxa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2B885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预算执行率</w:t>
            </w:r>
          </w:p>
        </w:tc>
        <w:tc>
          <w:tcPr>
            <w:tcW w:w="6219" w:type="dxa"/>
            <w:gridSpan w:val="9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87047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  <w:t>99.95%</w:t>
            </w:r>
          </w:p>
        </w:tc>
      </w:tr>
      <w:tr w14:paraId="30938804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8814" w:type="dxa"/>
            <w:gridSpan w:val="14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0C30B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二、部门整体绩效目标</w:t>
            </w:r>
          </w:p>
        </w:tc>
      </w:tr>
      <w:tr w14:paraId="324A6B45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92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D1AF0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年度绩效目标</w:t>
            </w:r>
          </w:p>
        </w:tc>
        <w:tc>
          <w:tcPr>
            <w:tcW w:w="7122" w:type="dxa"/>
            <w:gridSpan w:val="11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05B33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bookmarkStart w:id="3" w:name="OLE_LINK4"/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兰州新区纪工委监工委（巡察办）2023</w:t>
            </w:r>
            <w:bookmarkEnd w:id="3"/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年度部门整体支出绩效目标为：</w:t>
            </w:r>
          </w:p>
          <w:p w14:paraId="3374DC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1.</w:t>
            </w: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做实做细政治监督，推动决策部署贯彻落实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；</w:t>
            </w:r>
          </w:p>
          <w:p w14:paraId="3E5FC2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2.</w:t>
            </w: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持续强化压力传导，压实管党治党政治责任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 xml:space="preserve">；  </w:t>
            </w:r>
          </w:p>
          <w:p w14:paraId="234720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3.</w:t>
            </w: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坚决纠四风树新风，促进作风建设长效常治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；</w:t>
            </w:r>
          </w:p>
          <w:p w14:paraId="0DC98A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4.</w:t>
            </w: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保持惩腐高压态势，大力推动遗留问题解决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；</w:t>
            </w:r>
          </w:p>
          <w:p w14:paraId="228BC4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5.</w:t>
            </w: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创新国企监督方式，深化国企廉洁文化建设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；</w:t>
            </w:r>
          </w:p>
          <w:p w14:paraId="56F385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6.</w:t>
            </w: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坚决维护群众利益，扎实部署开展专项整治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；</w:t>
            </w:r>
          </w:p>
          <w:p w14:paraId="1913C3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7.</w:t>
            </w:r>
            <w: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彰显巡察利剑作用，监督整改提升治理成效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。</w:t>
            </w:r>
          </w:p>
        </w:tc>
      </w:tr>
      <w:tr w14:paraId="6FBF4B91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814" w:type="dxa"/>
            <w:gridSpan w:val="14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C60B1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三、评价基本情况</w:t>
            </w:r>
          </w:p>
        </w:tc>
      </w:tr>
      <w:tr w14:paraId="530A14ED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1692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3E2E2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评价范围</w:t>
            </w:r>
          </w:p>
        </w:tc>
        <w:tc>
          <w:tcPr>
            <w:tcW w:w="7122" w:type="dxa"/>
            <w:gridSpan w:val="11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98836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兰州新区纪工委监工委（巡察办）2023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年度部门全年预算资金1399.79万元。</w:t>
            </w:r>
          </w:p>
        </w:tc>
      </w:tr>
      <w:tr w14:paraId="4BC21DE9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  <w:jc w:val="center"/>
        </w:trPr>
        <w:tc>
          <w:tcPr>
            <w:tcW w:w="1692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D7F19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评价依据</w:t>
            </w:r>
          </w:p>
        </w:tc>
        <w:tc>
          <w:tcPr>
            <w:tcW w:w="7122" w:type="dxa"/>
            <w:gridSpan w:val="11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0097D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1.《中华人民共和国预算法》；</w:t>
            </w:r>
          </w:p>
          <w:p w14:paraId="7E3FBA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2.《中共中央 国务院关于全面实施预算绩效管理的意见》（中发〔2018〕34号）；</w:t>
            </w:r>
          </w:p>
          <w:p w14:paraId="155A5C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3.《财政部关于印发&lt;预算绩效评价共性指标体系框架&gt;的通知》（财预〔2013〕53号）；</w:t>
            </w:r>
          </w:p>
          <w:p w14:paraId="10C657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4.《财政部关于规范绩效评价结果等级划分标准的通知》（财预便〔2017〕44号）；</w:t>
            </w:r>
          </w:p>
          <w:p w14:paraId="4FE2DC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5.《甘肃省委 省政府关于全面实施预算绩效管理的实施意见》（甘发〔2018〕32号）；</w:t>
            </w:r>
          </w:p>
          <w:p w14:paraId="3033F5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6.《兰州新区管委会办公室关于印发&lt;兰州新区全面推进预算绩效管理实施细则&gt;的通知》;</w:t>
            </w:r>
          </w:p>
          <w:p w14:paraId="62AF22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7.部门2023年度预决算公开报表及情况说明；</w:t>
            </w:r>
          </w:p>
          <w:p w14:paraId="4F1985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8.2023年度预算执行情况绩效目标表、监控表、监控报告、自评表等；</w:t>
            </w:r>
          </w:p>
          <w:p w14:paraId="64BDDC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9.各项支出财务凭证等其他相关资料。</w:t>
            </w:r>
          </w:p>
        </w:tc>
      </w:tr>
      <w:tr w14:paraId="5522A50D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  <w:jc w:val="center"/>
        </w:trPr>
        <w:tc>
          <w:tcPr>
            <w:tcW w:w="1692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64429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绩效评价</w:t>
            </w:r>
          </w:p>
          <w:p w14:paraId="1A48CA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指标体系</w:t>
            </w:r>
          </w:p>
        </w:tc>
        <w:tc>
          <w:tcPr>
            <w:tcW w:w="7122" w:type="dxa"/>
            <w:gridSpan w:val="11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B8F4B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本次绩效评价指标体系设计思路主要是根据</w:t>
            </w:r>
            <w:bookmarkStart w:id="4" w:name="OLE_LINK5"/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兰州新区纪工委监工委（巡察办）</w:t>
            </w:r>
            <w:bookmarkEnd w:id="4"/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的基本职能，围绕部门年度工作计划、绩效目标设定、预算编制、预算执行、履职完成情况及履职效益发挥情况等重要内容，结合绩效评价指标体系的设计原则及设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计方法，主要从部门管理、履职效果、能力建设及满意度四个方面评价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兰州新区纪工委监工委（巡察办）2023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年度部门整体工作，具体评价指标包括4项一级指标，并在一级指标基础上细化延伸16项二级指标及26项三级指标。指标体系的数据源于部门履职各项资料、基础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数据表及调查问卷分析情况等资料。</w:t>
            </w:r>
          </w:p>
        </w:tc>
      </w:tr>
      <w:tr w14:paraId="4B1EB55C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692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1A605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评价方法</w:t>
            </w:r>
          </w:p>
        </w:tc>
        <w:tc>
          <w:tcPr>
            <w:tcW w:w="7122" w:type="dxa"/>
            <w:gridSpan w:val="11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431FD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比较法、因素分析法、公众评判法。</w:t>
            </w:r>
          </w:p>
        </w:tc>
      </w:tr>
      <w:tr w14:paraId="4541798E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6" w:hRule="atLeast"/>
          <w:jc w:val="center"/>
        </w:trPr>
        <w:tc>
          <w:tcPr>
            <w:tcW w:w="1692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A637C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数据采集及</w:t>
            </w:r>
          </w:p>
          <w:p w14:paraId="0A4C13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处理方法</w:t>
            </w:r>
          </w:p>
        </w:tc>
        <w:tc>
          <w:tcPr>
            <w:tcW w:w="7122" w:type="dxa"/>
            <w:gridSpan w:val="11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B449E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按照绩效评价指标体系对部门整体绩效评价资料进行逐一整理，便于后期从评价资料中快速检索所需数据信息；对照评分标准，从已整理资料中提取与对应指标有关的数据信息，统计分析该指标的得分情况和扣分原因。</w:t>
            </w:r>
          </w:p>
        </w:tc>
      </w:tr>
      <w:tr w14:paraId="3259B34C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  <w:jc w:val="center"/>
        </w:trPr>
        <w:tc>
          <w:tcPr>
            <w:tcW w:w="1692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69ECA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绩效评价</w:t>
            </w:r>
          </w:p>
          <w:p w14:paraId="41CEF6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工作过程</w:t>
            </w:r>
          </w:p>
        </w:tc>
        <w:tc>
          <w:tcPr>
            <w:tcW w:w="7122" w:type="dxa"/>
            <w:gridSpan w:val="11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14037E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1.前期准备阶段。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评价组根据新区纪工委监工委（巡察办）实际情况和特点，明确此次评价重点关注部门内控管理情况，针对性地设计评价指标体系和资料收集清单；同时通过查阅相关政策制度，了解部门基本情况，分析部门职责和人员规划，确定评价要点。</w:t>
            </w:r>
          </w:p>
          <w:p w14:paraId="54CC1D6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4"/>
                <w:lang w:val="en-US" w:eastAsia="zh-CN" w:bidi="ar-SA"/>
              </w:rPr>
              <w:t>2.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组织实施阶段。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根据评价工作安排，由办公室室牵头，与各对口业务科室对接，单位认真梳理绩效自评范围资金，结合通知要求，对本级财政预算资金应评尽评，在绩效目标编制的基础上，对实施中的项目及时开展事中跟踪监控，对于项目资金使用和管理提早谋划，注重对项目的动态监控，清楚掌握项目实施进度，强化对项目实施进度与资金拨付情况的跟踪，加强预算执行分析，在及时、准确掌握预算执行动态的基础上，有针对性地分析问题、提出意见建议，针对进展较慢的项目查找具体原因并提出解决措施，不断提升预算管理水平，提高资金使用效益，确保绩效自评工作顺利完成。</w:t>
            </w: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4"/>
                <w:lang w:val="en-US" w:eastAsia="zh-CN" w:bidi="ar-SA"/>
              </w:rPr>
              <w:t>3.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数据分析阶段。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通过前期从线上收集的资料，结合实地调研掌握的情况以及问卷调查结果，评价组根据指标体系的对应指标对资料进行分类梳理，利用统计分析的方法，对提供的数据资料进行分析，提取有用的信息，形成分析结论。</w:t>
            </w:r>
          </w:p>
          <w:p w14:paraId="5FC1654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4"/>
                <w:lang w:val="en-US" w:eastAsia="zh-CN" w:bidi="ar-SA"/>
              </w:rPr>
              <w:t>4.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撰写报告阶段。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评价组根据收集的各项资料和了解的相关情况，按照绩效评价要求和规定的文本格式撰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兰州新区纪工委监工委（巡察办）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2023年度部门整体支出绩效评价报告，并在要求的时间范围内提交内容完整、结论明确的报告初稿。</w:t>
            </w:r>
          </w:p>
        </w:tc>
      </w:tr>
      <w:tr w14:paraId="07C51705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814" w:type="dxa"/>
            <w:gridSpan w:val="14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6B604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四、评价结论和绩效分析</w:t>
            </w:r>
          </w:p>
        </w:tc>
      </w:tr>
      <w:tr w14:paraId="00B8E62E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17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06877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综合评价结论</w:t>
            </w:r>
          </w:p>
        </w:tc>
        <w:tc>
          <w:tcPr>
            <w:tcW w:w="1810" w:type="dxa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D255F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评价得分</w:t>
            </w:r>
          </w:p>
        </w:tc>
        <w:tc>
          <w:tcPr>
            <w:tcW w:w="9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27417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96分</w:t>
            </w:r>
          </w:p>
        </w:tc>
        <w:tc>
          <w:tcPr>
            <w:tcW w:w="3907" w:type="dxa"/>
            <w:gridSpan w:val="6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ACC58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评价等级</w:t>
            </w:r>
          </w:p>
        </w:tc>
        <w:tc>
          <w:tcPr>
            <w:tcW w:w="113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B0AE2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优</w:t>
            </w:r>
          </w:p>
        </w:tc>
      </w:tr>
      <w:tr w14:paraId="4CDF05B9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17" w:type="dxa"/>
            <w:gridSpan w:val="2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2B8CD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绩效</w:t>
            </w:r>
          </w:p>
          <w:p w14:paraId="21A435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分析</w:t>
            </w:r>
          </w:p>
        </w:tc>
        <w:tc>
          <w:tcPr>
            <w:tcW w:w="945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4A1AA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指标</w:t>
            </w:r>
          </w:p>
        </w:tc>
        <w:tc>
          <w:tcPr>
            <w:tcW w:w="865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9EE54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部门整体支出率</w:t>
            </w:r>
          </w:p>
        </w:tc>
        <w:tc>
          <w:tcPr>
            <w:tcW w:w="1176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F471F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部门管理</w:t>
            </w:r>
          </w:p>
        </w:tc>
        <w:tc>
          <w:tcPr>
            <w:tcW w:w="1177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7479C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 xml:space="preserve"> 履职效果</w:t>
            </w:r>
          </w:p>
        </w:tc>
        <w:tc>
          <w:tcPr>
            <w:tcW w:w="94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A1077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能力建设</w:t>
            </w:r>
          </w:p>
        </w:tc>
        <w:tc>
          <w:tcPr>
            <w:tcW w:w="1552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48991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服务对象满意度</w:t>
            </w:r>
          </w:p>
        </w:tc>
        <w:tc>
          <w:tcPr>
            <w:tcW w:w="113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D6B34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合计</w:t>
            </w:r>
          </w:p>
        </w:tc>
      </w:tr>
      <w:tr w14:paraId="5A9C0453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1017" w:type="dxa"/>
            <w:gridSpan w:val="2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E4688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945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2CEFA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得分</w:t>
            </w:r>
          </w:p>
        </w:tc>
        <w:tc>
          <w:tcPr>
            <w:tcW w:w="865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8FE89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176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0C74C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1177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1D5A6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50</w:t>
            </w:r>
          </w:p>
        </w:tc>
        <w:tc>
          <w:tcPr>
            <w:tcW w:w="94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03C71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552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4B3A9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13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54E5F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96分</w:t>
            </w:r>
          </w:p>
        </w:tc>
      </w:tr>
      <w:tr w14:paraId="01E22F39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17" w:type="dxa"/>
            <w:gridSpan w:val="2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0936F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945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9425D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得分率</w:t>
            </w:r>
          </w:p>
        </w:tc>
        <w:tc>
          <w:tcPr>
            <w:tcW w:w="865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50DAD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80%</w:t>
            </w:r>
          </w:p>
        </w:tc>
        <w:tc>
          <w:tcPr>
            <w:tcW w:w="1176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BCB15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95%</w:t>
            </w:r>
          </w:p>
        </w:tc>
        <w:tc>
          <w:tcPr>
            <w:tcW w:w="1177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68D7D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bookmarkStart w:id="5" w:name="OLE_LINK6"/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100%</w:t>
            </w:r>
          </w:p>
        </w:tc>
        <w:tc>
          <w:tcPr>
            <w:tcW w:w="94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C0AA2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90%</w:t>
            </w:r>
            <w:bookmarkEnd w:id="5"/>
          </w:p>
        </w:tc>
        <w:tc>
          <w:tcPr>
            <w:tcW w:w="1552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26B1E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bookmarkStart w:id="6" w:name="OLE_LINK7"/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100%</w:t>
            </w:r>
            <w:bookmarkEnd w:id="6"/>
          </w:p>
        </w:tc>
        <w:tc>
          <w:tcPr>
            <w:tcW w:w="113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0BE0F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96%</w:t>
            </w:r>
          </w:p>
        </w:tc>
      </w:tr>
      <w:tr w14:paraId="42EC72F9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814" w:type="dxa"/>
            <w:gridSpan w:val="14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85ED4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五、存在问题</w:t>
            </w:r>
          </w:p>
        </w:tc>
      </w:tr>
      <w:tr w14:paraId="6DF5C18B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4" w:hRule="atLeast"/>
          <w:jc w:val="center"/>
        </w:trPr>
        <w:tc>
          <w:tcPr>
            <w:tcW w:w="8814" w:type="dxa"/>
            <w:gridSpan w:val="14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6F1A2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482" w:firstLineChars="200"/>
              <w:jc w:val="both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预算执行率不高。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2023年预算资金执行率93%，执行</w:t>
            </w:r>
            <w:bookmarkStart w:id="7" w:name="_GoBack"/>
            <w:bookmarkEnd w:id="7"/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率不高，主要是项目资金预算执行率不高，只有34%。主要原因是办案专项经费支付率低，2023年我委办理的留置案件相关费用均由上级纪检监察机关承担；巡察工作经费支付率低，主要原因是年初计划的培训、设备购置均因客观原因未落实。</w:t>
            </w:r>
          </w:p>
        </w:tc>
      </w:tr>
      <w:tr w14:paraId="68256218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814" w:type="dxa"/>
            <w:gridSpan w:val="14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58057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六、相关建议</w:t>
            </w:r>
          </w:p>
        </w:tc>
      </w:tr>
      <w:tr w14:paraId="108ABA4C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5" w:hRule="atLeast"/>
          <w:jc w:val="center"/>
        </w:trPr>
        <w:tc>
          <w:tcPr>
            <w:tcW w:w="8814" w:type="dxa"/>
            <w:gridSpan w:val="14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85604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482" w:firstLineChars="20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1.规范项目实施进度管理，进一步提升履职效能。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合理制定项目前期计划和目标，建立有效的项目监督管理机制，建立“立、督、查、评、考”全链条督办工作体系，确保各项工作任务和目标顺利完成。具体包括聚焦部门职能、部门规划和年度重点工作任务、预算安排，提炼出明确可考核的部门整体和项目绩效目标、指标，强化预算与绩效管理一体化，从而有效提升部门履职效能。因特殊原因确实无法按计划完成的工作需及时作出调整，确保部门履职工作效应的有效发挥。</w:t>
            </w:r>
          </w:p>
          <w:p w14:paraId="318F7C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482" w:firstLineChars="20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2.贯彻全面实施预算绩效管理政策，严格做好各项绩效管理工作。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严格按照“谁支出、谁负责”的原则，完善全面预算绩效管理，单位财务部门是本单位预算绩效管理的牵头部门，业务部门是本单位预算绩效管理的具体实施部门，承担编报绩效目标、实施绩效跟踪、开展绩效评价等预算绩效管理职责，确保各项要求落到实处，建立健全本单位预算绩效管理工作机制，确保各部门年初设置明确绩效目标，并对绩效目标实现程度和预算执行进度实行“双监控”，以便发现问题、分析原因并及时纠正；同时有效实现项目绩效自评全覆盖，如实反映绩效目标实现结果，对绩效目标未达成或目标制定明显不合理的，及时作出说明并提出改进措施，提高部门履职效能和公共服务供给质量。</w:t>
            </w:r>
          </w:p>
        </w:tc>
      </w:tr>
      <w:tr w14:paraId="0F037975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814" w:type="dxa"/>
            <w:gridSpan w:val="14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8EEBE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七、其他需要说明的事项</w:t>
            </w:r>
          </w:p>
        </w:tc>
      </w:tr>
      <w:tr w14:paraId="609B78E9"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8814" w:type="dxa"/>
            <w:gridSpan w:val="14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1D1AB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无</w:t>
            </w:r>
          </w:p>
        </w:tc>
      </w:tr>
    </w:tbl>
    <w:p w14:paraId="52379EF7">
      <w:pPr>
        <w:bidi w:val="0"/>
      </w:pPr>
    </w:p>
    <w:sectPr>
      <w:footerReference r:id="rId5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87FB6F">
    <w:pPr>
      <w:pStyle w:val="9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B406913">
                          <w:pPr>
                            <w:pStyle w:val="9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B406913">
                    <w:pPr>
                      <w:pStyle w:val="9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640"/>
      </w:pPr>
      <w:r>
        <w:separator/>
      </w:r>
    </w:p>
  </w:footnote>
  <w:footnote w:type="continuationSeparator" w:id="1">
    <w:p>
      <w:pPr>
        <w:spacing w:line="36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ViYTZkZTkxN2RmNjJmZjAzY2EyZDZlMjA3OGRlMTUifQ=="/>
  </w:docVars>
  <w:rsids>
    <w:rsidRoot w:val="50362AE6"/>
    <w:rsid w:val="00D76A86"/>
    <w:rsid w:val="01D874CD"/>
    <w:rsid w:val="036E0F6F"/>
    <w:rsid w:val="038B70FD"/>
    <w:rsid w:val="03973FA9"/>
    <w:rsid w:val="06EB3426"/>
    <w:rsid w:val="07C81D7B"/>
    <w:rsid w:val="0A2A723E"/>
    <w:rsid w:val="0A3F5E74"/>
    <w:rsid w:val="112F6356"/>
    <w:rsid w:val="13750B42"/>
    <w:rsid w:val="1A5B5BFF"/>
    <w:rsid w:val="1BC01759"/>
    <w:rsid w:val="1BD82927"/>
    <w:rsid w:val="1C7D48CD"/>
    <w:rsid w:val="1CB12288"/>
    <w:rsid w:val="1D01233B"/>
    <w:rsid w:val="1E4A5D6E"/>
    <w:rsid w:val="20176124"/>
    <w:rsid w:val="24D55C78"/>
    <w:rsid w:val="266B6E4E"/>
    <w:rsid w:val="26BE4453"/>
    <w:rsid w:val="272D2898"/>
    <w:rsid w:val="27F03E2A"/>
    <w:rsid w:val="28EA6A6E"/>
    <w:rsid w:val="28EF2E48"/>
    <w:rsid w:val="2957286D"/>
    <w:rsid w:val="2A805ED8"/>
    <w:rsid w:val="2CB76567"/>
    <w:rsid w:val="31AF440F"/>
    <w:rsid w:val="3246394F"/>
    <w:rsid w:val="32A76310"/>
    <w:rsid w:val="332736B7"/>
    <w:rsid w:val="35391CE5"/>
    <w:rsid w:val="399649CA"/>
    <w:rsid w:val="39D03040"/>
    <w:rsid w:val="41055F0D"/>
    <w:rsid w:val="417C1E8F"/>
    <w:rsid w:val="41894C7C"/>
    <w:rsid w:val="48054931"/>
    <w:rsid w:val="485D55BF"/>
    <w:rsid w:val="4BA61945"/>
    <w:rsid w:val="4E1D775A"/>
    <w:rsid w:val="50362AE6"/>
    <w:rsid w:val="50447C2B"/>
    <w:rsid w:val="52555572"/>
    <w:rsid w:val="533D715B"/>
    <w:rsid w:val="54C310C9"/>
    <w:rsid w:val="54E92EBD"/>
    <w:rsid w:val="55F56D34"/>
    <w:rsid w:val="573F7050"/>
    <w:rsid w:val="5915699E"/>
    <w:rsid w:val="5C641B24"/>
    <w:rsid w:val="5F851FA3"/>
    <w:rsid w:val="5FEE39B7"/>
    <w:rsid w:val="619736C1"/>
    <w:rsid w:val="62564F40"/>
    <w:rsid w:val="62D4308F"/>
    <w:rsid w:val="65CD64C7"/>
    <w:rsid w:val="680C3C00"/>
    <w:rsid w:val="6FF269CE"/>
    <w:rsid w:val="70721B59"/>
    <w:rsid w:val="726448F9"/>
    <w:rsid w:val="74030452"/>
    <w:rsid w:val="76522867"/>
    <w:rsid w:val="76EF360E"/>
    <w:rsid w:val="775D21EC"/>
    <w:rsid w:val="77B04009"/>
    <w:rsid w:val="77B82F42"/>
    <w:rsid w:val="781E54A5"/>
    <w:rsid w:val="7AE07C8F"/>
    <w:rsid w:val="7D182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qFormat="1"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qFormat="1"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0" w:lineRule="auto"/>
      <w:ind w:firstLine="640" w:firstLineChars="200"/>
      <w:jc w:val="both"/>
    </w:pPr>
    <w:rPr>
      <w:rFonts w:ascii="仿宋_GB2312" w:hAnsi="仿宋_GB2312" w:eastAsia="仿宋_GB2312" w:cs="仿宋_GB2312"/>
      <w:kern w:val="2"/>
      <w:sz w:val="32"/>
      <w:szCs w:val="32"/>
      <w:lang w:val="en-US" w:eastAsia="zh-CN" w:bidi="ar-SA"/>
    </w:rPr>
  </w:style>
  <w:style w:type="paragraph" w:styleId="5">
    <w:name w:val="heading 1"/>
    <w:basedOn w:val="1"/>
    <w:next w:val="1"/>
    <w:link w:val="15"/>
    <w:qFormat/>
    <w:uiPriority w:val="0"/>
    <w:pPr>
      <w:keepNext/>
      <w:keepLines/>
      <w:spacing w:line="360" w:lineRule="auto"/>
      <w:ind w:firstLine="480" w:firstLineChars="200"/>
      <w:jc w:val="both"/>
      <w:outlineLvl w:val="0"/>
    </w:pPr>
    <w:rPr>
      <w:rFonts w:ascii="黑体" w:hAnsi="黑体" w:eastAsia="黑体" w:cs="黑体"/>
      <w:kern w:val="44"/>
      <w:szCs w:val="32"/>
    </w:rPr>
  </w:style>
  <w:style w:type="paragraph" w:styleId="6">
    <w:name w:val="heading 2"/>
    <w:basedOn w:val="1"/>
    <w:next w:val="1"/>
    <w:semiHidden/>
    <w:unhideWhenUsed/>
    <w:qFormat/>
    <w:uiPriority w:val="0"/>
    <w:pPr>
      <w:topLinePunct/>
      <w:spacing w:before="0" w:beforeAutospacing="0" w:after="0" w:afterAutospacing="0"/>
      <w:jc w:val="left"/>
      <w:outlineLvl w:val="1"/>
    </w:pPr>
    <w:rPr>
      <w:rFonts w:hint="eastAsia" w:ascii="楷体" w:hAnsi="楷体" w:eastAsia="楷体" w:cs="楷体"/>
      <w:b/>
      <w:bCs/>
      <w:kern w:val="0"/>
      <w:lang w:bidi="ar"/>
    </w:rPr>
  </w:style>
  <w:style w:type="paragraph" w:styleId="7">
    <w:name w:val="heading 3"/>
    <w:basedOn w:val="1"/>
    <w:next w:val="1"/>
    <w:autoRedefine/>
    <w:semiHidden/>
    <w:unhideWhenUsed/>
    <w:qFormat/>
    <w:uiPriority w:val="0"/>
    <w:pPr>
      <w:keepNext/>
      <w:keepLines/>
      <w:spacing w:beforeLines="0" w:beforeAutospacing="0" w:afterLines="0" w:afterAutospacing="0" w:line="360" w:lineRule="auto"/>
      <w:outlineLvl w:val="2"/>
    </w:pPr>
    <w:rPr>
      <w:b/>
    </w:rPr>
  </w:style>
  <w:style w:type="paragraph" w:styleId="8">
    <w:name w:val="heading 6"/>
    <w:basedOn w:val="1"/>
    <w:next w:val="1"/>
    <w:semiHidden/>
    <w:unhideWhenUsed/>
    <w:qFormat/>
    <w:uiPriority w:val="0"/>
    <w:pPr>
      <w:keepNext/>
      <w:keepLines/>
      <w:spacing w:before="240" w:beforeLines="0" w:beforeAutospacing="0" w:after="64" w:afterLines="0" w:afterAutospacing="0" w:line="317" w:lineRule="auto"/>
      <w:outlineLvl w:val="5"/>
    </w:pPr>
    <w:rPr>
      <w:rFonts w:ascii="Arial" w:hAnsi="Arial" w:eastAsia="黑体"/>
      <w:b/>
      <w:sz w:val="24"/>
    </w:rPr>
  </w:style>
  <w:style w:type="character" w:default="1" w:styleId="14">
    <w:name w:val="Default Paragraph Font"/>
    <w:autoRedefine/>
    <w:semiHidden/>
    <w:qFormat/>
    <w:uiPriority w:val="0"/>
  </w:style>
  <w:style w:type="table" w:default="1" w:styleId="1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1"/>
    <w:basedOn w:val="3"/>
    <w:next w:val="4"/>
    <w:qFormat/>
    <w:uiPriority w:val="0"/>
    <w:rPr>
      <w:rFonts w:eastAsia="仿宋_GB2312"/>
      <w:sz w:val="32"/>
    </w:rPr>
  </w:style>
  <w:style w:type="paragraph" w:styleId="3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Arial" w:hAnsi="Arial" w:eastAsia="宋体" w:cs="Arial"/>
      <w:b/>
      <w:bCs/>
      <w:sz w:val="32"/>
      <w:szCs w:val="32"/>
    </w:rPr>
  </w:style>
  <w:style w:type="paragraph" w:styleId="4">
    <w:name w:val="index 9"/>
    <w:basedOn w:val="1"/>
    <w:next w:val="1"/>
    <w:qFormat/>
    <w:uiPriority w:val="0"/>
    <w:pPr>
      <w:ind w:left="1600" w:leftChars="1600"/>
    </w:pPr>
  </w:style>
  <w:style w:type="paragraph" w:styleId="9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0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1">
    <w:name w:val="index 1"/>
    <w:basedOn w:val="1"/>
    <w:next w:val="1"/>
    <w:qFormat/>
    <w:uiPriority w:val="0"/>
  </w:style>
  <w:style w:type="table" w:styleId="13">
    <w:name w:val="Table Grid"/>
    <w:basedOn w:val="1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5">
    <w:name w:val="标题 1 Char"/>
    <w:link w:val="5"/>
    <w:qFormat/>
    <w:uiPriority w:val="0"/>
    <w:rPr>
      <w:rFonts w:ascii="黑体" w:hAnsi="黑体" w:eastAsia="黑体" w:cs="黑体"/>
      <w:kern w:val="44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4043</Words>
  <Characters>4241</Characters>
  <Lines>0</Lines>
  <Paragraphs>0</Paragraphs>
  <TotalTime>58</TotalTime>
  <ScaleCrop>false</ScaleCrop>
  <LinksUpToDate>false</LinksUpToDate>
  <CharactersWithSpaces>4243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2023-10-27T06:19:00Z</dcterms:created>
  <dc:creator>阁下。</dc:creator>
  <cp:lastModifiedBy>^_^^_^^_^</cp:lastModifiedBy>
  <cp:lastPrinted>2024-09-18T02:04:43Z</cp:lastPrinted>
  <dcterms:modified xsi:type="dcterms:W3CDTF">2024-09-18T02:18:40Z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957531D816D84DE98858295C50E97B6C_11</vt:lpwstr>
  </property>
</Properties>
</file>