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BBC2C0">
      <w:pPr>
        <w:pStyle w:val="7"/>
        <w:pageBreakBefore w:val="0"/>
        <w:widowControl/>
        <w:kinsoku/>
        <w:wordWrap/>
        <w:overflowPunct/>
        <w:topLinePunct w:val="0"/>
        <w:autoSpaceDE/>
        <w:autoSpaceDN/>
        <w:bidi w:val="0"/>
        <w:adjustRightInd/>
        <w:spacing w:line="560" w:lineRule="exact"/>
        <w:jc w:val="left"/>
        <w:textAlignment w:val="auto"/>
        <w:rPr>
          <w:rFonts w:hint="eastAsia" w:ascii="方正小标宋_GBK" w:hAnsi="方正小标宋_GBK" w:eastAsia="方正小标宋_GBK" w:cs="方正小标宋_GBK"/>
          <w:b w:val="0"/>
          <w:bCs w:val="0"/>
          <w:sz w:val="44"/>
          <w:szCs w:val="44"/>
          <w:lang w:eastAsia="zh-CN" w:bidi="ar"/>
        </w:rPr>
      </w:pPr>
      <w:bookmarkStart w:id="0" w:name="_GoBack"/>
      <w:bookmarkEnd w:id="0"/>
    </w:p>
    <w:p w14:paraId="1F5C7AEB">
      <w:pPr>
        <w:pStyle w:val="7"/>
        <w:pageBreakBefore w:val="0"/>
        <w:widowControl/>
        <w:kinsoku/>
        <w:wordWrap/>
        <w:overflowPunct/>
        <w:topLinePunct w:val="0"/>
        <w:autoSpaceDE/>
        <w:autoSpaceDN/>
        <w:bidi w:val="0"/>
        <w:adjustRightInd/>
        <w:spacing w:line="560" w:lineRule="exact"/>
        <w:jc w:val="left"/>
        <w:textAlignment w:val="auto"/>
        <w:rPr>
          <w:rFonts w:hint="eastAsia" w:ascii="方正小标宋_GBK" w:hAnsi="方正小标宋_GBK" w:eastAsia="方正小标宋_GBK" w:cs="方正小标宋_GBK"/>
          <w:b w:val="0"/>
          <w:bCs w:val="0"/>
          <w:sz w:val="44"/>
          <w:szCs w:val="44"/>
          <w:lang w:eastAsia="zh-CN" w:bidi="ar"/>
        </w:rPr>
      </w:pPr>
    </w:p>
    <w:p w14:paraId="276FE4CC">
      <w:pPr>
        <w:pStyle w:val="7"/>
        <w:pageBreakBefore w:val="0"/>
        <w:widowControl/>
        <w:kinsoku/>
        <w:wordWrap/>
        <w:overflowPunct/>
        <w:topLinePunct w:val="0"/>
        <w:autoSpaceDE/>
        <w:autoSpaceDN/>
        <w:bidi w:val="0"/>
        <w:adjustRightInd/>
        <w:spacing w:line="560" w:lineRule="exact"/>
        <w:jc w:val="left"/>
        <w:textAlignment w:val="auto"/>
        <w:rPr>
          <w:rFonts w:hint="eastAsia" w:ascii="方正小标宋_GBK" w:hAnsi="方正小标宋_GBK" w:eastAsia="方正小标宋_GBK" w:cs="方正小标宋_GBK"/>
          <w:b w:val="0"/>
          <w:bCs w:val="0"/>
          <w:sz w:val="44"/>
          <w:szCs w:val="44"/>
          <w:lang w:eastAsia="zh-CN" w:bidi="ar"/>
        </w:rPr>
      </w:pPr>
    </w:p>
    <w:p w14:paraId="75321AAD">
      <w:pPr>
        <w:pStyle w:val="7"/>
        <w:pageBreakBefore w:val="0"/>
        <w:widowControl/>
        <w:kinsoku/>
        <w:wordWrap/>
        <w:overflowPunct/>
        <w:topLinePunct w:val="0"/>
        <w:autoSpaceDE/>
        <w:autoSpaceDN/>
        <w:bidi w:val="0"/>
        <w:adjustRightInd/>
        <w:spacing w:line="560" w:lineRule="exact"/>
        <w:ind w:left="1760" w:hanging="1767" w:hangingChars="400"/>
        <w:jc w:val="center"/>
        <w:textAlignment w:val="auto"/>
        <w:rPr>
          <w:rFonts w:hint="eastAsia" w:asciiTheme="majorEastAsia" w:hAnsiTheme="majorEastAsia" w:eastAsiaTheme="majorEastAsia" w:cstheme="majorEastAsia"/>
          <w:b/>
          <w:bCs/>
          <w:sz w:val="44"/>
          <w:szCs w:val="44"/>
          <w:lang w:val="en-US" w:eastAsia="zh-CN" w:bidi="ar"/>
        </w:rPr>
      </w:pPr>
      <w:r>
        <w:rPr>
          <w:rFonts w:hint="eastAsia" w:asciiTheme="majorEastAsia" w:hAnsiTheme="majorEastAsia" w:eastAsiaTheme="majorEastAsia" w:cstheme="majorEastAsia"/>
          <w:b/>
          <w:bCs/>
          <w:sz w:val="44"/>
          <w:szCs w:val="44"/>
          <w:lang w:bidi="ar"/>
        </w:rPr>
        <w:t>兰州新区</w:t>
      </w:r>
      <w:r>
        <w:rPr>
          <w:rFonts w:hint="eastAsia" w:asciiTheme="majorEastAsia" w:hAnsiTheme="majorEastAsia" w:eastAsiaTheme="majorEastAsia" w:cstheme="majorEastAsia"/>
          <w:b/>
          <w:bCs/>
          <w:sz w:val="44"/>
          <w:szCs w:val="44"/>
          <w:lang w:val="en-US" w:eastAsia="zh-CN" w:bidi="ar"/>
        </w:rPr>
        <w:t>瑞岭雅苑社区卫生服中心</w:t>
      </w:r>
    </w:p>
    <w:p w14:paraId="1957AE38">
      <w:pPr>
        <w:pStyle w:val="7"/>
        <w:pageBreakBefore w:val="0"/>
        <w:widowControl/>
        <w:kinsoku/>
        <w:wordWrap/>
        <w:overflowPunct/>
        <w:topLinePunct w:val="0"/>
        <w:autoSpaceDE/>
        <w:autoSpaceDN/>
        <w:bidi w:val="0"/>
        <w:adjustRightInd/>
        <w:spacing w:line="560" w:lineRule="exact"/>
        <w:ind w:left="1760" w:hanging="1767" w:hangingChars="400"/>
        <w:jc w:val="center"/>
        <w:textAlignment w:val="auto"/>
        <w:rPr>
          <w:rFonts w:hint="eastAsia" w:asciiTheme="majorEastAsia" w:hAnsiTheme="majorEastAsia" w:eastAsiaTheme="majorEastAsia" w:cstheme="majorEastAsia"/>
          <w:b/>
          <w:bCs/>
          <w:sz w:val="44"/>
          <w:szCs w:val="44"/>
          <w:lang w:bidi="ar"/>
        </w:rPr>
      </w:pPr>
      <w:r>
        <w:rPr>
          <w:rFonts w:hint="eastAsia" w:asciiTheme="majorEastAsia" w:hAnsiTheme="majorEastAsia" w:eastAsiaTheme="majorEastAsia" w:cstheme="majorEastAsia"/>
          <w:b/>
          <w:bCs/>
          <w:sz w:val="44"/>
          <w:szCs w:val="44"/>
          <w:lang w:eastAsia="zh-CN" w:bidi="ar"/>
        </w:rPr>
        <w:t>2023</w:t>
      </w:r>
      <w:r>
        <w:rPr>
          <w:rFonts w:hint="eastAsia" w:asciiTheme="majorEastAsia" w:hAnsiTheme="majorEastAsia" w:eastAsiaTheme="majorEastAsia" w:cstheme="majorEastAsia"/>
          <w:b/>
          <w:bCs/>
          <w:sz w:val="44"/>
          <w:szCs w:val="44"/>
          <w:lang w:bidi="ar"/>
        </w:rPr>
        <w:t>年度</w:t>
      </w:r>
      <w:r>
        <w:rPr>
          <w:rFonts w:hint="eastAsia" w:asciiTheme="majorEastAsia" w:hAnsiTheme="majorEastAsia" w:eastAsiaTheme="majorEastAsia" w:cstheme="majorEastAsia"/>
          <w:b/>
          <w:bCs/>
          <w:sz w:val="44"/>
          <w:szCs w:val="44"/>
          <w:lang w:val="en-US" w:eastAsia="zh-CN" w:bidi="ar"/>
        </w:rPr>
        <w:t>预算执行情况</w:t>
      </w:r>
      <w:r>
        <w:rPr>
          <w:rFonts w:hint="eastAsia" w:asciiTheme="majorEastAsia" w:hAnsiTheme="majorEastAsia" w:eastAsiaTheme="majorEastAsia" w:cstheme="majorEastAsia"/>
          <w:b/>
          <w:bCs/>
          <w:sz w:val="44"/>
          <w:szCs w:val="44"/>
          <w:lang w:bidi="ar"/>
        </w:rPr>
        <w:t>自评报告</w:t>
      </w:r>
    </w:p>
    <w:p w14:paraId="0F63EE10">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val="en-US" w:eastAsia="zh-CN"/>
        </w:rPr>
        <w:t>单位</w:t>
      </w:r>
      <w:r>
        <w:rPr>
          <w:rFonts w:hint="eastAsia" w:ascii="黑体" w:hAnsi="黑体" w:eastAsia="黑体" w:cs="黑体"/>
          <w:sz w:val="32"/>
          <w:szCs w:val="32"/>
        </w:rPr>
        <w:t>基本情况</w:t>
      </w:r>
    </w:p>
    <w:p w14:paraId="19A1C262">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lang w:val="en-US" w:eastAsia="zh-CN"/>
        </w:rPr>
        <w:t>(一)主要</w:t>
      </w:r>
      <w:r>
        <w:rPr>
          <w:rFonts w:hint="eastAsia" w:ascii="楷体" w:hAnsi="楷体" w:eastAsia="楷体" w:cs="楷体"/>
          <w:b w:val="0"/>
          <w:bCs w:val="0"/>
          <w:sz w:val="32"/>
          <w:szCs w:val="32"/>
        </w:rPr>
        <w:t>职责</w:t>
      </w:r>
    </w:p>
    <w:p w14:paraId="12B42840">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兰州新区瑞岭雅苑社区卫生服务中心</w:t>
      </w:r>
      <w:r>
        <w:rPr>
          <w:rStyle w:val="10"/>
          <w:rFonts w:hint="eastAsia" w:ascii="仿宋_GB2312" w:hAnsi="仿宋_GB2312" w:eastAsia="仿宋_GB2312" w:cs="仿宋_GB2312"/>
          <w:b w:val="0"/>
          <w:bCs/>
          <w:i w:val="0"/>
          <w:caps w:val="0"/>
          <w:color w:val="333333"/>
          <w:spacing w:val="0"/>
          <w:sz w:val="28"/>
          <w:szCs w:val="28"/>
          <w:highlight w:val="none"/>
          <w:shd w:val="clear" w:fill="FFFFFF"/>
        </w:rPr>
        <w:t>为非营利性医疗机构，主要</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承担</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瑞岭雅苑、翠园、引大家园等1.8万</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居民的基本医疗服务和国家</w:t>
      </w:r>
      <w:r>
        <w:rPr>
          <w:rStyle w:val="10"/>
          <w:rFonts w:hint="eastAsia" w:ascii="仿宋_GB2312" w:hAnsi="仿宋_GB2312" w:eastAsia="仿宋_GB2312" w:cs="仿宋_GB2312"/>
          <w:b w:val="0"/>
          <w:bCs/>
          <w:i w:val="0"/>
          <w:caps w:val="0"/>
          <w:color w:val="333333"/>
          <w:spacing w:val="0"/>
          <w:sz w:val="28"/>
          <w:szCs w:val="28"/>
          <w:highlight w:val="none"/>
          <w:shd w:val="clear" w:fill="FFFFFF"/>
        </w:rPr>
        <w:t>基本公共卫生服务</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项目实施工作</w:t>
      </w:r>
      <w:r>
        <w:rPr>
          <w:rStyle w:val="10"/>
          <w:rFonts w:hint="eastAsia" w:ascii="仿宋_GB2312" w:hAnsi="仿宋_GB2312" w:eastAsia="仿宋_GB2312" w:cs="仿宋_GB2312"/>
          <w:b w:val="0"/>
          <w:bCs/>
          <w:i w:val="0"/>
          <w:caps w:val="0"/>
          <w:color w:val="333333"/>
          <w:spacing w:val="0"/>
          <w:sz w:val="28"/>
          <w:szCs w:val="28"/>
          <w:highlight w:val="none"/>
          <w:shd w:val="clear" w:fill="FFFFFF"/>
        </w:rPr>
        <w:t>，</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负责辖区人口的常见病、多发病的诊断治疗，并负责辖区内居民的传染预防控制和社区康复、预防接种，儿童、孕产妇、老年人等重点人群健康管理服务，公共场所卫生监督协管，</w:t>
      </w:r>
      <w:r>
        <w:rPr>
          <w:rStyle w:val="10"/>
          <w:rFonts w:hint="eastAsia" w:ascii="仿宋_GB2312" w:hAnsi="仿宋_GB2312" w:eastAsia="仿宋_GB2312" w:cs="仿宋_GB2312"/>
          <w:b w:val="0"/>
          <w:bCs/>
          <w:i w:val="0"/>
          <w:caps w:val="0"/>
          <w:color w:val="333333"/>
          <w:spacing w:val="0"/>
          <w:sz w:val="28"/>
          <w:szCs w:val="28"/>
          <w:highlight w:val="none"/>
          <w:shd w:val="clear" w:fill="FFFFFF"/>
        </w:rPr>
        <w:t>计划生育技术指导与</w:t>
      </w:r>
      <w:r>
        <w:rPr>
          <w:rStyle w:val="10"/>
          <w:rFonts w:hint="eastAsia" w:ascii="仿宋_GB2312" w:hAnsi="仿宋_GB2312" w:eastAsia="仿宋_GB2312" w:cs="仿宋_GB2312"/>
          <w:b w:val="0"/>
          <w:bCs/>
          <w:i w:val="0"/>
          <w:caps w:val="0"/>
          <w:color w:val="333333"/>
          <w:spacing w:val="0"/>
          <w:sz w:val="28"/>
          <w:szCs w:val="28"/>
          <w:highlight w:val="none"/>
          <w:shd w:val="clear" w:fill="FFFFFF"/>
          <w:lang w:eastAsia="zh-CN"/>
        </w:rPr>
        <w:t>协助处置辖区内的突发公共卫生事件等基本职能</w:t>
      </w:r>
      <w:r>
        <w:rPr>
          <w:rStyle w:val="10"/>
          <w:rFonts w:hint="eastAsia" w:ascii="仿宋_GB2312" w:hAnsi="仿宋_GB2312" w:eastAsia="仿宋_GB2312" w:cs="仿宋_GB2312"/>
          <w:b w:val="0"/>
          <w:bCs/>
          <w:i w:val="0"/>
          <w:caps w:val="0"/>
          <w:color w:val="333333"/>
          <w:spacing w:val="0"/>
          <w:sz w:val="28"/>
          <w:szCs w:val="28"/>
          <w:highlight w:val="none"/>
          <w:shd w:val="clear" w:fill="FFFFFF"/>
        </w:rPr>
        <w:t>。</w:t>
      </w:r>
    </w:p>
    <w:p w14:paraId="51871B35">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bCs/>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lang w:val="en-US" w:eastAsia="zh-CN"/>
        </w:rPr>
        <w:t>二</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机构设置及人员情况</w:t>
      </w:r>
    </w:p>
    <w:p w14:paraId="6F2FAA73">
      <w:pPr>
        <w:pStyle w:val="7"/>
        <w:pageBreakBefore w:val="0"/>
        <w:shd w:val="clear" w:color="auto" w:fill="FFFFFF"/>
        <w:kinsoku/>
        <w:wordWrap/>
        <w:overflowPunct/>
        <w:topLinePunct w:val="0"/>
        <w:autoSpaceDE/>
        <w:autoSpaceDN/>
        <w:bidi w:val="0"/>
        <w:adjustRightInd/>
        <w:spacing w:beforeAutospacing="0" w:afterAutospacing="0" w:line="560" w:lineRule="exact"/>
        <w:ind w:firstLine="560" w:firstLineChars="200"/>
        <w:textAlignment w:val="auto"/>
        <w:rPr>
          <w:rFonts w:hint="eastAsia" w:ascii="仿宋_GB2312" w:hAnsi="仿宋_GB2312" w:eastAsia="仿宋_GB2312" w:cs="仿宋_GB2312"/>
          <w:color w:val="333333"/>
          <w:sz w:val="32"/>
          <w:szCs w:val="32"/>
          <w:lang w:eastAsia="zh-CN"/>
        </w:rPr>
      </w:pPr>
      <w:r>
        <w:rPr>
          <w:rStyle w:val="10"/>
          <w:rFonts w:hint="eastAsia" w:ascii="仿宋_GB2312" w:hAnsi="仿宋_GB2312" w:eastAsia="仿宋_GB2312" w:cs="仿宋_GB2312"/>
          <w:b w:val="0"/>
          <w:bCs/>
          <w:i w:val="0"/>
          <w:caps w:val="0"/>
          <w:color w:val="333333"/>
          <w:spacing w:val="0"/>
          <w:kern w:val="2"/>
          <w:sz w:val="28"/>
          <w:szCs w:val="28"/>
          <w:highlight w:val="none"/>
          <w:shd w:val="clear" w:fill="FFFFFF"/>
          <w:lang w:val="en-US" w:eastAsia="zh-CN" w:bidi="ar-SA"/>
        </w:rPr>
        <w:t>兰州新区瑞岭雅苑社区卫生服务中心内设15个科室，分别是办公室、财务科、医务科、护理部、内儿科、公卫科、妇科、中医科、预防接种科、放射科、B超室、检验科、口腔科、药房、收费室。2023年末兰州新区瑞岭雅苑社区卫生服务中心实有人数为85人，其中在编事业人数为48人，单位自聘人数为37人。</w:t>
      </w:r>
    </w:p>
    <w:p w14:paraId="22152864">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二、绩效自评工作组织开展情况</w:t>
      </w:r>
    </w:p>
    <w:p w14:paraId="48FFAE72">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为确实做好2023年度部门整体绩效自评工作，提高财政资金使用效益，根据《兰州新区财政局（国有资产监督管理局）关于开展2023年度预算执行情况绩效单位自评工作的通知》（兰新财发〔2024〕35号）文件精神，结合实际，我单位组织成立了绩效评价工作小组，检查支出相关资料，并根据绩效自评材料进行分析、总结。</w:t>
      </w:r>
    </w:p>
    <w:p w14:paraId="17BE24E8">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部门整体支出绩效自评情况分析</w:t>
      </w:r>
    </w:p>
    <w:p w14:paraId="1B8F7BAA">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楷体" w:hAnsi="楷体" w:eastAsia="楷体" w:cs="楷体"/>
          <w:b w:val="0"/>
          <w:bCs w:val="0"/>
          <w:sz w:val="32"/>
          <w:szCs w:val="32"/>
        </w:rPr>
      </w:pPr>
      <w:r>
        <w:rPr>
          <w:rFonts w:hint="eastAsia" w:ascii="楷体" w:hAnsi="楷体" w:eastAsia="楷体" w:cs="楷体"/>
          <w:b w:val="0"/>
          <w:bCs w:val="0"/>
          <w:sz w:val="32"/>
          <w:szCs w:val="32"/>
        </w:rPr>
        <w:t>（一）部门决算情况</w:t>
      </w:r>
    </w:p>
    <w:p w14:paraId="463147CF">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1.2023年度收入决算情况</w:t>
      </w:r>
    </w:p>
    <w:p w14:paraId="6A4E09A3">
      <w:pPr>
        <w:pageBreakBefore w:val="0"/>
        <w:kinsoku/>
        <w:wordWrap/>
        <w:overflowPunct/>
        <w:topLinePunct w:val="0"/>
        <w:autoSpaceDE/>
        <w:autoSpaceDN/>
        <w:bidi w:val="0"/>
        <w:adjustRightInd/>
        <w:spacing w:line="560" w:lineRule="exact"/>
        <w:ind w:firstLine="560" w:firstLineChars="200"/>
        <w:textAlignment w:val="auto"/>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2023年度总收入1736.34万元，其中一般公共预算财政收入876.44万元，占总收入的50.48%；其他收入352.70万元，占总收入的20.31%；事业收入507.20万元，占总收入的29.21%。</w:t>
      </w:r>
    </w:p>
    <w:p w14:paraId="41E2CC14">
      <w:pPr>
        <w:pageBreakBefore w:val="0"/>
        <w:kinsoku/>
        <w:wordWrap/>
        <w:overflowPunct/>
        <w:topLinePunct w:val="0"/>
        <w:autoSpaceDE/>
        <w:autoSpaceDN/>
        <w:bidi w:val="0"/>
        <w:adjustRightInd/>
        <w:spacing w:line="560" w:lineRule="exact"/>
        <w:ind w:firstLine="560" w:firstLineChars="200"/>
        <w:textAlignment w:val="auto"/>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2.2023年度支出决算情况</w:t>
      </w:r>
    </w:p>
    <w:p w14:paraId="685E1FEF">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zh-CN"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zh-CN" w:eastAsia="zh-CN"/>
        </w:rPr>
        <w:t>2023年度支出合计1788.60万元,其中：基本支出1710.58万元,占</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95.64</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zh-CN" w:eastAsia="zh-CN"/>
        </w:rPr>
        <w:t>%；项目支出</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78.02</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zh-CN" w:eastAsia="zh-CN"/>
        </w:rPr>
        <w:t>万元,占</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4.36</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zh-CN" w:eastAsia="zh-CN"/>
        </w:rPr>
        <w:t>%。</w:t>
      </w:r>
    </w:p>
    <w:p w14:paraId="5BCDEAE2">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（二）总体绩效目标完成情况分析</w:t>
      </w:r>
    </w:p>
    <w:p w14:paraId="2E002E88">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1.总体绩效目标</w:t>
      </w:r>
    </w:p>
    <w:p w14:paraId="1D8CB6D4">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目标1：发放医护人员工资，缴纳五险一金；公用经费开支；</w:t>
      </w:r>
    </w:p>
    <w:p w14:paraId="175B862E">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目标2：加强基层医疗机构管理及医护人员队伍建设；</w:t>
      </w:r>
    </w:p>
    <w:p w14:paraId="10A20A0A">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3：通过开展家庭签约服务，能最大限度合理截留基层普通病人基层首诊，发现需要上转治疗的，由家庭医生负责联接上级专家及医疗机构给病人提供快捷、高效的专业服务，在解决基层“看病难看病贵”的同时，也极大提高大医院优质医疗资源效益，推进医学科学进步发展；</w:t>
      </w:r>
    </w:p>
    <w:p w14:paraId="7E453AB3">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目标4：为在岗公卫专干的五险一金支付单位缴纳部分。</w:t>
      </w:r>
    </w:p>
    <w:p w14:paraId="0603BD6F">
      <w:pPr>
        <w:pageBreakBefore w:val="0"/>
        <w:kinsoku/>
        <w:wordWrap/>
        <w:overflowPunct/>
        <w:topLinePunct w:val="0"/>
        <w:autoSpaceDE/>
        <w:autoSpaceDN/>
        <w:bidi w:val="0"/>
        <w:adjustRightInd/>
        <w:spacing w:line="560" w:lineRule="exact"/>
        <w:ind w:firstLine="560" w:firstLineChars="200"/>
        <w:textAlignment w:val="auto"/>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目标5：为社区卫生服务机构提供良好的医疗环境，为辖区内居民提供公共卫生服务和基本医疗服务，保障单位医疗业务正常开展。</w:t>
      </w:r>
    </w:p>
    <w:p w14:paraId="1740A7D9">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2.完成情况分析</w:t>
      </w:r>
    </w:p>
    <w:p w14:paraId="49312A88">
      <w:pPr>
        <w:pageBreakBefore w:val="0"/>
        <w:kinsoku/>
        <w:wordWrap/>
        <w:overflowPunct/>
        <w:topLinePunct w:val="0"/>
        <w:autoSpaceDE/>
        <w:autoSpaceDN/>
        <w:bidi w:val="0"/>
        <w:adjustRightInd/>
        <w:spacing w:line="560" w:lineRule="exact"/>
        <w:ind w:firstLine="560" w:firstLineChars="200"/>
        <w:textAlignment w:val="auto"/>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目标1完成情况：</w:t>
      </w:r>
      <w:r>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t>人员经费支出763.06万元；公用经费支出</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35.36</w:t>
      </w:r>
      <w:r>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t>万元</w:t>
      </w: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；项目支出经费78.02万元。</w:t>
      </w:r>
    </w:p>
    <w:p w14:paraId="792493CC">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目标2完成情况：建立健全各项规章制度，单位班子及医护队伍，团结务实，职责分明，能够相互配合，协调一致；</w:t>
      </w:r>
    </w:p>
    <w:p w14:paraId="071EFD7A">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3完成情况：2023年新建居民健康档案3987份，建档率101%。其中高血压体检1019人，糖尿病体检313人，0-6岁儿童免费体检3329人次，儿童中医药健康指导1648人次，早孕建册382人，结案260人，产后访视254人次，产后访视率98%。新增严重精神障碍患者健康档案11份，规范管理率96%。老年人体检1026人，老年人中医体质辨识1026人次。肺结核患者入户随访26次，举办健康教育知识讲座37次，健康咨询活动19次，个体化健康教育41837人次，发放各类宣传材料48960余份，更换宣传栏内容6次，自制健康教育宣传小视频9个，秋季传染病宣传进学校13所26次，开具死亡证明15份，叶酸服用随访232人次，完成二次供水巡查、诊所巡查，并建立巡查档案，下发巡查意见书等，联合中川园区卫生监督所完成公共场所巡查8次，上报传染病例18例；</w:t>
      </w:r>
    </w:p>
    <w:p w14:paraId="723CE905">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目标4完成情况：完成缴纳单位公卫专干五险一金单位部分，为职工解决后顾之忧，提高基层医疗机构服务能力。</w:t>
      </w:r>
    </w:p>
    <w:p w14:paraId="4AE63F1A">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目标5完成情况：完成单位业务用房租赁费的缴纳，为患者提供了良好的就医环境，为职工创造了良好的办公环境，保障了本单位业务的正常开展。</w:t>
      </w:r>
    </w:p>
    <w:p w14:paraId="0554828C">
      <w:pPr>
        <w:pageBreakBefore w:val="0"/>
        <w:kinsoku/>
        <w:wordWrap/>
        <w:overflowPunct/>
        <w:topLinePunct w:val="0"/>
        <w:autoSpaceDE/>
        <w:autoSpaceDN/>
        <w:bidi w:val="0"/>
        <w:adjustRightInd/>
        <w:spacing w:line="560" w:lineRule="exact"/>
        <w:ind w:firstLine="640"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（三）各项指标完成情况分析</w:t>
      </w:r>
    </w:p>
    <w:p w14:paraId="45D2A726">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根据本次自评工作要求，我单位结合2023年度履职工作实际，从部门整体支出、部门管理、履职效果、能力建设及服务对象满意度五个方面开展部门整体支出绩效自评。经对各项履职工作相关资料的整理、汇总分析，综合评分为97.5分。各项指标完成情况分析如下：</w:t>
      </w:r>
    </w:p>
    <w:p w14:paraId="34908D66">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1.部门整体支出</w:t>
      </w:r>
    </w:p>
    <w:p w14:paraId="3A494CCC">
      <w:pPr>
        <w:pageBreakBefore w:val="0"/>
        <w:kinsoku/>
        <w:wordWrap/>
        <w:overflowPunct/>
        <w:topLinePunct w:val="0"/>
        <w:autoSpaceDE/>
        <w:autoSpaceDN/>
        <w:bidi w:val="0"/>
        <w:adjustRightInd/>
        <w:spacing w:line="560" w:lineRule="exact"/>
        <w:ind w:firstLine="560" w:firstLineChars="200"/>
        <w:textAlignment w:val="auto"/>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部门整体支出指标分值10分，2023年度我单位整体支出年初预算数为1458.36万元，全年预算数为1788.6万元，调整预算数为330.24万元，实际支出数为1788.6万元，执行率为100%，指标得分为10分。单位整体实际支出数大于整体预算数的原因是：1.医疗结余有上年结转结余数；2.我单位2023年由于正式职工人数较2022年增加7人，正常晋升导致人员经费增加。</w:t>
      </w:r>
    </w:p>
    <w:p w14:paraId="36B9C060">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2.部门管理</w:t>
      </w:r>
    </w:p>
    <w:p w14:paraId="1B15E104">
      <w:pPr>
        <w:pageBreakBefore w:val="0"/>
        <w:kinsoku/>
        <w:wordWrap/>
        <w:overflowPunct/>
        <w:topLinePunct w:val="0"/>
        <w:autoSpaceDE/>
        <w:autoSpaceDN/>
        <w:bidi w:val="0"/>
        <w:adjustRightInd/>
        <w:spacing w:line="560" w:lineRule="exact"/>
        <w:ind w:firstLine="560" w:firstLineChars="200"/>
        <w:textAlignment w:val="auto"/>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部门管理指标分值20分，从资金投入、财务管理、采购管理、资产管理、人员管理及重点工作管理六方面对我单位2023年度部门管理情况进行自评分析，得分为19.5分。资产管理指标分值为2分，得1.5分。原因是我单位成立于2018年11月初，单位的固定资产由上级主管部门兰州新区卫生健康委员会进行调拨使用，账面上的部分固定资产外借于其他卫生院，我单位今后严格加强固定资产使用管理。</w:t>
      </w:r>
    </w:p>
    <w:p w14:paraId="66877613">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3.履职效果</w:t>
      </w:r>
    </w:p>
    <w:p w14:paraId="2EF0E161">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部门履职指标分值59分，目标指标根据我单位工作职责及年度工作安排，从疫情防控完成情况、卫生健康知识普及情况、患者就医情况、卫生监督覆盖率、家庭医生签约服务完成率、健康档案建立覆盖率、维护基本公卫安全、提升医疗服务水平等方面分对我单位2023年度部门履职工作完成情况进行分析说明，得分为57分。</w:t>
      </w:r>
    </w:p>
    <w:p w14:paraId="4F5FAAD4">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其中家庭医生签约服务完成率指标分值为5分，得分4分。我单位2023年家庭医生签约率目标值为1.8万份，完成1.73万份，占比96.11%。由于我单位辖区无行政村，居民人口年轻化，缺乏老年人以及慢病人群，人群流动性大，摸排到的部分特殊人群档案无法迁入管理；今后我单位将继续推进家庭医生签约服务。</w:t>
      </w:r>
    </w:p>
    <w:p w14:paraId="1F2B20C8">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健康档案建立覆盖率指标分值为5分，得分4分。原因是辖区内居民居住不固定，担心档案迁移后影响拆迁补偿；健康意识不强，对建立健康档案的重要性理解不到位；新入住小区对公卫专干的不熟悉，沟通欠缺；原居住地档案管理者政策宣传有误导，担心健康档案迁出后影响公卫经费补助；2024年我单位将继续大力摸排建档，推动基本公共卫生工作，在新区卫健委的指导下，努力完成全省“争三保五”的目标，加大单位间联动机制，争取建立居民健康档案20000份，争取建档率达到98%以上。</w:t>
      </w:r>
    </w:p>
    <w:p w14:paraId="0BB6114E">
      <w:pPr>
        <w:pageBreakBefore w:val="0"/>
        <w:kinsoku/>
        <w:wordWrap/>
        <w:overflowPunct/>
        <w:topLinePunct w:val="0"/>
        <w:autoSpaceDE/>
        <w:autoSpaceDN/>
        <w:bidi w:val="0"/>
        <w:adjustRightInd/>
        <w:spacing w:line="560" w:lineRule="exact"/>
        <w:ind w:firstLine="560" w:firstLineChars="200"/>
        <w:textAlignment w:val="auto"/>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4.能力建设</w:t>
      </w:r>
    </w:p>
    <w:p w14:paraId="3506144B">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能力建设指标分值11分，从长效管理、组织建设、信息化建设情况、人力资源建设、档案管理五方面对我单位2023年度能力建设情况进行自评分析，得分为11分。</w:t>
      </w:r>
    </w:p>
    <w:p w14:paraId="75E5E52A">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服务对象满意度</w:t>
      </w:r>
    </w:p>
    <w:p w14:paraId="1278E114">
      <w:pPr>
        <w:pageBreakBefore w:val="0"/>
        <w:kinsoku/>
        <w:wordWrap/>
        <w:overflowPunct/>
        <w:topLinePunct w:val="0"/>
        <w:autoSpaceDE/>
        <w:autoSpaceDN/>
        <w:bidi w:val="0"/>
        <w:adjustRightInd/>
        <w:spacing w:line="560" w:lineRule="exact"/>
        <w:ind w:firstLine="560" w:firstLineChars="200"/>
        <w:textAlignment w:val="auto"/>
        <w:rPr>
          <w:rStyle w:val="10"/>
          <w:rFonts w:hint="default"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服务对象满意度指标分值10分，主要是从工作人员及医务人员满意度以及群众满意度两方面进行自评分析，得分为10分。</w:t>
      </w:r>
    </w:p>
    <w:p w14:paraId="20168174">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根据本次绩效自评工作的要求及相关文件规定，对各项指标完成情况进行分析总结，明确改进措施。将相关结果与进度安排及时反馈各实施部门，明确整改时限并上报相关整改情况，接受监督检查。</w:t>
      </w:r>
    </w:p>
    <w:p w14:paraId="17D0C8F9">
      <w:pPr>
        <w:pStyle w:val="7"/>
        <w:pageBreakBefore w:val="0"/>
        <w:widowControl/>
        <w:kinsoku/>
        <w:wordWrap/>
        <w:overflowPunct/>
        <w:topLinePunct w:val="0"/>
        <w:autoSpaceDE/>
        <w:autoSpaceDN/>
        <w:bidi w:val="0"/>
        <w:adjustRightIn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四、其他需要说明的问题</w:t>
      </w:r>
    </w:p>
    <w:p w14:paraId="6F08D561">
      <w:pPr>
        <w:pageBreakBefore w:val="0"/>
        <w:kinsoku/>
        <w:wordWrap/>
        <w:overflowPunct/>
        <w:topLinePunct w:val="0"/>
        <w:autoSpaceDE/>
        <w:autoSpaceDN/>
        <w:bidi w:val="0"/>
        <w:adjustRightInd/>
        <w:spacing w:line="560" w:lineRule="exact"/>
        <w:ind w:firstLine="560" w:firstLineChars="200"/>
        <w:textAlignment w:val="auto"/>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pPr>
      <w:r>
        <w:rPr>
          <w:rStyle w:val="10"/>
          <w:rFonts w:hint="eastAsia" w:ascii="仿宋_GB2312" w:hAnsi="仿宋_GB2312" w:eastAsia="仿宋_GB2312" w:cs="仿宋_GB2312"/>
          <w:b w:val="0"/>
          <w:bCs/>
          <w:i w:val="0"/>
          <w:caps w:val="0"/>
          <w:color w:val="333333"/>
          <w:spacing w:val="0"/>
          <w:sz w:val="28"/>
          <w:szCs w:val="28"/>
          <w:highlight w:val="none"/>
          <w:shd w:val="clear" w:fill="FFFFFF"/>
          <w:lang w:val="en-US" w:eastAsia="zh-CN"/>
        </w:rPr>
        <w:t>本次绩效自评无其他需要说明的问题。</w:t>
      </w:r>
    </w:p>
    <w:p w14:paraId="7F5E0CE2">
      <w:pPr>
        <w:pageBreakBefore w:val="0"/>
        <w:kinsoku/>
        <w:wordWrap/>
        <w:overflowPunct/>
        <w:topLinePunct w:val="0"/>
        <w:autoSpaceDE/>
        <w:autoSpaceDN/>
        <w:bidi w:val="0"/>
        <w:adjustRightInd/>
        <w:spacing w:line="560" w:lineRule="exact"/>
        <w:ind w:left="1918" w:leftChars="304" w:hanging="1280" w:hangingChars="400"/>
        <w:textAlignment w:val="auto"/>
        <w:rPr>
          <w:rFonts w:hint="eastAsia" w:ascii="仿宋_GB2312" w:hAnsi="仿宋_GB2312" w:eastAsia="仿宋_GB2312" w:cs="仿宋_GB2312"/>
          <w:b w:val="0"/>
          <w:bCs w:val="0"/>
          <w:sz w:val="32"/>
          <w:szCs w:val="32"/>
          <w:lang w:val="en-US" w:eastAsia="zh-CN"/>
        </w:rPr>
      </w:pPr>
    </w:p>
    <w:p w14:paraId="6B543E3A">
      <w:pPr>
        <w:pStyle w:val="2"/>
        <w:numPr>
          <w:ilvl w:val="5"/>
          <w:numId w:val="0"/>
        </w:numPr>
        <w:ind w:left="402" w:leftChars="0"/>
        <w:rPr>
          <w:rFonts w:hint="eastAsia"/>
          <w:lang w:val="en-US" w:eastAsia="zh-CN"/>
        </w:rPr>
      </w:pPr>
    </w:p>
    <w:p w14:paraId="1F9462E6">
      <w:pPr>
        <w:rPr>
          <w:rFonts w:hint="eastAsia"/>
          <w:lang w:val="en-US" w:eastAsia="zh-CN"/>
        </w:rPr>
      </w:pPr>
    </w:p>
    <w:p w14:paraId="1B58B0CF">
      <w:pPr>
        <w:pStyle w:val="2"/>
        <w:numPr>
          <w:ilvl w:val="5"/>
          <w:numId w:val="0"/>
        </w:numPr>
        <w:ind w:left="402" w:leftChars="0"/>
        <w:rPr>
          <w:rFonts w:hint="eastAsia"/>
          <w:lang w:val="en-US" w:eastAsia="zh-CN"/>
        </w:rPr>
      </w:pPr>
    </w:p>
    <w:p w14:paraId="5134CC02">
      <w:pPr>
        <w:pageBreakBefore w:val="0"/>
        <w:kinsoku/>
        <w:wordWrap/>
        <w:overflowPunct/>
        <w:topLinePunct w:val="0"/>
        <w:autoSpaceDE/>
        <w:autoSpaceDN/>
        <w:bidi w:val="0"/>
        <w:adjustRightInd/>
        <w:spacing w:line="560" w:lineRule="exact"/>
        <w:ind w:firstLine="3080" w:firstLineChars="1100"/>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兰州新区瑞岭雅苑社区卫生服务中心</w:t>
      </w:r>
    </w:p>
    <w:p w14:paraId="255B18A2">
      <w:pPr>
        <w:pageBreakBefore w:val="0"/>
        <w:kinsoku/>
        <w:wordWrap/>
        <w:overflowPunct/>
        <w:topLinePunct w:val="0"/>
        <w:autoSpaceDE/>
        <w:autoSpaceDN/>
        <w:bidi w:val="0"/>
        <w:adjustRightInd/>
        <w:spacing w:line="560" w:lineRule="exact"/>
        <w:ind w:firstLine="3920" w:firstLineChars="14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2024年8月19日</w:t>
      </w:r>
    </w:p>
    <w:sectPr>
      <w:footerReference r:id="rId3" w:type="default"/>
      <w:pgSz w:w="11906" w:h="16838"/>
      <w:pgMar w:top="1701" w:right="1417" w:bottom="1701" w:left="1417" w:header="964"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36D2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355452">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355452">
                    <w:pPr>
                      <w:pStyle w:val="4"/>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65064"/>
    <w:multiLevelType w:val="multilevel"/>
    <w:tmpl w:val="59A65064"/>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tabs>
          <w:tab w:val="left" w:pos="0"/>
        </w:tabs>
        <w:ind w:left="0" w:firstLine="400"/>
      </w:pPr>
      <w:rPr>
        <w:rFonts w:hint="eastAsia" w:ascii="宋体" w:hAnsi="宋体" w:eastAsia="宋体" w:cs="宋体"/>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pStyle w:val="2"/>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ZmFmMmJlY2MwZjAyMzJhYWZlOTdlNDUxYjk3ZTgifQ=="/>
  </w:docVars>
  <w:rsids>
    <w:rsidRoot w:val="57764F14"/>
    <w:rsid w:val="000049D8"/>
    <w:rsid w:val="000E5DF2"/>
    <w:rsid w:val="0022685A"/>
    <w:rsid w:val="002B42F1"/>
    <w:rsid w:val="002F0A30"/>
    <w:rsid w:val="004306E3"/>
    <w:rsid w:val="004E0E53"/>
    <w:rsid w:val="00500157"/>
    <w:rsid w:val="00600035"/>
    <w:rsid w:val="00736C3E"/>
    <w:rsid w:val="00745A5A"/>
    <w:rsid w:val="007D54CB"/>
    <w:rsid w:val="007F6879"/>
    <w:rsid w:val="009B4203"/>
    <w:rsid w:val="00AD4832"/>
    <w:rsid w:val="00BE409E"/>
    <w:rsid w:val="00BE60B3"/>
    <w:rsid w:val="00DE687B"/>
    <w:rsid w:val="00E2538C"/>
    <w:rsid w:val="00E679A0"/>
    <w:rsid w:val="00ED6B80"/>
    <w:rsid w:val="00F04304"/>
    <w:rsid w:val="025C79C4"/>
    <w:rsid w:val="030E31E0"/>
    <w:rsid w:val="049F7F22"/>
    <w:rsid w:val="066E1317"/>
    <w:rsid w:val="0AA7129C"/>
    <w:rsid w:val="0DB56175"/>
    <w:rsid w:val="0E9D13DC"/>
    <w:rsid w:val="10FB5E9E"/>
    <w:rsid w:val="192C0D62"/>
    <w:rsid w:val="199B7DBD"/>
    <w:rsid w:val="1C11628B"/>
    <w:rsid w:val="1C2A4806"/>
    <w:rsid w:val="1CCC06EE"/>
    <w:rsid w:val="1E6A5362"/>
    <w:rsid w:val="27BB3C8C"/>
    <w:rsid w:val="2948594C"/>
    <w:rsid w:val="2F193C67"/>
    <w:rsid w:val="2F9C7D7E"/>
    <w:rsid w:val="30D065A7"/>
    <w:rsid w:val="31C23E0E"/>
    <w:rsid w:val="3298689E"/>
    <w:rsid w:val="33641498"/>
    <w:rsid w:val="33767FA4"/>
    <w:rsid w:val="33D378E6"/>
    <w:rsid w:val="37A662B4"/>
    <w:rsid w:val="3938734E"/>
    <w:rsid w:val="3B6379DA"/>
    <w:rsid w:val="3E785B47"/>
    <w:rsid w:val="42A64645"/>
    <w:rsid w:val="434F77FF"/>
    <w:rsid w:val="4A1470AD"/>
    <w:rsid w:val="4F0A0A7E"/>
    <w:rsid w:val="53807CC7"/>
    <w:rsid w:val="54907728"/>
    <w:rsid w:val="57764F14"/>
    <w:rsid w:val="5CC2518D"/>
    <w:rsid w:val="5F16521D"/>
    <w:rsid w:val="62143C96"/>
    <w:rsid w:val="626C5880"/>
    <w:rsid w:val="686F392A"/>
    <w:rsid w:val="69870C3F"/>
    <w:rsid w:val="6B680BAF"/>
    <w:rsid w:val="6E29772C"/>
    <w:rsid w:val="6FCD38F6"/>
    <w:rsid w:val="7107638D"/>
    <w:rsid w:val="727E21C1"/>
    <w:rsid w:val="73FC32EF"/>
    <w:rsid w:val="74E96658"/>
    <w:rsid w:val="75440CCF"/>
    <w:rsid w:val="75AF0683"/>
    <w:rsid w:val="764861AD"/>
    <w:rsid w:val="7A0C25B9"/>
    <w:rsid w:val="7C1B64F9"/>
    <w:rsid w:val="7EBD2A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0"/>
    <w:pPr>
      <w:keepNext/>
      <w:keepLines/>
      <w:numPr>
        <w:ilvl w:val="5"/>
        <w:numId w:val="1"/>
      </w:numPr>
      <w:spacing w:line="317" w:lineRule="auto"/>
      <w:outlineLvl w:val="5"/>
    </w:pPr>
    <w:rPr>
      <w:rFonts w:ascii="Arial" w:hAnsi="Arial" w:eastAsia="宋体"/>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35"/>
    <w:qFormat/>
    <w:uiPriority w:val="0"/>
    <w:rPr>
      <w:sz w:val="18"/>
      <w:szCs w:val="18"/>
    </w:rPr>
  </w:style>
  <w:style w:type="paragraph" w:styleId="4">
    <w:name w:val="footer"/>
    <w:basedOn w:val="1"/>
    <w:link w:val="34"/>
    <w:qFormat/>
    <w:uiPriority w:val="0"/>
    <w:pPr>
      <w:tabs>
        <w:tab w:val="center" w:pos="4153"/>
        <w:tab w:val="right" w:pos="8306"/>
      </w:tabs>
      <w:snapToGrid w:val="0"/>
      <w:jc w:val="left"/>
    </w:pPr>
    <w:rPr>
      <w:sz w:val="18"/>
      <w:szCs w:val="18"/>
    </w:rPr>
  </w:style>
  <w:style w:type="paragraph" w:styleId="5">
    <w:name w:val="header"/>
    <w:basedOn w:val="1"/>
    <w:next w:val="1"/>
    <w:link w:val="33"/>
    <w:qFormat/>
    <w:uiPriority w:val="0"/>
    <w:pPr>
      <w:pBdr>
        <w:bottom w:val="single" w:color="auto" w:sz="6" w:space="1"/>
      </w:pBdr>
      <w:tabs>
        <w:tab w:val="center" w:pos="4153"/>
        <w:tab w:val="right" w:pos="8306"/>
      </w:tabs>
      <w:snapToGrid w:val="0"/>
      <w:jc w:val="center"/>
    </w:pPr>
    <w:rPr>
      <w:sz w:val="18"/>
      <w:szCs w:val="18"/>
    </w:rPr>
  </w:style>
  <w:style w:type="paragraph" w:styleId="6">
    <w:name w:val="index 9"/>
    <w:basedOn w:val="1"/>
    <w:next w:val="1"/>
    <w:qFormat/>
    <w:uiPriority w:val="0"/>
    <w:pPr>
      <w:ind w:left="1600" w:leftChars="1600"/>
    </w:pPr>
  </w:style>
  <w:style w:type="paragraph" w:styleId="7">
    <w:name w:val="Normal (Web)"/>
    <w:basedOn w:val="1"/>
    <w:qFormat/>
    <w:uiPriority w:val="0"/>
    <w:pPr>
      <w:jc w:val="left"/>
    </w:pPr>
    <w:rPr>
      <w:rFonts w:ascii="微软雅黑" w:hAnsi="微软雅黑" w:eastAsia="微软雅黑" w:cs="Times New Roman"/>
      <w:kern w:val="0"/>
      <w:sz w:val="24"/>
    </w:rPr>
  </w:style>
  <w:style w:type="character" w:styleId="10">
    <w:name w:val="Strong"/>
    <w:basedOn w:val="9"/>
    <w:qFormat/>
    <w:uiPriority w:val="0"/>
    <w:rPr>
      <w:b/>
    </w:rPr>
  </w:style>
  <w:style w:type="character" w:styleId="11">
    <w:name w:val="FollowedHyperlink"/>
    <w:basedOn w:val="9"/>
    <w:qFormat/>
    <w:uiPriority w:val="0"/>
    <w:rPr>
      <w:color w:val="333333"/>
      <w:u w:val="none"/>
    </w:rPr>
  </w:style>
  <w:style w:type="character" w:styleId="12">
    <w:name w:val="Emphasis"/>
    <w:basedOn w:val="9"/>
    <w:qFormat/>
    <w:uiPriority w:val="0"/>
    <w:rPr>
      <w:rFonts w:hint="eastAsia" w:ascii="微软雅黑" w:hAnsi="微软雅黑" w:eastAsia="微软雅黑" w:cs="微软雅黑"/>
    </w:rPr>
  </w:style>
  <w:style w:type="character" w:styleId="13">
    <w:name w:val="Hyperlink"/>
    <w:basedOn w:val="9"/>
    <w:qFormat/>
    <w:uiPriority w:val="0"/>
    <w:rPr>
      <w:color w:val="333333"/>
      <w:u w:val="none"/>
    </w:rPr>
  </w:style>
  <w:style w:type="character" w:customStyle="1" w:styleId="14">
    <w:name w:val="after"/>
    <w:basedOn w:val="9"/>
    <w:qFormat/>
    <w:uiPriority w:val="0"/>
    <w:rPr>
      <w:shd w:val="clear" w:color="auto" w:fill="FFFFFF"/>
    </w:rPr>
  </w:style>
  <w:style w:type="character" w:customStyle="1" w:styleId="15">
    <w:name w:val="text"/>
    <w:basedOn w:val="9"/>
    <w:qFormat/>
    <w:uiPriority w:val="0"/>
    <w:rPr>
      <w:color w:val="666666"/>
    </w:rPr>
  </w:style>
  <w:style w:type="character" w:customStyle="1" w:styleId="16">
    <w:name w:val="bsharetext"/>
    <w:basedOn w:val="9"/>
    <w:qFormat/>
    <w:uiPriority w:val="0"/>
  </w:style>
  <w:style w:type="character" w:customStyle="1" w:styleId="17">
    <w:name w:val="last"/>
    <w:basedOn w:val="9"/>
    <w:autoRedefine/>
    <w:qFormat/>
    <w:uiPriority w:val="0"/>
  </w:style>
  <w:style w:type="character" w:customStyle="1" w:styleId="18">
    <w:name w:val="wx-space"/>
    <w:basedOn w:val="9"/>
    <w:autoRedefine/>
    <w:qFormat/>
    <w:uiPriority w:val="0"/>
  </w:style>
  <w:style w:type="character" w:customStyle="1" w:styleId="19">
    <w:name w:val="wx-space1"/>
    <w:basedOn w:val="9"/>
    <w:autoRedefine/>
    <w:qFormat/>
    <w:uiPriority w:val="0"/>
  </w:style>
  <w:style w:type="character" w:customStyle="1" w:styleId="20">
    <w:name w:val="hover20"/>
    <w:basedOn w:val="9"/>
    <w:autoRedefine/>
    <w:qFormat/>
    <w:uiPriority w:val="0"/>
    <w:rPr>
      <w:color w:val="000000"/>
      <w:shd w:val="clear" w:color="auto" w:fill="FFFFFF"/>
    </w:rPr>
  </w:style>
  <w:style w:type="character" w:customStyle="1" w:styleId="21">
    <w:name w:val="line"/>
    <w:basedOn w:val="9"/>
    <w:autoRedefine/>
    <w:qFormat/>
    <w:uiPriority w:val="0"/>
  </w:style>
  <w:style w:type="character" w:customStyle="1" w:styleId="22">
    <w:name w:val="line1"/>
    <w:basedOn w:val="9"/>
    <w:autoRedefine/>
    <w:qFormat/>
    <w:uiPriority w:val="0"/>
  </w:style>
  <w:style w:type="character" w:customStyle="1" w:styleId="23">
    <w:name w:val="hover29"/>
    <w:basedOn w:val="9"/>
    <w:autoRedefine/>
    <w:qFormat/>
    <w:uiPriority w:val="0"/>
    <w:rPr>
      <w:color w:val="000000"/>
      <w:shd w:val="clear" w:color="auto" w:fill="FFFFFF"/>
    </w:rPr>
  </w:style>
  <w:style w:type="character" w:customStyle="1" w:styleId="24">
    <w:name w:val="n3"/>
    <w:basedOn w:val="9"/>
    <w:autoRedefine/>
    <w:qFormat/>
    <w:uiPriority w:val="0"/>
  </w:style>
  <w:style w:type="character" w:customStyle="1" w:styleId="25">
    <w:name w:val="a1"/>
    <w:basedOn w:val="9"/>
    <w:qFormat/>
    <w:uiPriority w:val="0"/>
  </w:style>
  <w:style w:type="character" w:customStyle="1" w:styleId="26">
    <w:name w:val="a2"/>
    <w:basedOn w:val="9"/>
    <w:autoRedefine/>
    <w:qFormat/>
    <w:uiPriority w:val="0"/>
  </w:style>
  <w:style w:type="character" w:customStyle="1" w:styleId="27">
    <w:name w:val="a3"/>
    <w:basedOn w:val="9"/>
    <w:autoRedefine/>
    <w:qFormat/>
    <w:uiPriority w:val="0"/>
  </w:style>
  <w:style w:type="character" w:customStyle="1" w:styleId="28">
    <w:name w:val="a4"/>
    <w:basedOn w:val="9"/>
    <w:qFormat/>
    <w:uiPriority w:val="0"/>
  </w:style>
  <w:style w:type="character" w:customStyle="1" w:styleId="29">
    <w:name w:val="n1"/>
    <w:basedOn w:val="9"/>
    <w:autoRedefine/>
    <w:qFormat/>
    <w:uiPriority w:val="0"/>
  </w:style>
  <w:style w:type="character" w:customStyle="1" w:styleId="30">
    <w:name w:val="n2"/>
    <w:basedOn w:val="9"/>
    <w:autoRedefine/>
    <w:qFormat/>
    <w:uiPriority w:val="0"/>
  </w:style>
  <w:style w:type="character" w:customStyle="1" w:styleId="31">
    <w:name w:val="n4"/>
    <w:basedOn w:val="9"/>
    <w:qFormat/>
    <w:uiPriority w:val="0"/>
  </w:style>
  <w:style w:type="character" w:customStyle="1" w:styleId="32">
    <w:name w:val="n5"/>
    <w:basedOn w:val="9"/>
    <w:autoRedefine/>
    <w:qFormat/>
    <w:uiPriority w:val="0"/>
  </w:style>
  <w:style w:type="character" w:customStyle="1" w:styleId="33">
    <w:name w:val="页眉 字符"/>
    <w:basedOn w:val="9"/>
    <w:link w:val="5"/>
    <w:autoRedefine/>
    <w:qFormat/>
    <w:uiPriority w:val="0"/>
    <w:rPr>
      <w:rFonts w:asciiTheme="minorHAnsi" w:hAnsiTheme="minorHAnsi" w:eastAsiaTheme="minorEastAsia" w:cstheme="minorBidi"/>
      <w:kern w:val="2"/>
      <w:sz w:val="18"/>
      <w:szCs w:val="18"/>
    </w:rPr>
  </w:style>
  <w:style w:type="character" w:customStyle="1" w:styleId="34">
    <w:name w:val="页脚 字符"/>
    <w:basedOn w:val="9"/>
    <w:link w:val="4"/>
    <w:qFormat/>
    <w:uiPriority w:val="0"/>
    <w:rPr>
      <w:rFonts w:asciiTheme="minorHAnsi" w:hAnsiTheme="minorHAnsi" w:eastAsiaTheme="minorEastAsia" w:cstheme="minorBidi"/>
      <w:kern w:val="2"/>
      <w:sz w:val="18"/>
      <w:szCs w:val="18"/>
    </w:rPr>
  </w:style>
  <w:style w:type="character" w:customStyle="1" w:styleId="35">
    <w:name w:val="批注框文本 字符"/>
    <w:basedOn w:val="9"/>
    <w:link w:val="3"/>
    <w:autoRedefine/>
    <w:qFormat/>
    <w:uiPriority w:val="0"/>
    <w:rPr>
      <w:rFonts w:asciiTheme="minorHAnsi" w:hAnsiTheme="minorHAnsi" w:eastAsiaTheme="minorEastAsia" w:cstheme="minorBidi"/>
      <w:kern w:val="2"/>
      <w:sz w:val="18"/>
      <w:szCs w:val="18"/>
    </w:rPr>
  </w:style>
  <w:style w:type="paragraph" w:customStyle="1" w:styleId="36">
    <w:name w:val="样式1"/>
    <w:basedOn w:val="5"/>
    <w:next w:val="6"/>
    <w:autoRedefine/>
    <w:qFormat/>
    <w:uiPriority w:val="0"/>
    <w:rPr>
      <w:rFonts w:ascii="Calibri" w:hAnsi="Calibri" w:eastAsia="仿宋_GB2312" w:cs="Times New Roman"/>
      <w:sz w:val="3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2703</Words>
  <Characters>2971</Characters>
  <Lines>9</Lines>
  <Paragraphs>2</Paragraphs>
  <TotalTime>85</TotalTime>
  <ScaleCrop>false</ScaleCrop>
  <LinksUpToDate>false</LinksUpToDate>
  <CharactersWithSpaces>2971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2021-03-04T06:20:00Z</dcterms:created>
  <dc:creator>Administrator</dc:creator>
  <cp:lastModifiedBy>ne  se.  separe.  pas</cp:lastModifiedBy>
  <cp:lastPrinted>2024-09-09T09:22:00Z</cp:lastPrinted>
  <dcterms:modified xsi:type="dcterms:W3CDTF">2024-09-19T02:44:35Z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375362B83E4D4CF799EEA48DF535BECF_13</vt:lpwstr>
  </property>
</Properties>
</file>