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方正小标宋简体" w:hAnsi="华文中宋" w:eastAsia="方正小标宋简体" w:cs="华文中宋"/>
          <w:b/>
          <w:color w:val="auto"/>
          <w:sz w:val="18"/>
          <w:szCs w:val="18"/>
          <w:lang w:val="en-US" w:eastAsia="zh-CN"/>
        </w:rPr>
      </w:pPr>
      <w:r>
        <w:rPr>
          <w:rFonts w:hint="eastAsia" w:ascii="方正小标宋简体" w:hAnsi="华文中宋" w:eastAsia="方正小标宋简体" w:cs="华文中宋"/>
          <w:b/>
          <w:color w:val="auto"/>
          <w:sz w:val="36"/>
          <w:szCs w:val="36"/>
          <w:lang w:val="en-US" w:eastAsia="zh-CN"/>
        </w:rPr>
        <w:t>兰州新区疾病预防控制中心</w:t>
      </w:r>
      <w:r>
        <w:rPr>
          <w:rFonts w:hint="eastAsia" w:ascii="方正小标宋简体" w:hAnsi="华文中宋" w:eastAsia="方正小标宋简体" w:cs="华文中宋"/>
          <w:b/>
          <w:color w:val="auto"/>
          <w:sz w:val="36"/>
          <w:szCs w:val="36"/>
          <w:lang w:val="en-US" w:eastAsia="zh-CN"/>
        </w:rPr>
        <w:br w:type="textWrapping"/>
      </w:r>
      <w:r>
        <w:rPr>
          <w:rFonts w:hint="eastAsia" w:ascii="方正小标宋简体" w:hAnsi="华文中宋" w:eastAsia="方正小标宋简体" w:cs="华文中宋"/>
          <w:b/>
          <w:color w:val="auto"/>
          <w:sz w:val="36"/>
          <w:szCs w:val="36"/>
          <w:lang w:val="en-US" w:eastAsia="zh-CN"/>
        </w:rPr>
        <w:t>2023年度部门整体支出绩效</w:t>
      </w:r>
      <w:bookmarkStart w:id="0" w:name="_GoBack"/>
      <w:bookmarkEnd w:id="0"/>
      <w:r>
        <w:rPr>
          <w:rFonts w:hint="eastAsia" w:ascii="方正小标宋简体" w:hAnsi="华文中宋" w:eastAsia="方正小标宋简体" w:cs="华文中宋"/>
          <w:b/>
          <w:color w:val="auto"/>
          <w:sz w:val="36"/>
          <w:szCs w:val="36"/>
          <w:lang w:val="en-US" w:eastAsia="zh-CN"/>
        </w:rPr>
        <w:t>评价报告</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sz w:val="18"/>
          <w:szCs w:val="18"/>
          <w:lang w:val="en-US" w:eastAsia="zh-CN"/>
        </w:rPr>
      </w:pPr>
    </w:p>
    <w:tbl>
      <w:tblPr>
        <w:tblStyle w:val="10"/>
        <w:tblW w:w="8814" w:type="dxa"/>
        <w:jc w:val="center"/>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698"/>
        <w:gridCol w:w="319"/>
        <w:gridCol w:w="675"/>
        <w:gridCol w:w="270"/>
        <w:gridCol w:w="633"/>
        <w:gridCol w:w="232"/>
        <w:gridCol w:w="725"/>
        <w:gridCol w:w="885"/>
        <w:gridCol w:w="885"/>
        <w:gridCol w:w="975"/>
        <w:gridCol w:w="645"/>
        <w:gridCol w:w="735"/>
        <w:gridCol w:w="1137"/>
      </w:tblGrid>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28" w:hRule="atLeast"/>
          <w:jc w:val="center"/>
        </w:trPr>
        <w:tc>
          <w:tcPr>
            <w:tcW w:w="8814" w:type="dxa"/>
            <w:gridSpan w:val="13"/>
            <w:tcBorders>
              <w:tl2br w:val="nil"/>
              <w:tr2bl w:val="nil"/>
            </w:tcBorders>
            <w:shd w:val="clear" w:color="auto" w:fill="FFFFFF"/>
            <w:vAlign w:val="center"/>
          </w:tcPr>
          <w:p>
            <w:pPr>
              <w:bidi w:val="0"/>
              <w:ind w:left="0" w:leftChars="0" w:firstLine="0" w:firstLineChars="0"/>
              <w:jc w:val="center"/>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bCs/>
                <w:sz w:val="24"/>
                <w:szCs w:val="24"/>
                <w:lang w:val="en-US" w:eastAsia="zh-CN"/>
              </w:rPr>
              <w:t>一、部门整体基本情况</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restart"/>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基本情况</w:t>
            </w:r>
          </w:p>
        </w:tc>
        <w:tc>
          <w:tcPr>
            <w:tcW w:w="1897" w:type="dxa"/>
            <w:gridSpan w:val="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项目名称</w:t>
            </w:r>
          </w:p>
        </w:tc>
        <w:tc>
          <w:tcPr>
            <w:tcW w:w="6219" w:type="dxa"/>
            <w:gridSpan w:val="8"/>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兰州新区疾病预防控制中心</w:t>
            </w:r>
            <w:r>
              <w:rPr>
                <w:rFonts w:hint="eastAsia" w:ascii="宋体" w:hAnsi="宋体" w:eastAsia="宋体" w:cs="宋体"/>
                <w:b w:val="0"/>
                <w:color w:val="000000"/>
                <w:sz w:val="24"/>
                <w:szCs w:val="24"/>
                <w:vertAlign w:val="baseline"/>
                <w:lang w:val="en-US" w:eastAsia="zh-CN"/>
              </w:rPr>
              <w:br w:type="textWrapping"/>
            </w:r>
            <w:r>
              <w:rPr>
                <w:rFonts w:hint="eastAsia" w:ascii="宋体" w:hAnsi="宋体" w:eastAsia="宋体" w:cs="宋体"/>
                <w:b w:val="0"/>
                <w:color w:val="000000"/>
                <w:sz w:val="24"/>
                <w:szCs w:val="24"/>
                <w:vertAlign w:val="baseline"/>
                <w:lang w:val="en-US" w:eastAsia="zh-CN"/>
              </w:rPr>
              <w:t>2023年度部门整体支出绩效评价</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p>
        </w:tc>
        <w:tc>
          <w:tcPr>
            <w:tcW w:w="1897" w:type="dxa"/>
            <w:gridSpan w:val="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评价年度</w:t>
            </w:r>
          </w:p>
        </w:tc>
        <w:tc>
          <w:tcPr>
            <w:tcW w:w="1842"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2023年度</w:t>
            </w:r>
          </w:p>
        </w:tc>
        <w:tc>
          <w:tcPr>
            <w:tcW w:w="1860"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评价类型</w:t>
            </w:r>
          </w:p>
        </w:tc>
        <w:tc>
          <w:tcPr>
            <w:tcW w:w="2517"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单位自评</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540" w:hRule="atLeast"/>
          <w:jc w:val="center"/>
        </w:trPr>
        <w:tc>
          <w:tcPr>
            <w:tcW w:w="698"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实施目的</w:t>
            </w:r>
          </w:p>
        </w:tc>
        <w:tc>
          <w:tcPr>
            <w:tcW w:w="8116" w:type="dxa"/>
            <w:gridSpan w:val="1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480" w:firstLineChars="200"/>
              <w:jc w:val="both"/>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通过综合分析兰州新区疾病预防控制中心部门整体支出预算编制的合理性和科学性、预算执行的时效性、预算控制和监督的有效性，以及单位基本运转、履职尽责和履职效能等情况；同时重点关注单位内部控制管理、非税收入管理等情况，全面考核单位整体支出和履职职能的匹配程度，及时发现存在的不足和问题，提出合理意见建议，从而提升整体预算绩效管理水平，提高财政资金使用效益。</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restart"/>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资金情况（万元）</w:t>
            </w:r>
          </w:p>
        </w:tc>
        <w:tc>
          <w:tcPr>
            <w:tcW w:w="1897" w:type="dxa"/>
            <w:gridSpan w:val="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预算安排资金</w:t>
            </w:r>
          </w:p>
        </w:tc>
        <w:tc>
          <w:tcPr>
            <w:tcW w:w="1842"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1333.61</w:t>
            </w:r>
          </w:p>
        </w:tc>
        <w:tc>
          <w:tcPr>
            <w:tcW w:w="1860"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实际到位资金</w:t>
            </w:r>
          </w:p>
        </w:tc>
        <w:tc>
          <w:tcPr>
            <w:tcW w:w="2517"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662.31</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p>
        </w:tc>
        <w:tc>
          <w:tcPr>
            <w:tcW w:w="1897" w:type="dxa"/>
            <w:gridSpan w:val="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实际支出资金</w:t>
            </w:r>
          </w:p>
        </w:tc>
        <w:tc>
          <w:tcPr>
            <w:tcW w:w="1842"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662.31</w:t>
            </w:r>
          </w:p>
        </w:tc>
        <w:tc>
          <w:tcPr>
            <w:tcW w:w="1860"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结余资金</w:t>
            </w:r>
          </w:p>
        </w:tc>
        <w:tc>
          <w:tcPr>
            <w:tcW w:w="2517"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0</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p>
        </w:tc>
        <w:tc>
          <w:tcPr>
            <w:tcW w:w="1897" w:type="dxa"/>
            <w:gridSpan w:val="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预算执行率</w:t>
            </w:r>
          </w:p>
        </w:tc>
        <w:tc>
          <w:tcPr>
            <w:tcW w:w="6219" w:type="dxa"/>
            <w:gridSpan w:val="8"/>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100.00%</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54" w:hRule="atLeast"/>
          <w:jc w:val="center"/>
        </w:trPr>
        <w:tc>
          <w:tcPr>
            <w:tcW w:w="8814" w:type="dxa"/>
            <w:gridSpan w:val="1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bCs/>
                <w:sz w:val="24"/>
                <w:szCs w:val="24"/>
                <w:lang w:val="en-US" w:eastAsia="zh-CN"/>
              </w:rPr>
              <w:t>二、部门整体绩效目标</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218" w:hRule="atLeast"/>
          <w:jc w:val="center"/>
        </w:trPr>
        <w:tc>
          <w:tcPr>
            <w:tcW w:w="1692"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年度绩效目标</w:t>
            </w:r>
          </w:p>
        </w:tc>
        <w:tc>
          <w:tcPr>
            <w:tcW w:w="7122" w:type="dxa"/>
            <w:gridSpan w:val="10"/>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根据省冷链运转的要求，加强全程温度监测，确保运转安全；继续提升疑似预防接种异常反应（AEFI）监测管理水平，确保接种安全；推动预防接种规范化门诊建设，加大对各疫苗针对传染病聚集性疫情的监测和防控，确保不发生突发公共卫生事件。</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督促新建医疗机构开通传染病网络监测系统，扩大监测覆盖面，不断提升新区传染病监测和检测水平。落实《兰州新区突发公共卫生事件应急处置方案》，提高重大传染病和突发公共卫生事件的处置能力；组建新区传染病应急处置队伍，定期组织开展应急演练，提高应急能力。强化应急响应机制，做到职责清晰、流程合理、科学规范、预警及时、反应快速。有效开展应急处置相关工作，有力维护公众健康安全。</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3.定期监测、检测和评估饮用水水源、供水厂出水和用户水龙头水质等饮水安全状况，落实供水单位主体责任，提高饮用水卫生监督监测水平，有效保障城乡饮用水卫生安全，切实维护人民群众健康权益。</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4.确保报告系统的有效运行，充分发挥网络直报作用，指导和规范各级各类医疗卫生机构的传染病信息报告管理工作，及时应对突发公共卫生事件及重大传染病防控工作。</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5.保证疾控体系各项检验检测工作稳步推进，高质量完成病原微生物检测项目、生活饮用水水质检测、食品安全风险检测等目标任务，为疾病预防控制及卫生监督提供技术支撑，强化疾病预防控制体系建设，保护人民健康、保障社会公共卫生安全、维护经济社会稳定发展。</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bCs/>
                <w:sz w:val="24"/>
                <w:szCs w:val="24"/>
                <w:lang w:val="en-US" w:eastAsia="zh-CN"/>
              </w:rPr>
            </w:pPr>
            <w:r>
              <w:rPr>
                <w:rFonts w:hint="eastAsia" w:ascii="宋体" w:hAnsi="宋体" w:eastAsia="宋体" w:cs="宋体"/>
                <w:b w:val="0"/>
                <w:bCs w:val="0"/>
                <w:sz w:val="24"/>
                <w:szCs w:val="24"/>
                <w:lang w:val="en-US" w:eastAsia="zh-CN"/>
              </w:rPr>
              <w:t>6.保障每月足额按时发放人员工资及缴纳五险，保障各项目经费，根据工作开展情况合理支配，加快预算执行进度，提高预算执行率，专项预算执行率100%。</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8814" w:type="dxa"/>
            <w:gridSpan w:val="1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三、评价基本情况</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81" w:hRule="atLeast"/>
          <w:jc w:val="center"/>
        </w:trPr>
        <w:tc>
          <w:tcPr>
            <w:tcW w:w="1692"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自评范围</w:t>
            </w:r>
          </w:p>
        </w:tc>
        <w:tc>
          <w:tcPr>
            <w:tcW w:w="7122" w:type="dxa"/>
            <w:gridSpan w:val="10"/>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兰州新区疾病预防控制中心2023年度部门全年整体支出情况。</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7253" w:hRule="atLeast"/>
          <w:jc w:val="center"/>
        </w:trPr>
        <w:tc>
          <w:tcPr>
            <w:tcW w:w="1692"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自评依据</w:t>
            </w:r>
          </w:p>
        </w:tc>
        <w:tc>
          <w:tcPr>
            <w:tcW w:w="7122" w:type="dxa"/>
            <w:gridSpan w:val="10"/>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1.《中华人民共和国预算法》；</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2.《中共中央国务院关于全面实施预算绩效管理的意见》（中发〔2018〕34号）；</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3.《财政部关于印发&lt;预算绩效评价共性指标体系框架&gt;的通知》（财预〔2013〕53号）；</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4.《财政部关于规范绩效评价结果等级划分标准的通知》（财预便〔2017〕44号）；</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5.《甘肃省委省政府关于全面实施预算绩效管理的实施意见》（甘发〔2018〕32号）；</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6.《兰州新区管委会办公室关于印发&lt;兰州新区全面推进预算绩效管理实施细则&gt;的通知》;</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7.《兰州新区疾病预防控制中心财务管理制度》《兰州新区疾病预防控制中心固定资产管理制度》等相关制度文件；</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8.部门2023年度预决算公开报表及情况说明；</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9.2023年度预算执行情况绩效目标表、监控表、监控报告、自评表等；</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10.各项支出财务凭证等其他相关资料。</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302" w:hRule="atLeast"/>
          <w:jc w:val="center"/>
        </w:trPr>
        <w:tc>
          <w:tcPr>
            <w:tcW w:w="1692"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绩效评价</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指标体系</w:t>
            </w:r>
          </w:p>
        </w:tc>
        <w:tc>
          <w:tcPr>
            <w:tcW w:w="7122" w:type="dxa"/>
            <w:gridSpan w:val="10"/>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本次绩效评价指标体系设计思路主要是根据兰州新区疾病预防控制中心的基本职能，围绕部门年度工作计划、绩效目标设定、预算编制、预算执行、履职完成情况及履职效益发挥情况等重要内容，结合绩效评价指标体系的设计原则及设计方法，主要从部门管理、履职效果、能力建设和服务对象满意度四个方面评价2023年度部门整体工作，具体评价指标包括16项二级指标及28项三级指标。指标体系的数据源于部门履职各项资料、各项支出财务凭证等其他相关资料。</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707" w:hRule="atLeast"/>
          <w:jc w:val="center"/>
        </w:trPr>
        <w:tc>
          <w:tcPr>
            <w:tcW w:w="1692"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绩效目标完成情况</w:t>
            </w:r>
          </w:p>
        </w:tc>
        <w:tc>
          <w:tcPr>
            <w:tcW w:w="7122" w:type="dxa"/>
            <w:gridSpan w:val="10"/>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1.及时处置疫苗针对传染病突发公共卫生事件发生，常见突发疫情宣传到位、防控得力、处置有序，有效控制传染病大范围爆发，保障人民健康。</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2.各项疾病预防控制工作稳步推进，及时处置传染病等突发公共卫生事件，提升了慢性病综合管理、学校卫生、职业卫生、食品卫生、环境卫生监测的能力水平。</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3.按时完成兰州新区生活饮用水水质检测工作，定期公示。</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4.传染病报告率、完整率100%；系统正常运转率100%。</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5.实验室目前处于建设发展阶段，现有的仪器设备和实验室环境基本可以满足实验要求，能完成日常基础检验检测任务。</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jc w:val="both"/>
              <w:textAlignment w:val="auto"/>
              <w:rPr>
                <w:rFonts w:hint="eastAsia"/>
                <w:lang w:val="en-US" w:eastAsia="zh-CN"/>
              </w:rPr>
            </w:pPr>
            <w:r>
              <w:rPr>
                <w:rFonts w:hint="eastAsia" w:ascii="宋体" w:hAnsi="宋体" w:eastAsia="宋体" w:cs="宋体"/>
                <w:b w:val="0"/>
                <w:bCs w:val="0"/>
                <w:sz w:val="24"/>
                <w:szCs w:val="24"/>
                <w:lang w:val="en-US" w:eastAsia="zh-CN"/>
              </w:rPr>
              <w:t>6.人员经费支出174.32万元，公用经费支出5.55万元。</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342" w:hRule="atLeast"/>
          <w:jc w:val="center"/>
        </w:trPr>
        <w:tc>
          <w:tcPr>
            <w:tcW w:w="1692"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各项指标完成情况分析</w:t>
            </w:r>
          </w:p>
        </w:tc>
        <w:tc>
          <w:tcPr>
            <w:tcW w:w="7122" w:type="dxa"/>
            <w:gridSpan w:val="10"/>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1.部门管理：2023年度单位人员经费和公用经费均按照相关规定合理支出；我单位于2021年3月成立，各项制度规范还有待完善；因部分固定资产外借，还需加强固定资产的使用管理。</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履职效果：一是统筹兼顾，激活党建引领业务发展；二是多措并举，筑牢传染病防控安全屏障；三是巩固拓展，持续提高公卫服务能力；四是一以贯之，全力推进疫苗接种工作；五是巩固拓展，持续提升实验室检测能力。有序推进各项工作。</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3.能力建设：根据科室业务发展，有计划的储备相关专业技术人才，安排业务人员加强培训学习。并根据业务扩展和人员增加情况持续增加办公租赁面积。</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8814" w:type="dxa"/>
            <w:gridSpan w:val="1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四、评价结论和绩效分析</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017"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综合评价结论</w:t>
            </w:r>
          </w:p>
        </w:tc>
        <w:tc>
          <w:tcPr>
            <w:tcW w:w="1810" w:type="dxa"/>
            <w:gridSpan w:val="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评价得分</w:t>
            </w:r>
          </w:p>
        </w:tc>
        <w:tc>
          <w:tcPr>
            <w:tcW w:w="2495"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97.90分</w:t>
            </w:r>
          </w:p>
        </w:tc>
        <w:tc>
          <w:tcPr>
            <w:tcW w:w="2355"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评价等级</w:t>
            </w:r>
          </w:p>
        </w:tc>
        <w:tc>
          <w:tcPr>
            <w:tcW w:w="1137"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优</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17" w:type="dxa"/>
            <w:gridSpan w:val="2"/>
            <w:vMerge w:val="restart"/>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绩效</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分析</w:t>
            </w:r>
          </w:p>
        </w:tc>
        <w:tc>
          <w:tcPr>
            <w:tcW w:w="945"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指标</w:t>
            </w:r>
          </w:p>
        </w:tc>
        <w:tc>
          <w:tcPr>
            <w:tcW w:w="1590"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部门管理</w:t>
            </w:r>
          </w:p>
        </w:tc>
        <w:tc>
          <w:tcPr>
            <w:tcW w:w="1770"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履职效果</w:t>
            </w:r>
          </w:p>
        </w:tc>
        <w:tc>
          <w:tcPr>
            <w:tcW w:w="1620"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能力建设</w:t>
            </w:r>
          </w:p>
        </w:tc>
        <w:tc>
          <w:tcPr>
            <w:tcW w:w="735"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满意度</w:t>
            </w:r>
          </w:p>
        </w:tc>
        <w:tc>
          <w:tcPr>
            <w:tcW w:w="1137"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合计</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17" w:type="dxa"/>
            <w:gridSpan w:val="2"/>
            <w:vMerge w:val="continue"/>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p>
        </w:tc>
        <w:tc>
          <w:tcPr>
            <w:tcW w:w="945"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得分</w:t>
            </w:r>
          </w:p>
        </w:tc>
        <w:tc>
          <w:tcPr>
            <w:tcW w:w="1590"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30</w:t>
            </w:r>
          </w:p>
        </w:tc>
        <w:tc>
          <w:tcPr>
            <w:tcW w:w="1770"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27</w:t>
            </w:r>
          </w:p>
        </w:tc>
        <w:tc>
          <w:tcPr>
            <w:tcW w:w="1620"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23</w:t>
            </w:r>
          </w:p>
        </w:tc>
        <w:tc>
          <w:tcPr>
            <w:tcW w:w="735"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10</w:t>
            </w:r>
          </w:p>
        </w:tc>
        <w:tc>
          <w:tcPr>
            <w:tcW w:w="1137"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97.90分</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17" w:type="dxa"/>
            <w:gridSpan w:val="2"/>
            <w:vMerge w:val="continue"/>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p>
        </w:tc>
        <w:tc>
          <w:tcPr>
            <w:tcW w:w="945"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得分率</w:t>
            </w:r>
          </w:p>
        </w:tc>
        <w:tc>
          <w:tcPr>
            <w:tcW w:w="1590"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97.00%</w:t>
            </w:r>
          </w:p>
        </w:tc>
        <w:tc>
          <w:tcPr>
            <w:tcW w:w="1770"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98.15%</w:t>
            </w:r>
          </w:p>
        </w:tc>
        <w:tc>
          <w:tcPr>
            <w:tcW w:w="1620"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97.83%</w:t>
            </w:r>
          </w:p>
        </w:tc>
        <w:tc>
          <w:tcPr>
            <w:tcW w:w="735"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98.00%</w:t>
            </w:r>
          </w:p>
        </w:tc>
        <w:tc>
          <w:tcPr>
            <w:tcW w:w="1137"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97.90%</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8814" w:type="dxa"/>
            <w:gridSpan w:val="1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五、绩效自评结果拟应用和公开情况</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174" w:hRule="atLeast"/>
          <w:jc w:val="center"/>
        </w:trPr>
        <w:tc>
          <w:tcPr>
            <w:tcW w:w="8814" w:type="dxa"/>
            <w:gridSpan w:val="1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根据本次绩效自评工作的要求及相关文件规定，对预算执行情况自评结果进行了分析总结，进一步了解了有关预算执行的内容，方便在以后能够详细规划下一年度的预算执行，在现有的基础上，对需要整改的内容提前进行整改。</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0" w:hRule="atLeast"/>
          <w:jc w:val="center"/>
        </w:trPr>
        <w:tc>
          <w:tcPr>
            <w:tcW w:w="8814" w:type="dxa"/>
            <w:gridSpan w:val="1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七、其他需要说明的事项</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60" w:hRule="atLeast"/>
          <w:jc w:val="center"/>
        </w:trPr>
        <w:tc>
          <w:tcPr>
            <w:tcW w:w="8814" w:type="dxa"/>
            <w:gridSpan w:val="1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无</w:t>
            </w:r>
          </w:p>
        </w:tc>
      </w:tr>
    </w:tbl>
    <w:p>
      <w:pPr>
        <w:bidi w:val="0"/>
      </w:pPr>
    </w:p>
    <w:sectPr>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6"/>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640"/>
      </w:pPr>
      <w:r>
        <w:separator/>
      </w:r>
    </w:p>
  </w:footnote>
  <w:footnote w:type="continuationSeparator" w:id="1">
    <w:p>
      <w:pPr>
        <w:spacing w:line="36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M3NTkzN2NjMDgxZWQ1YWJiOTU5YzE5YzgwODViYjEifQ=="/>
  </w:docVars>
  <w:rsids>
    <w:rsidRoot w:val="50362AE6"/>
    <w:rsid w:val="00D76A86"/>
    <w:rsid w:val="01D874CD"/>
    <w:rsid w:val="01F85035"/>
    <w:rsid w:val="036E0F6F"/>
    <w:rsid w:val="03973FA9"/>
    <w:rsid w:val="05C72C4A"/>
    <w:rsid w:val="06EB3426"/>
    <w:rsid w:val="07C81D7B"/>
    <w:rsid w:val="0A2A723E"/>
    <w:rsid w:val="0A3F5E74"/>
    <w:rsid w:val="0EE04D7C"/>
    <w:rsid w:val="0FEE0939"/>
    <w:rsid w:val="112F6356"/>
    <w:rsid w:val="13750B42"/>
    <w:rsid w:val="15B66837"/>
    <w:rsid w:val="192D0BBE"/>
    <w:rsid w:val="1AD27C6F"/>
    <w:rsid w:val="1BC01759"/>
    <w:rsid w:val="1BD82927"/>
    <w:rsid w:val="1C5A616E"/>
    <w:rsid w:val="1C7D48CD"/>
    <w:rsid w:val="1D01233B"/>
    <w:rsid w:val="1DFC6A1F"/>
    <w:rsid w:val="1E4A5D6E"/>
    <w:rsid w:val="20176124"/>
    <w:rsid w:val="24D55C78"/>
    <w:rsid w:val="266B6E4E"/>
    <w:rsid w:val="26BE4453"/>
    <w:rsid w:val="272D2898"/>
    <w:rsid w:val="27F03E2A"/>
    <w:rsid w:val="28094862"/>
    <w:rsid w:val="28EA6A6E"/>
    <w:rsid w:val="28EF2E48"/>
    <w:rsid w:val="2A805ED8"/>
    <w:rsid w:val="2C11644C"/>
    <w:rsid w:val="2CB76567"/>
    <w:rsid w:val="2D382F18"/>
    <w:rsid w:val="2D6D363B"/>
    <w:rsid w:val="2FA71273"/>
    <w:rsid w:val="3246394F"/>
    <w:rsid w:val="32A76310"/>
    <w:rsid w:val="332736B7"/>
    <w:rsid w:val="33DE722D"/>
    <w:rsid w:val="37217B5C"/>
    <w:rsid w:val="37337890"/>
    <w:rsid w:val="399649CA"/>
    <w:rsid w:val="39D03040"/>
    <w:rsid w:val="3DE84EB5"/>
    <w:rsid w:val="41055F0D"/>
    <w:rsid w:val="417C1E8F"/>
    <w:rsid w:val="43601A0D"/>
    <w:rsid w:val="48054931"/>
    <w:rsid w:val="485D55BF"/>
    <w:rsid w:val="4A3634C7"/>
    <w:rsid w:val="4ABA5EA6"/>
    <w:rsid w:val="4BA61945"/>
    <w:rsid w:val="4C1E2465"/>
    <w:rsid w:val="4D661F26"/>
    <w:rsid w:val="50362AE6"/>
    <w:rsid w:val="50447C2B"/>
    <w:rsid w:val="52555572"/>
    <w:rsid w:val="533D715B"/>
    <w:rsid w:val="54C310C9"/>
    <w:rsid w:val="54E92EBD"/>
    <w:rsid w:val="55F56D34"/>
    <w:rsid w:val="573F7050"/>
    <w:rsid w:val="5915699E"/>
    <w:rsid w:val="591744C4"/>
    <w:rsid w:val="592D018B"/>
    <w:rsid w:val="5C641B24"/>
    <w:rsid w:val="5F851FA3"/>
    <w:rsid w:val="5FEE39B7"/>
    <w:rsid w:val="619736C1"/>
    <w:rsid w:val="62564F40"/>
    <w:rsid w:val="65CD64C7"/>
    <w:rsid w:val="680C3C00"/>
    <w:rsid w:val="694F1A58"/>
    <w:rsid w:val="6C007039"/>
    <w:rsid w:val="6EB505AF"/>
    <w:rsid w:val="6FF269CE"/>
    <w:rsid w:val="70721B59"/>
    <w:rsid w:val="726448F9"/>
    <w:rsid w:val="74030452"/>
    <w:rsid w:val="76EF360E"/>
    <w:rsid w:val="775D21EC"/>
    <w:rsid w:val="77B04009"/>
    <w:rsid w:val="77B82F42"/>
    <w:rsid w:val="781E54A5"/>
    <w:rsid w:val="7A664E53"/>
    <w:rsid w:val="7AE07C8F"/>
    <w:rsid w:val="7D1828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spacing w:line="360" w:lineRule="auto"/>
      <w:ind w:firstLine="640" w:firstLineChars="200"/>
      <w:jc w:val="both"/>
    </w:pPr>
    <w:rPr>
      <w:rFonts w:ascii="仿宋_GB2312" w:hAnsi="仿宋_GB2312" w:eastAsia="仿宋_GB2312" w:cs="仿宋_GB2312"/>
      <w:kern w:val="2"/>
      <w:sz w:val="32"/>
      <w:szCs w:val="32"/>
      <w:lang w:val="en-US" w:eastAsia="zh-CN" w:bidi="ar-SA"/>
    </w:rPr>
  </w:style>
  <w:style w:type="paragraph" w:styleId="3">
    <w:name w:val="heading 1"/>
    <w:basedOn w:val="1"/>
    <w:next w:val="1"/>
    <w:link w:val="12"/>
    <w:qFormat/>
    <w:uiPriority w:val="0"/>
    <w:pPr>
      <w:keepNext/>
      <w:keepLines/>
      <w:spacing w:line="360" w:lineRule="auto"/>
      <w:ind w:firstLine="480" w:firstLineChars="200"/>
      <w:jc w:val="both"/>
      <w:outlineLvl w:val="0"/>
    </w:pPr>
    <w:rPr>
      <w:rFonts w:ascii="黑体" w:hAnsi="黑体" w:eastAsia="黑体" w:cs="黑体"/>
      <w:kern w:val="44"/>
      <w:szCs w:val="32"/>
    </w:rPr>
  </w:style>
  <w:style w:type="paragraph" w:styleId="4">
    <w:name w:val="heading 2"/>
    <w:basedOn w:val="1"/>
    <w:next w:val="1"/>
    <w:autoRedefine/>
    <w:semiHidden/>
    <w:unhideWhenUsed/>
    <w:qFormat/>
    <w:uiPriority w:val="0"/>
    <w:pPr>
      <w:topLinePunct/>
      <w:spacing w:before="0" w:beforeAutospacing="0" w:after="0" w:afterAutospacing="0"/>
      <w:jc w:val="left"/>
      <w:outlineLvl w:val="1"/>
    </w:pPr>
    <w:rPr>
      <w:rFonts w:hint="eastAsia" w:ascii="楷体" w:hAnsi="楷体" w:eastAsia="楷体" w:cs="楷体"/>
      <w:b/>
      <w:bCs/>
      <w:kern w:val="0"/>
      <w:lang w:bidi="ar"/>
    </w:rPr>
  </w:style>
  <w:style w:type="paragraph" w:styleId="5">
    <w:name w:val="heading 3"/>
    <w:basedOn w:val="1"/>
    <w:next w:val="1"/>
    <w:autoRedefine/>
    <w:semiHidden/>
    <w:unhideWhenUsed/>
    <w:qFormat/>
    <w:uiPriority w:val="0"/>
    <w:pPr>
      <w:keepNext/>
      <w:keepLines/>
      <w:spacing w:beforeLines="0" w:beforeAutospacing="0" w:afterLines="0" w:afterAutospacing="0" w:line="360" w:lineRule="auto"/>
      <w:outlineLvl w:val="2"/>
    </w:pPr>
    <w:rPr>
      <w:b/>
    </w:rPr>
  </w:style>
  <w:style w:type="paragraph" w:styleId="2">
    <w:name w:val="heading 6"/>
    <w:basedOn w:val="1"/>
    <w:next w:val="1"/>
    <w:autoRedefine/>
    <w:semiHidden/>
    <w:unhideWhenUsed/>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character" w:default="1" w:styleId="11">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6">
    <w:name w:val="footer"/>
    <w:basedOn w:val="1"/>
    <w:autoRedefine/>
    <w:qFormat/>
    <w:uiPriority w:val="0"/>
    <w:pPr>
      <w:tabs>
        <w:tab w:val="center" w:pos="4153"/>
        <w:tab w:val="right" w:pos="8306"/>
      </w:tabs>
      <w:snapToGrid w:val="0"/>
      <w:jc w:val="left"/>
    </w:pPr>
    <w:rPr>
      <w:sz w:val="18"/>
    </w:rPr>
  </w:style>
  <w:style w:type="paragraph" w:styleId="7">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index 1"/>
    <w:basedOn w:val="1"/>
    <w:next w:val="1"/>
    <w:autoRedefine/>
    <w:qFormat/>
    <w:uiPriority w:val="0"/>
  </w:style>
  <w:style w:type="table" w:styleId="10">
    <w:name w:val="Table Grid"/>
    <w:basedOn w:val="9"/>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标题 1 Char"/>
    <w:link w:val="3"/>
    <w:autoRedefine/>
    <w:qFormat/>
    <w:uiPriority w:val="0"/>
    <w:rPr>
      <w:rFonts w:ascii="黑体" w:hAnsi="黑体" w:eastAsia="黑体" w:cs="黑体"/>
      <w:kern w:val="44"/>
      <w:sz w:val="32"/>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2023-10-27T06:19:00Z</dcterms:created>
  <dc:creator>阁下。</dc:creator>
  <cp:lastModifiedBy>託~</cp:lastModifiedBy>
  <cp:lastPrinted>2024-09-20T05:11:12Z</cp:lastPrinted>
  <dcterms:modified xsi:type="dcterms:W3CDTF">2024-09-20T05:17:43Z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957531D816D84DE98858295C50E97B6C_11</vt:lpwstr>
  </property>
</Properties>
</file>