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AD1E07">
      <w:pPr>
        <w:pStyle w:val="6"/>
        <w:bidi w:val="0"/>
        <w:rPr>
          <w:rFonts w:hint="eastAsia"/>
          <w:lang w:val="en-US" w:eastAsia="zh-CN"/>
        </w:rPr>
      </w:pPr>
    </w:p>
    <w:p w14:paraId="750A8C22">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方正小标宋简体" w:hAnsi="华文中宋" w:eastAsia="方正小标宋简体" w:cs="华文中宋"/>
          <w:b/>
          <w:color w:val="auto"/>
          <w:sz w:val="36"/>
          <w:szCs w:val="36"/>
          <w:lang w:val="en-US" w:eastAsia="zh-CN"/>
        </w:rPr>
      </w:pPr>
      <w:r>
        <w:rPr>
          <w:rFonts w:hint="eastAsia" w:ascii="方正小标宋简体" w:hAnsi="华文中宋" w:eastAsia="方正小标宋简体" w:cs="华文中宋"/>
          <w:b/>
          <w:color w:val="auto"/>
          <w:sz w:val="36"/>
          <w:szCs w:val="36"/>
          <w:lang w:val="en-US" w:eastAsia="zh-CN"/>
        </w:rPr>
        <w:t>兰州新区西岔中心卫生院2023年度部门整体支出</w:t>
      </w:r>
    </w:p>
    <w:p w14:paraId="5B64C574">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方正小标宋简体" w:hAnsi="华文中宋" w:eastAsia="方正小标宋简体" w:cs="华文中宋"/>
          <w:b/>
          <w:color w:val="auto"/>
          <w:sz w:val="36"/>
          <w:szCs w:val="36"/>
          <w:lang w:val="en-US" w:eastAsia="zh-CN"/>
        </w:rPr>
      </w:pPr>
      <w:r>
        <w:rPr>
          <w:rFonts w:hint="eastAsia" w:ascii="方正小标宋简体" w:hAnsi="华文中宋" w:eastAsia="方正小标宋简体" w:cs="华文中宋"/>
          <w:b/>
          <w:color w:val="auto"/>
          <w:sz w:val="36"/>
          <w:szCs w:val="36"/>
          <w:lang w:val="en-US" w:eastAsia="zh-CN"/>
        </w:rPr>
        <w:t>绩效自评报告</w:t>
      </w:r>
    </w:p>
    <w:p w14:paraId="351F3AC4">
      <w:pPr>
        <w:keepNext w:val="0"/>
        <w:keepLines w:val="0"/>
        <w:pageBreakBefore w:val="0"/>
        <w:kinsoku/>
        <w:wordWrap/>
        <w:overflowPunct/>
        <w:topLinePunct w:val="0"/>
        <w:autoSpaceDE/>
        <w:autoSpaceDN/>
        <w:bidi w:val="0"/>
        <w:adjustRightInd/>
        <w:snapToGrid/>
        <w:spacing w:line="400" w:lineRule="exact"/>
        <w:textAlignment w:val="auto"/>
        <w:rPr>
          <w:rFonts w:hint="eastAsia"/>
          <w:lang w:val="en-US" w:eastAsia="zh-CN"/>
        </w:rPr>
      </w:pPr>
    </w:p>
    <w:tbl>
      <w:tblPr>
        <w:tblStyle w:val="13"/>
        <w:tblW w:w="8972" w:type="dxa"/>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108" w:type="dxa"/>
          <w:bottom w:w="0" w:type="dxa"/>
          <w:right w:w="108" w:type="dxa"/>
        </w:tblCellMar>
      </w:tblPr>
      <w:tblGrid>
        <w:gridCol w:w="812"/>
        <w:gridCol w:w="205"/>
        <w:gridCol w:w="675"/>
        <w:gridCol w:w="270"/>
        <w:gridCol w:w="770"/>
        <w:gridCol w:w="95"/>
        <w:gridCol w:w="725"/>
        <w:gridCol w:w="717"/>
        <w:gridCol w:w="1053"/>
        <w:gridCol w:w="1130"/>
        <w:gridCol w:w="490"/>
        <w:gridCol w:w="735"/>
        <w:gridCol w:w="1295"/>
      </w:tblGrid>
      <w:tr w14:paraId="4B3E818B">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28" w:hRule="atLeast"/>
          <w:jc w:val="center"/>
        </w:trPr>
        <w:tc>
          <w:tcPr>
            <w:tcW w:w="8972" w:type="dxa"/>
            <w:gridSpan w:val="13"/>
            <w:tcBorders>
              <w:tl2br w:val="nil"/>
              <w:tr2bl w:val="nil"/>
            </w:tcBorders>
            <w:shd w:val="clear" w:color="auto" w:fill="FFFFFF"/>
            <w:vAlign w:val="center"/>
          </w:tcPr>
          <w:p w14:paraId="3413A62D">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color w:val="000000"/>
                <w:sz w:val="28"/>
                <w:szCs w:val="28"/>
                <w:vertAlign w:val="baseline"/>
                <w:lang w:val="en-US" w:eastAsia="zh-CN"/>
              </w:rPr>
            </w:pPr>
            <w:bookmarkStart w:id="0" w:name="_GoBack"/>
            <w:r>
              <w:rPr>
                <w:rFonts w:hint="eastAsia" w:ascii="仿宋_GB2312" w:hAnsi="仿宋_GB2312" w:eastAsia="仿宋_GB2312" w:cs="仿宋_GB2312"/>
                <w:b/>
                <w:bCs/>
                <w:sz w:val="28"/>
                <w:szCs w:val="28"/>
                <w:lang w:val="en-US" w:eastAsia="zh-CN"/>
              </w:rPr>
              <w:t>一、部门整体基本情况</w:t>
            </w:r>
          </w:p>
        </w:tc>
      </w:tr>
      <w:tr w14:paraId="0C80B494">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812" w:type="dxa"/>
            <w:vMerge w:val="restart"/>
            <w:tcBorders>
              <w:tl2br w:val="nil"/>
              <w:tr2bl w:val="nil"/>
            </w:tcBorders>
            <w:shd w:val="clear" w:color="auto" w:fill="FFFFFF"/>
            <w:vAlign w:val="center"/>
          </w:tcPr>
          <w:p w14:paraId="0272830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000000"/>
                <w:sz w:val="28"/>
                <w:szCs w:val="28"/>
                <w:vertAlign w:val="baseline"/>
                <w:lang w:val="en-US" w:eastAsia="zh-CN"/>
              </w:rPr>
            </w:pPr>
            <w:r>
              <w:rPr>
                <w:rFonts w:hint="eastAsia" w:ascii="仿宋_GB2312" w:hAnsi="仿宋_GB2312" w:eastAsia="仿宋_GB2312" w:cs="仿宋_GB2312"/>
                <w:b/>
                <w:bCs/>
                <w:color w:val="000000"/>
                <w:sz w:val="28"/>
                <w:szCs w:val="28"/>
                <w:vertAlign w:val="baseline"/>
                <w:lang w:val="en-US" w:eastAsia="zh-CN"/>
              </w:rPr>
              <w:t>基本情况</w:t>
            </w:r>
          </w:p>
        </w:tc>
        <w:tc>
          <w:tcPr>
            <w:tcW w:w="1920" w:type="dxa"/>
            <w:gridSpan w:val="4"/>
            <w:tcBorders>
              <w:tl2br w:val="nil"/>
              <w:tr2bl w:val="nil"/>
            </w:tcBorders>
            <w:shd w:val="clear" w:color="auto" w:fill="FFFFFF"/>
            <w:vAlign w:val="center"/>
          </w:tcPr>
          <w:p w14:paraId="6E4EE2C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000000"/>
                <w:sz w:val="28"/>
                <w:szCs w:val="28"/>
                <w:vertAlign w:val="baseline"/>
                <w:lang w:val="en-US" w:eastAsia="zh-CN"/>
              </w:rPr>
            </w:pPr>
            <w:r>
              <w:rPr>
                <w:rFonts w:hint="eastAsia" w:ascii="仿宋_GB2312" w:hAnsi="仿宋_GB2312" w:eastAsia="仿宋_GB2312" w:cs="仿宋_GB2312"/>
                <w:b/>
                <w:bCs/>
                <w:color w:val="000000"/>
                <w:sz w:val="28"/>
                <w:szCs w:val="28"/>
                <w:vertAlign w:val="baseline"/>
                <w:lang w:val="en-US" w:eastAsia="zh-CN"/>
              </w:rPr>
              <w:t>项目名称</w:t>
            </w:r>
          </w:p>
        </w:tc>
        <w:tc>
          <w:tcPr>
            <w:tcW w:w="6240" w:type="dxa"/>
            <w:gridSpan w:val="8"/>
            <w:tcBorders>
              <w:tl2br w:val="nil"/>
              <w:tr2bl w:val="nil"/>
            </w:tcBorders>
            <w:shd w:val="clear" w:color="auto" w:fill="FFFFFF"/>
            <w:vAlign w:val="center"/>
          </w:tcPr>
          <w:p w14:paraId="263980B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color w:val="000000"/>
                <w:sz w:val="28"/>
                <w:szCs w:val="28"/>
                <w:vertAlign w:val="baseline"/>
                <w:lang w:val="en-US" w:eastAsia="zh-CN"/>
              </w:rPr>
            </w:pPr>
            <w:r>
              <w:rPr>
                <w:rFonts w:hint="eastAsia" w:cs="仿宋_GB2312"/>
                <w:b w:val="0"/>
                <w:color w:val="000000"/>
                <w:sz w:val="28"/>
                <w:szCs w:val="28"/>
                <w:vertAlign w:val="baseline"/>
                <w:lang w:val="en-US" w:eastAsia="zh-CN"/>
              </w:rPr>
              <w:t>兰州新区西岔</w:t>
            </w:r>
            <w:r>
              <w:rPr>
                <w:rFonts w:hint="eastAsia" w:ascii="仿宋_GB2312" w:hAnsi="仿宋_GB2312" w:eastAsia="仿宋_GB2312" w:cs="仿宋_GB2312"/>
                <w:b w:val="0"/>
                <w:color w:val="000000"/>
                <w:sz w:val="28"/>
                <w:szCs w:val="28"/>
                <w:vertAlign w:val="baseline"/>
                <w:lang w:val="en-US" w:eastAsia="zh-CN"/>
              </w:rPr>
              <w:t>中心卫生院2023年度部门整体支出绩效自评</w:t>
            </w:r>
          </w:p>
        </w:tc>
      </w:tr>
      <w:tr w14:paraId="1C99EFED">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812" w:type="dxa"/>
            <w:vMerge w:val="continue"/>
            <w:tcBorders>
              <w:tl2br w:val="nil"/>
              <w:tr2bl w:val="nil"/>
            </w:tcBorders>
            <w:shd w:val="clear" w:color="auto" w:fill="FFFFFF"/>
            <w:vAlign w:val="center"/>
          </w:tcPr>
          <w:p w14:paraId="7527685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000000"/>
                <w:sz w:val="28"/>
                <w:szCs w:val="28"/>
                <w:vertAlign w:val="baseline"/>
                <w:lang w:val="en-US" w:eastAsia="zh-CN"/>
              </w:rPr>
            </w:pPr>
          </w:p>
        </w:tc>
        <w:tc>
          <w:tcPr>
            <w:tcW w:w="1920" w:type="dxa"/>
            <w:gridSpan w:val="4"/>
            <w:tcBorders>
              <w:tl2br w:val="nil"/>
              <w:tr2bl w:val="nil"/>
            </w:tcBorders>
            <w:shd w:val="clear" w:color="auto" w:fill="FFFFFF"/>
            <w:vAlign w:val="center"/>
          </w:tcPr>
          <w:p w14:paraId="5F7793B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000000"/>
                <w:sz w:val="28"/>
                <w:szCs w:val="28"/>
                <w:vertAlign w:val="baseline"/>
                <w:lang w:val="en-US" w:eastAsia="zh-CN"/>
              </w:rPr>
            </w:pPr>
            <w:r>
              <w:rPr>
                <w:rFonts w:hint="eastAsia" w:ascii="仿宋_GB2312" w:hAnsi="仿宋_GB2312" w:eastAsia="仿宋_GB2312" w:cs="仿宋_GB2312"/>
                <w:b/>
                <w:bCs/>
                <w:color w:val="000000"/>
                <w:sz w:val="28"/>
                <w:szCs w:val="28"/>
                <w:vertAlign w:val="baseline"/>
                <w:lang w:val="en-US" w:eastAsia="zh-CN"/>
              </w:rPr>
              <w:t>评价年度</w:t>
            </w:r>
          </w:p>
        </w:tc>
        <w:tc>
          <w:tcPr>
            <w:tcW w:w="1537" w:type="dxa"/>
            <w:gridSpan w:val="3"/>
            <w:tcBorders>
              <w:tl2br w:val="nil"/>
              <w:tr2bl w:val="nil"/>
            </w:tcBorders>
            <w:shd w:val="clear" w:color="auto" w:fill="FFFFFF"/>
            <w:vAlign w:val="center"/>
          </w:tcPr>
          <w:p w14:paraId="2405FEA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color w:val="000000"/>
                <w:sz w:val="28"/>
                <w:szCs w:val="28"/>
                <w:vertAlign w:val="baseline"/>
                <w:lang w:val="en-US" w:eastAsia="zh-CN"/>
              </w:rPr>
            </w:pPr>
            <w:r>
              <w:rPr>
                <w:rFonts w:hint="eastAsia" w:ascii="仿宋_GB2312" w:hAnsi="仿宋_GB2312" w:eastAsia="仿宋_GB2312" w:cs="仿宋_GB2312"/>
                <w:b w:val="0"/>
                <w:color w:val="000000"/>
                <w:sz w:val="28"/>
                <w:szCs w:val="28"/>
                <w:vertAlign w:val="baseline"/>
                <w:lang w:val="en-US" w:eastAsia="zh-CN"/>
              </w:rPr>
              <w:t>2023年度</w:t>
            </w:r>
          </w:p>
        </w:tc>
        <w:tc>
          <w:tcPr>
            <w:tcW w:w="2183" w:type="dxa"/>
            <w:gridSpan w:val="2"/>
            <w:tcBorders>
              <w:tl2br w:val="nil"/>
              <w:tr2bl w:val="nil"/>
            </w:tcBorders>
            <w:shd w:val="clear" w:color="auto" w:fill="FFFFFF"/>
            <w:vAlign w:val="center"/>
          </w:tcPr>
          <w:p w14:paraId="06FD57C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000000"/>
                <w:sz w:val="28"/>
                <w:szCs w:val="28"/>
                <w:vertAlign w:val="baseline"/>
                <w:lang w:val="en-US" w:eastAsia="zh-CN"/>
              </w:rPr>
            </w:pPr>
            <w:r>
              <w:rPr>
                <w:rFonts w:hint="eastAsia" w:ascii="仿宋_GB2312" w:hAnsi="仿宋_GB2312" w:eastAsia="仿宋_GB2312" w:cs="仿宋_GB2312"/>
                <w:b/>
                <w:bCs/>
                <w:color w:val="000000"/>
                <w:sz w:val="28"/>
                <w:szCs w:val="28"/>
                <w:vertAlign w:val="baseline"/>
                <w:lang w:val="en-US" w:eastAsia="zh-CN"/>
              </w:rPr>
              <w:t>评价类型</w:t>
            </w:r>
          </w:p>
        </w:tc>
        <w:tc>
          <w:tcPr>
            <w:tcW w:w="2520" w:type="dxa"/>
            <w:gridSpan w:val="3"/>
            <w:tcBorders>
              <w:tl2br w:val="nil"/>
              <w:tr2bl w:val="nil"/>
            </w:tcBorders>
            <w:shd w:val="clear" w:color="auto" w:fill="FFFFFF"/>
            <w:vAlign w:val="center"/>
          </w:tcPr>
          <w:p w14:paraId="0B0CC36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color w:val="000000"/>
                <w:sz w:val="28"/>
                <w:szCs w:val="28"/>
                <w:vertAlign w:val="baseline"/>
                <w:lang w:val="en-US" w:eastAsia="zh-CN"/>
              </w:rPr>
            </w:pPr>
            <w:r>
              <w:rPr>
                <w:rFonts w:hint="eastAsia" w:ascii="仿宋_GB2312" w:hAnsi="仿宋_GB2312" w:eastAsia="仿宋_GB2312" w:cs="仿宋_GB2312"/>
                <w:b w:val="0"/>
                <w:color w:val="000000"/>
                <w:sz w:val="28"/>
                <w:szCs w:val="28"/>
                <w:vertAlign w:val="baseline"/>
                <w:lang w:val="en-US" w:eastAsia="zh-CN"/>
              </w:rPr>
              <w:t>单位自评</w:t>
            </w:r>
          </w:p>
        </w:tc>
      </w:tr>
      <w:tr w14:paraId="7F34E41D">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jc w:val="center"/>
        </w:trPr>
        <w:tc>
          <w:tcPr>
            <w:tcW w:w="812" w:type="dxa"/>
            <w:tcBorders>
              <w:tl2br w:val="nil"/>
              <w:tr2bl w:val="nil"/>
            </w:tcBorders>
            <w:shd w:val="clear" w:color="auto" w:fill="FFFFFF"/>
            <w:vAlign w:val="center"/>
          </w:tcPr>
          <w:p w14:paraId="4493800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000000"/>
                <w:sz w:val="28"/>
                <w:szCs w:val="28"/>
                <w:vertAlign w:val="baseline"/>
                <w:lang w:val="en-US" w:eastAsia="zh-CN"/>
              </w:rPr>
            </w:pPr>
            <w:r>
              <w:rPr>
                <w:rFonts w:hint="eastAsia" w:ascii="仿宋_GB2312" w:hAnsi="仿宋_GB2312" w:eastAsia="仿宋_GB2312" w:cs="仿宋_GB2312"/>
                <w:b/>
                <w:bCs/>
                <w:color w:val="000000"/>
                <w:sz w:val="28"/>
                <w:szCs w:val="28"/>
                <w:vertAlign w:val="baseline"/>
                <w:lang w:val="en-US" w:eastAsia="zh-CN"/>
              </w:rPr>
              <w:t>实施目的</w:t>
            </w:r>
          </w:p>
        </w:tc>
        <w:tc>
          <w:tcPr>
            <w:tcW w:w="8160" w:type="dxa"/>
            <w:gridSpan w:val="12"/>
            <w:tcBorders>
              <w:tl2br w:val="nil"/>
              <w:tr2bl w:val="nil"/>
            </w:tcBorders>
            <w:shd w:val="clear" w:color="auto" w:fill="FFFFFF"/>
            <w:vAlign w:val="center"/>
          </w:tcPr>
          <w:p w14:paraId="16C6C1D2">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left"/>
              <w:textAlignment w:val="auto"/>
              <w:rPr>
                <w:rFonts w:hint="eastAsia" w:ascii="仿宋_GB2312" w:hAnsi="仿宋_GB2312" w:eastAsia="仿宋_GB2312" w:cs="仿宋_GB2312"/>
                <w:b w:val="0"/>
                <w:color w:val="000000"/>
                <w:sz w:val="28"/>
                <w:szCs w:val="28"/>
                <w:vertAlign w:val="baseline"/>
                <w:lang w:val="en-US" w:eastAsia="zh-CN"/>
              </w:rPr>
            </w:pPr>
            <w:r>
              <w:rPr>
                <w:rFonts w:hint="eastAsia" w:ascii="仿宋_GB2312" w:hAnsi="仿宋_GB2312" w:eastAsia="仿宋_GB2312" w:cs="仿宋_GB2312"/>
                <w:b w:val="0"/>
                <w:color w:val="000000"/>
                <w:sz w:val="28"/>
                <w:szCs w:val="28"/>
                <w:vertAlign w:val="baseline"/>
                <w:lang w:val="en-US" w:eastAsia="zh-CN"/>
              </w:rPr>
              <w:t>通过综合分析</w:t>
            </w:r>
            <w:r>
              <w:rPr>
                <w:rFonts w:hint="eastAsia" w:cs="仿宋_GB2312"/>
                <w:b w:val="0"/>
                <w:color w:val="000000"/>
                <w:sz w:val="28"/>
                <w:szCs w:val="28"/>
                <w:vertAlign w:val="baseline"/>
                <w:lang w:val="en-US" w:eastAsia="zh-CN"/>
              </w:rPr>
              <w:t>兰州新区西岔</w:t>
            </w:r>
            <w:r>
              <w:rPr>
                <w:rFonts w:hint="eastAsia" w:ascii="仿宋_GB2312" w:hAnsi="仿宋_GB2312" w:eastAsia="仿宋_GB2312" w:cs="仿宋_GB2312"/>
                <w:b w:val="0"/>
                <w:color w:val="000000"/>
                <w:sz w:val="28"/>
                <w:szCs w:val="28"/>
                <w:vertAlign w:val="baseline"/>
                <w:lang w:val="en-US" w:eastAsia="zh-CN"/>
              </w:rPr>
              <w:t>中心卫生院部门整体支出预算编制的合理性和科学性、预算执行的时效性、预算控制和监督的有效性，以及单位基本运转、履职尽责和履职效能等情况；同时重点关注单位内部控制管理、非税收入管理等情况，全面考核单位整体支出和履职职能的匹配程度，及时发现单位存在的不足和问题，提出合理意见建议，从而提升单位整体预算绩效管理水平，提高财政资金、事业收入等资金的使用效益。</w:t>
            </w:r>
          </w:p>
        </w:tc>
      </w:tr>
      <w:tr w14:paraId="743A56DC">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812" w:type="dxa"/>
            <w:vMerge w:val="restart"/>
            <w:tcBorders>
              <w:tl2br w:val="nil"/>
              <w:tr2bl w:val="nil"/>
            </w:tcBorders>
            <w:shd w:val="clear" w:color="auto" w:fill="FFFFFF"/>
            <w:vAlign w:val="center"/>
          </w:tcPr>
          <w:p w14:paraId="6AC92FA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000000"/>
                <w:sz w:val="28"/>
                <w:szCs w:val="28"/>
                <w:vertAlign w:val="baseline"/>
                <w:lang w:val="en-US" w:eastAsia="zh-CN"/>
              </w:rPr>
            </w:pPr>
            <w:r>
              <w:rPr>
                <w:rFonts w:hint="eastAsia" w:ascii="仿宋_GB2312" w:hAnsi="仿宋_GB2312" w:eastAsia="仿宋_GB2312" w:cs="仿宋_GB2312"/>
                <w:b/>
                <w:bCs/>
                <w:color w:val="000000"/>
                <w:sz w:val="28"/>
                <w:szCs w:val="28"/>
                <w:vertAlign w:val="baseline"/>
                <w:lang w:val="en-US" w:eastAsia="zh-CN"/>
              </w:rPr>
              <w:t>资金情况（万元）</w:t>
            </w:r>
          </w:p>
        </w:tc>
        <w:tc>
          <w:tcPr>
            <w:tcW w:w="1920" w:type="dxa"/>
            <w:gridSpan w:val="4"/>
            <w:tcBorders>
              <w:tl2br w:val="nil"/>
              <w:tr2bl w:val="nil"/>
            </w:tcBorders>
            <w:shd w:val="clear" w:color="auto" w:fill="FFFFFF"/>
            <w:vAlign w:val="center"/>
          </w:tcPr>
          <w:p w14:paraId="327EC8B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000000"/>
                <w:sz w:val="28"/>
                <w:szCs w:val="28"/>
                <w:vertAlign w:val="baseline"/>
                <w:lang w:val="en-US" w:eastAsia="zh-CN"/>
              </w:rPr>
            </w:pPr>
            <w:r>
              <w:rPr>
                <w:rFonts w:hint="eastAsia" w:ascii="仿宋_GB2312" w:hAnsi="仿宋_GB2312" w:eastAsia="仿宋_GB2312" w:cs="仿宋_GB2312"/>
                <w:b/>
                <w:bCs/>
                <w:color w:val="000000"/>
                <w:sz w:val="28"/>
                <w:szCs w:val="28"/>
                <w:vertAlign w:val="baseline"/>
                <w:lang w:val="en-US" w:eastAsia="zh-CN"/>
              </w:rPr>
              <w:t>年初收入预算</w:t>
            </w:r>
          </w:p>
        </w:tc>
        <w:tc>
          <w:tcPr>
            <w:tcW w:w="1537" w:type="dxa"/>
            <w:gridSpan w:val="3"/>
            <w:tcBorders>
              <w:tl2br w:val="nil"/>
              <w:tr2bl w:val="nil"/>
            </w:tcBorders>
            <w:shd w:val="clear" w:color="auto" w:fill="FFFFFF"/>
            <w:vAlign w:val="center"/>
          </w:tcPr>
          <w:p w14:paraId="0C5DFDA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仿宋_GB2312" w:hAnsi="仿宋_GB2312" w:eastAsia="仿宋_GB2312" w:cs="仿宋_GB2312"/>
                <w:b w:val="0"/>
                <w:color w:val="000000"/>
                <w:sz w:val="28"/>
                <w:szCs w:val="28"/>
                <w:vertAlign w:val="baseline"/>
                <w:lang w:val="en-US" w:eastAsia="zh-CN"/>
              </w:rPr>
            </w:pPr>
            <w:r>
              <w:rPr>
                <w:rFonts w:hint="eastAsia" w:cs="仿宋_GB2312"/>
                <w:b w:val="0"/>
                <w:color w:val="000000"/>
                <w:sz w:val="28"/>
                <w:szCs w:val="28"/>
                <w:vertAlign w:val="baseline"/>
                <w:lang w:val="en-US" w:eastAsia="zh-CN"/>
              </w:rPr>
              <w:t>2103.19</w:t>
            </w:r>
          </w:p>
        </w:tc>
        <w:tc>
          <w:tcPr>
            <w:tcW w:w="2183" w:type="dxa"/>
            <w:gridSpan w:val="2"/>
            <w:tcBorders>
              <w:tl2br w:val="nil"/>
              <w:tr2bl w:val="nil"/>
            </w:tcBorders>
            <w:shd w:val="clear" w:color="auto" w:fill="FFFFFF"/>
            <w:vAlign w:val="center"/>
          </w:tcPr>
          <w:p w14:paraId="078D5E6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000000"/>
                <w:sz w:val="28"/>
                <w:szCs w:val="28"/>
                <w:vertAlign w:val="baseline"/>
                <w:lang w:val="en-US" w:eastAsia="zh-CN"/>
              </w:rPr>
            </w:pPr>
            <w:r>
              <w:rPr>
                <w:rFonts w:hint="eastAsia" w:ascii="仿宋_GB2312" w:hAnsi="仿宋_GB2312" w:eastAsia="仿宋_GB2312" w:cs="仿宋_GB2312"/>
                <w:b/>
                <w:bCs/>
                <w:color w:val="000000"/>
                <w:sz w:val="28"/>
                <w:szCs w:val="28"/>
                <w:vertAlign w:val="baseline"/>
                <w:lang w:val="en-US" w:eastAsia="zh-CN"/>
              </w:rPr>
              <w:t>全年收入预算</w:t>
            </w:r>
          </w:p>
        </w:tc>
        <w:tc>
          <w:tcPr>
            <w:tcW w:w="2520" w:type="dxa"/>
            <w:gridSpan w:val="3"/>
            <w:tcBorders>
              <w:tl2br w:val="nil"/>
              <w:tr2bl w:val="nil"/>
            </w:tcBorders>
            <w:shd w:val="clear" w:color="auto" w:fill="FFFFFF"/>
            <w:vAlign w:val="center"/>
          </w:tcPr>
          <w:p w14:paraId="07B06EB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仿宋_GB2312" w:hAnsi="仿宋_GB2312" w:eastAsia="仿宋_GB2312" w:cs="仿宋_GB2312"/>
                <w:b w:val="0"/>
                <w:color w:val="000000"/>
                <w:sz w:val="28"/>
                <w:szCs w:val="28"/>
                <w:vertAlign w:val="baseline"/>
                <w:lang w:val="en-US" w:eastAsia="zh-CN"/>
              </w:rPr>
            </w:pPr>
            <w:r>
              <w:rPr>
                <w:rFonts w:hint="eastAsia" w:cs="仿宋_GB2312"/>
                <w:b w:val="0"/>
                <w:color w:val="000000"/>
                <w:sz w:val="28"/>
                <w:szCs w:val="28"/>
                <w:vertAlign w:val="baseline"/>
                <w:lang w:val="en-US" w:eastAsia="zh-CN"/>
              </w:rPr>
              <w:t>2103.19</w:t>
            </w:r>
          </w:p>
        </w:tc>
      </w:tr>
      <w:tr w14:paraId="1D7B2784">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812" w:type="dxa"/>
            <w:vMerge w:val="continue"/>
            <w:tcBorders>
              <w:tl2br w:val="nil"/>
              <w:tr2bl w:val="nil"/>
            </w:tcBorders>
            <w:shd w:val="clear" w:color="auto" w:fill="FFFFFF"/>
            <w:vAlign w:val="center"/>
          </w:tcPr>
          <w:p w14:paraId="43A4001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color w:val="000000"/>
                <w:sz w:val="28"/>
                <w:szCs w:val="28"/>
                <w:vertAlign w:val="baseline"/>
                <w:lang w:val="en-US" w:eastAsia="zh-CN"/>
              </w:rPr>
            </w:pPr>
          </w:p>
        </w:tc>
        <w:tc>
          <w:tcPr>
            <w:tcW w:w="1920" w:type="dxa"/>
            <w:gridSpan w:val="4"/>
            <w:tcBorders>
              <w:tl2br w:val="nil"/>
              <w:tr2bl w:val="nil"/>
            </w:tcBorders>
            <w:shd w:val="clear" w:color="auto" w:fill="FFFFFF"/>
            <w:vAlign w:val="center"/>
          </w:tcPr>
          <w:p w14:paraId="752FC92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000000"/>
                <w:kern w:val="2"/>
                <w:sz w:val="28"/>
                <w:szCs w:val="28"/>
                <w:vertAlign w:val="baseline"/>
                <w:lang w:val="en-US" w:eastAsia="zh-CN" w:bidi="ar-SA"/>
              </w:rPr>
            </w:pPr>
            <w:r>
              <w:rPr>
                <w:rFonts w:hint="eastAsia" w:ascii="仿宋_GB2312" w:hAnsi="仿宋_GB2312" w:eastAsia="仿宋_GB2312" w:cs="仿宋_GB2312"/>
                <w:b/>
                <w:bCs/>
                <w:color w:val="000000"/>
                <w:sz w:val="28"/>
                <w:szCs w:val="28"/>
                <w:vertAlign w:val="baseline"/>
                <w:lang w:val="en-US" w:eastAsia="zh-CN"/>
              </w:rPr>
              <w:t>使用结转结余</w:t>
            </w:r>
          </w:p>
        </w:tc>
        <w:tc>
          <w:tcPr>
            <w:tcW w:w="1537" w:type="dxa"/>
            <w:gridSpan w:val="3"/>
            <w:tcBorders>
              <w:tl2br w:val="nil"/>
              <w:tr2bl w:val="nil"/>
            </w:tcBorders>
            <w:shd w:val="clear" w:color="auto" w:fill="FFFFFF"/>
            <w:vAlign w:val="center"/>
          </w:tcPr>
          <w:p w14:paraId="65B31900">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仿宋_GB2312" w:hAnsi="仿宋_GB2312" w:eastAsia="仿宋_GB2312" w:cs="仿宋_GB2312"/>
                <w:b w:val="0"/>
                <w:color w:val="000000"/>
                <w:kern w:val="2"/>
                <w:sz w:val="28"/>
                <w:szCs w:val="28"/>
                <w:vertAlign w:val="baseline"/>
                <w:lang w:val="en-US" w:eastAsia="zh-CN" w:bidi="ar-SA"/>
              </w:rPr>
            </w:pPr>
            <w:r>
              <w:rPr>
                <w:rFonts w:hint="eastAsia" w:cs="仿宋_GB2312"/>
                <w:b w:val="0"/>
                <w:color w:val="000000"/>
                <w:kern w:val="2"/>
                <w:sz w:val="28"/>
                <w:szCs w:val="28"/>
                <w:vertAlign w:val="baseline"/>
                <w:lang w:val="en-US" w:eastAsia="zh-CN" w:bidi="ar-SA"/>
              </w:rPr>
              <w:t>0</w:t>
            </w:r>
          </w:p>
        </w:tc>
        <w:tc>
          <w:tcPr>
            <w:tcW w:w="2183" w:type="dxa"/>
            <w:gridSpan w:val="2"/>
            <w:tcBorders>
              <w:tl2br w:val="nil"/>
              <w:tr2bl w:val="nil"/>
            </w:tcBorders>
            <w:shd w:val="clear" w:color="auto" w:fill="FFFFFF"/>
            <w:vAlign w:val="center"/>
          </w:tcPr>
          <w:p w14:paraId="436A65D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000000"/>
                <w:kern w:val="2"/>
                <w:sz w:val="28"/>
                <w:szCs w:val="28"/>
                <w:vertAlign w:val="baseline"/>
                <w:lang w:val="en-US" w:eastAsia="zh-CN" w:bidi="ar-SA"/>
              </w:rPr>
            </w:pPr>
            <w:r>
              <w:rPr>
                <w:rFonts w:hint="eastAsia" w:ascii="仿宋_GB2312" w:hAnsi="仿宋_GB2312" w:eastAsia="仿宋_GB2312" w:cs="仿宋_GB2312"/>
                <w:b/>
                <w:bCs/>
                <w:color w:val="000000"/>
                <w:sz w:val="28"/>
                <w:szCs w:val="28"/>
                <w:vertAlign w:val="baseline"/>
                <w:lang w:val="en-US" w:eastAsia="zh-CN"/>
              </w:rPr>
              <w:t>收入决算数</w:t>
            </w:r>
          </w:p>
        </w:tc>
        <w:tc>
          <w:tcPr>
            <w:tcW w:w="2520" w:type="dxa"/>
            <w:gridSpan w:val="3"/>
            <w:tcBorders>
              <w:tl2br w:val="nil"/>
              <w:tr2bl w:val="nil"/>
            </w:tcBorders>
            <w:shd w:val="clear" w:color="auto" w:fill="FFFFFF"/>
            <w:vAlign w:val="center"/>
          </w:tcPr>
          <w:p w14:paraId="03EB59D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仿宋_GB2312" w:hAnsi="仿宋_GB2312" w:eastAsia="仿宋_GB2312" w:cs="仿宋_GB2312"/>
                <w:b w:val="0"/>
                <w:color w:val="000000"/>
                <w:kern w:val="2"/>
                <w:sz w:val="28"/>
                <w:szCs w:val="28"/>
                <w:vertAlign w:val="baseline"/>
                <w:lang w:val="en-US" w:eastAsia="zh-CN" w:bidi="ar-SA"/>
              </w:rPr>
            </w:pPr>
            <w:r>
              <w:rPr>
                <w:rFonts w:hint="eastAsia" w:cs="仿宋_GB2312"/>
                <w:b w:val="0"/>
                <w:color w:val="000000"/>
                <w:kern w:val="2"/>
                <w:sz w:val="28"/>
                <w:szCs w:val="28"/>
                <w:vertAlign w:val="baseline"/>
                <w:lang w:val="en-US" w:eastAsia="zh-CN" w:bidi="ar-SA"/>
              </w:rPr>
              <w:t>2103.19</w:t>
            </w:r>
          </w:p>
        </w:tc>
      </w:tr>
      <w:tr w14:paraId="325C128B">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640" w:hRule="atLeast"/>
          <w:jc w:val="center"/>
        </w:trPr>
        <w:tc>
          <w:tcPr>
            <w:tcW w:w="812" w:type="dxa"/>
            <w:vMerge w:val="continue"/>
            <w:tcBorders>
              <w:tl2br w:val="nil"/>
              <w:tr2bl w:val="nil"/>
            </w:tcBorders>
            <w:shd w:val="clear" w:color="auto" w:fill="FFFFFF"/>
            <w:vAlign w:val="center"/>
          </w:tcPr>
          <w:p w14:paraId="408402E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color w:val="000000"/>
                <w:sz w:val="28"/>
                <w:szCs w:val="28"/>
                <w:vertAlign w:val="baseline"/>
                <w:lang w:val="en-US" w:eastAsia="zh-CN"/>
              </w:rPr>
            </w:pPr>
          </w:p>
        </w:tc>
        <w:tc>
          <w:tcPr>
            <w:tcW w:w="1920" w:type="dxa"/>
            <w:gridSpan w:val="4"/>
            <w:tcBorders>
              <w:tl2br w:val="nil"/>
              <w:tr2bl w:val="nil"/>
            </w:tcBorders>
            <w:shd w:val="clear" w:color="auto" w:fill="FFFFFF"/>
            <w:vAlign w:val="center"/>
          </w:tcPr>
          <w:p w14:paraId="2D47929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color w:val="000000"/>
                <w:sz w:val="28"/>
                <w:szCs w:val="28"/>
                <w:vertAlign w:val="baseline"/>
                <w:lang w:val="en-US" w:eastAsia="zh-CN"/>
              </w:rPr>
            </w:pPr>
            <w:r>
              <w:rPr>
                <w:rFonts w:hint="eastAsia" w:ascii="仿宋_GB2312" w:hAnsi="仿宋_GB2312" w:eastAsia="仿宋_GB2312" w:cs="仿宋_GB2312"/>
                <w:b/>
                <w:bCs/>
                <w:color w:val="000000"/>
                <w:sz w:val="28"/>
                <w:szCs w:val="28"/>
                <w:vertAlign w:val="baseline"/>
                <w:lang w:val="en-US" w:eastAsia="zh-CN"/>
              </w:rPr>
              <w:t>支出年初预算</w:t>
            </w:r>
          </w:p>
        </w:tc>
        <w:tc>
          <w:tcPr>
            <w:tcW w:w="1537" w:type="dxa"/>
            <w:gridSpan w:val="3"/>
            <w:tcBorders>
              <w:tl2br w:val="nil"/>
              <w:tr2bl w:val="nil"/>
            </w:tcBorders>
            <w:shd w:val="clear" w:color="auto" w:fill="FFFFFF"/>
            <w:vAlign w:val="center"/>
          </w:tcPr>
          <w:p w14:paraId="063A45A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仿宋_GB2312" w:hAnsi="仿宋_GB2312" w:eastAsia="仿宋_GB2312" w:cs="仿宋_GB2312"/>
                <w:b w:val="0"/>
                <w:color w:val="000000"/>
                <w:sz w:val="28"/>
                <w:szCs w:val="28"/>
                <w:vertAlign w:val="baseline"/>
                <w:lang w:val="en-US" w:eastAsia="zh-CN"/>
              </w:rPr>
            </w:pPr>
            <w:r>
              <w:rPr>
                <w:rFonts w:hint="eastAsia" w:cs="仿宋_GB2312"/>
                <w:b w:val="0"/>
                <w:color w:val="000000"/>
                <w:sz w:val="28"/>
                <w:szCs w:val="28"/>
                <w:vertAlign w:val="baseline"/>
                <w:lang w:val="en-US" w:eastAsia="zh-CN"/>
              </w:rPr>
              <w:t>2077.89</w:t>
            </w:r>
          </w:p>
        </w:tc>
        <w:tc>
          <w:tcPr>
            <w:tcW w:w="2183" w:type="dxa"/>
            <w:gridSpan w:val="2"/>
            <w:tcBorders>
              <w:tl2br w:val="nil"/>
              <w:tr2bl w:val="nil"/>
            </w:tcBorders>
            <w:shd w:val="clear" w:color="auto" w:fill="FFFFFF"/>
            <w:vAlign w:val="center"/>
          </w:tcPr>
          <w:p w14:paraId="0537E0B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bCs w:val="0"/>
                <w:color w:val="000000"/>
                <w:kern w:val="2"/>
                <w:sz w:val="28"/>
                <w:szCs w:val="28"/>
                <w:vertAlign w:val="baseline"/>
                <w:lang w:val="en-US" w:eastAsia="zh-CN" w:bidi="ar-SA"/>
              </w:rPr>
            </w:pPr>
            <w:r>
              <w:rPr>
                <w:rFonts w:hint="eastAsia" w:ascii="仿宋_GB2312" w:hAnsi="仿宋_GB2312" w:eastAsia="仿宋_GB2312" w:cs="仿宋_GB2312"/>
                <w:b/>
                <w:bCs/>
                <w:color w:val="000000"/>
                <w:kern w:val="2"/>
                <w:sz w:val="28"/>
                <w:szCs w:val="28"/>
                <w:vertAlign w:val="baseline"/>
                <w:lang w:val="en-US" w:eastAsia="zh-CN" w:bidi="ar-SA"/>
              </w:rPr>
              <w:t>支出全年预算</w:t>
            </w:r>
          </w:p>
        </w:tc>
        <w:tc>
          <w:tcPr>
            <w:tcW w:w="2520" w:type="dxa"/>
            <w:gridSpan w:val="3"/>
            <w:tcBorders>
              <w:tl2br w:val="nil"/>
              <w:tr2bl w:val="nil"/>
            </w:tcBorders>
            <w:shd w:val="clear" w:color="auto" w:fill="FFFFFF"/>
            <w:vAlign w:val="center"/>
          </w:tcPr>
          <w:p w14:paraId="4637142E">
            <w:pPr>
              <w:keepNext w:val="0"/>
              <w:keepLines w:val="0"/>
              <w:pageBreakBefore w:val="0"/>
              <w:widowControl w:val="0"/>
              <w:tabs>
                <w:tab w:val="left" w:pos="604"/>
              </w:tabs>
              <w:kinsoku/>
              <w:wordWrap/>
              <w:overflowPunct/>
              <w:topLinePunct w:val="0"/>
              <w:autoSpaceDE/>
              <w:autoSpaceDN/>
              <w:bidi w:val="0"/>
              <w:adjustRightInd/>
              <w:snapToGrid/>
              <w:spacing w:line="400" w:lineRule="exact"/>
              <w:ind w:firstLine="0" w:firstLineChars="0"/>
              <w:jc w:val="left"/>
              <w:textAlignment w:val="auto"/>
              <w:rPr>
                <w:rFonts w:hint="default" w:ascii="仿宋_GB2312" w:hAnsi="仿宋_GB2312" w:eastAsia="仿宋_GB2312" w:cs="仿宋_GB2312"/>
                <w:b w:val="0"/>
                <w:color w:val="000000"/>
                <w:kern w:val="2"/>
                <w:sz w:val="28"/>
                <w:szCs w:val="28"/>
                <w:vertAlign w:val="baseline"/>
                <w:lang w:val="en-US" w:eastAsia="zh-CN" w:bidi="ar-SA"/>
              </w:rPr>
            </w:pPr>
            <w:r>
              <w:rPr>
                <w:rFonts w:hint="eastAsia" w:cs="仿宋_GB2312"/>
                <w:b w:val="0"/>
                <w:color w:val="000000"/>
                <w:kern w:val="2"/>
                <w:sz w:val="28"/>
                <w:szCs w:val="28"/>
                <w:vertAlign w:val="baseline"/>
                <w:lang w:val="en-US" w:eastAsia="zh-CN" w:bidi="ar-SA"/>
              </w:rPr>
              <w:tab/>
            </w:r>
            <w:r>
              <w:rPr>
                <w:rFonts w:hint="eastAsia" w:cs="仿宋_GB2312"/>
                <w:b w:val="0"/>
                <w:color w:val="000000"/>
                <w:kern w:val="2"/>
                <w:sz w:val="28"/>
                <w:szCs w:val="28"/>
                <w:vertAlign w:val="baseline"/>
                <w:lang w:val="en-US" w:eastAsia="zh-CN" w:bidi="ar-SA"/>
              </w:rPr>
              <w:t>2077.89</w:t>
            </w:r>
          </w:p>
        </w:tc>
      </w:tr>
      <w:tr w14:paraId="41355F8B">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90" w:hRule="atLeast"/>
          <w:jc w:val="center"/>
        </w:trPr>
        <w:tc>
          <w:tcPr>
            <w:tcW w:w="812" w:type="dxa"/>
            <w:vMerge w:val="continue"/>
            <w:tcBorders>
              <w:tl2br w:val="nil"/>
              <w:tr2bl w:val="nil"/>
            </w:tcBorders>
            <w:shd w:val="clear" w:color="auto" w:fill="FFFFFF"/>
            <w:vAlign w:val="center"/>
          </w:tcPr>
          <w:p w14:paraId="2ABA1158">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color w:val="000000"/>
                <w:sz w:val="28"/>
                <w:szCs w:val="28"/>
                <w:vertAlign w:val="baseline"/>
                <w:lang w:val="en-US" w:eastAsia="zh-CN"/>
              </w:rPr>
            </w:pPr>
          </w:p>
        </w:tc>
        <w:tc>
          <w:tcPr>
            <w:tcW w:w="1920" w:type="dxa"/>
            <w:gridSpan w:val="4"/>
            <w:tcBorders>
              <w:tl2br w:val="nil"/>
              <w:tr2bl w:val="nil"/>
            </w:tcBorders>
            <w:shd w:val="clear" w:color="auto" w:fill="FFFFFF"/>
            <w:vAlign w:val="center"/>
          </w:tcPr>
          <w:p w14:paraId="5DBECCD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000000"/>
                <w:sz w:val="28"/>
                <w:szCs w:val="28"/>
                <w:vertAlign w:val="baseline"/>
                <w:lang w:val="en-US" w:eastAsia="zh-CN"/>
              </w:rPr>
            </w:pPr>
            <w:r>
              <w:rPr>
                <w:rFonts w:hint="eastAsia" w:ascii="仿宋_GB2312" w:hAnsi="仿宋_GB2312" w:eastAsia="仿宋_GB2312" w:cs="仿宋_GB2312"/>
                <w:b/>
                <w:bCs/>
                <w:color w:val="000000"/>
                <w:sz w:val="28"/>
                <w:szCs w:val="28"/>
                <w:vertAlign w:val="baseline"/>
                <w:lang w:val="en-US" w:eastAsia="zh-CN"/>
              </w:rPr>
              <w:t>支出决算数</w:t>
            </w:r>
          </w:p>
        </w:tc>
        <w:tc>
          <w:tcPr>
            <w:tcW w:w="1537" w:type="dxa"/>
            <w:gridSpan w:val="3"/>
            <w:tcBorders>
              <w:tl2br w:val="nil"/>
              <w:tr2bl w:val="nil"/>
            </w:tcBorders>
            <w:shd w:val="clear" w:color="auto" w:fill="FFFFFF"/>
            <w:vAlign w:val="center"/>
          </w:tcPr>
          <w:p w14:paraId="4FDE371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仿宋_GB2312" w:hAnsi="仿宋_GB2312" w:eastAsia="仿宋_GB2312" w:cs="仿宋_GB2312"/>
                <w:b w:val="0"/>
                <w:color w:val="000000"/>
                <w:sz w:val="28"/>
                <w:szCs w:val="28"/>
                <w:vertAlign w:val="baseline"/>
                <w:lang w:val="en-US" w:eastAsia="zh-CN"/>
              </w:rPr>
            </w:pPr>
            <w:r>
              <w:rPr>
                <w:rFonts w:hint="eastAsia" w:cs="仿宋_GB2312"/>
                <w:b w:val="0"/>
                <w:color w:val="000000"/>
                <w:sz w:val="28"/>
                <w:szCs w:val="28"/>
                <w:vertAlign w:val="baseline"/>
                <w:lang w:val="en-US" w:eastAsia="zh-CN"/>
              </w:rPr>
              <w:t>2077.89</w:t>
            </w:r>
          </w:p>
        </w:tc>
        <w:tc>
          <w:tcPr>
            <w:tcW w:w="2183" w:type="dxa"/>
            <w:gridSpan w:val="2"/>
            <w:tcBorders>
              <w:tl2br w:val="nil"/>
              <w:tr2bl w:val="nil"/>
            </w:tcBorders>
            <w:shd w:val="clear" w:color="auto" w:fill="FFFFFF"/>
            <w:vAlign w:val="center"/>
          </w:tcPr>
          <w:p w14:paraId="4D05AD8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000000"/>
                <w:sz w:val="28"/>
                <w:szCs w:val="28"/>
                <w:vertAlign w:val="baseline"/>
                <w:lang w:val="en-US" w:eastAsia="zh-CN"/>
              </w:rPr>
            </w:pPr>
            <w:r>
              <w:rPr>
                <w:rFonts w:hint="eastAsia" w:ascii="仿宋_GB2312" w:hAnsi="仿宋_GB2312" w:eastAsia="仿宋_GB2312" w:cs="仿宋_GB2312"/>
                <w:b/>
                <w:bCs/>
                <w:color w:val="000000"/>
                <w:sz w:val="28"/>
                <w:szCs w:val="28"/>
                <w:vertAlign w:val="baseline"/>
                <w:lang w:val="en-US" w:eastAsia="zh-CN"/>
              </w:rPr>
              <w:t>年末结转结余</w:t>
            </w:r>
          </w:p>
        </w:tc>
        <w:tc>
          <w:tcPr>
            <w:tcW w:w="2520" w:type="dxa"/>
            <w:gridSpan w:val="3"/>
            <w:tcBorders>
              <w:tl2br w:val="nil"/>
              <w:tr2bl w:val="nil"/>
            </w:tcBorders>
            <w:shd w:val="clear" w:color="auto" w:fill="FFFFFF"/>
            <w:vAlign w:val="center"/>
          </w:tcPr>
          <w:p w14:paraId="71C389E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仿宋_GB2312" w:hAnsi="仿宋_GB2312" w:eastAsia="仿宋_GB2312" w:cs="仿宋_GB2312"/>
                <w:b w:val="0"/>
                <w:color w:val="000000"/>
                <w:sz w:val="28"/>
                <w:szCs w:val="28"/>
                <w:vertAlign w:val="baseline"/>
                <w:lang w:val="en-US" w:eastAsia="zh-CN"/>
              </w:rPr>
            </w:pPr>
            <w:r>
              <w:rPr>
                <w:rFonts w:hint="eastAsia" w:cs="仿宋_GB2312"/>
                <w:b w:val="0"/>
                <w:color w:val="000000"/>
                <w:sz w:val="28"/>
                <w:szCs w:val="28"/>
                <w:vertAlign w:val="baseline"/>
                <w:lang w:val="en-US" w:eastAsia="zh-CN"/>
              </w:rPr>
              <w:t>25.31</w:t>
            </w:r>
          </w:p>
        </w:tc>
      </w:tr>
      <w:tr w14:paraId="5FBC2CC5">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812" w:type="dxa"/>
            <w:vMerge w:val="continue"/>
            <w:tcBorders>
              <w:tl2br w:val="nil"/>
              <w:tr2bl w:val="nil"/>
            </w:tcBorders>
            <w:shd w:val="clear" w:color="auto" w:fill="FFFFFF"/>
            <w:vAlign w:val="center"/>
          </w:tcPr>
          <w:p w14:paraId="3B36932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color w:val="000000"/>
                <w:sz w:val="28"/>
                <w:szCs w:val="28"/>
                <w:vertAlign w:val="baseline"/>
                <w:lang w:val="en-US" w:eastAsia="zh-CN"/>
              </w:rPr>
            </w:pPr>
          </w:p>
        </w:tc>
        <w:tc>
          <w:tcPr>
            <w:tcW w:w="1920" w:type="dxa"/>
            <w:gridSpan w:val="4"/>
            <w:tcBorders>
              <w:tl2br w:val="nil"/>
              <w:tr2bl w:val="nil"/>
            </w:tcBorders>
            <w:shd w:val="clear" w:color="auto" w:fill="FFFFFF"/>
            <w:vAlign w:val="center"/>
          </w:tcPr>
          <w:p w14:paraId="7D56320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000000"/>
                <w:sz w:val="28"/>
                <w:szCs w:val="28"/>
                <w:vertAlign w:val="baseline"/>
                <w:lang w:val="en-US" w:eastAsia="zh-CN"/>
              </w:rPr>
            </w:pPr>
            <w:r>
              <w:rPr>
                <w:rFonts w:hint="eastAsia" w:ascii="仿宋_GB2312" w:hAnsi="仿宋_GB2312" w:eastAsia="仿宋_GB2312" w:cs="仿宋_GB2312"/>
                <w:b/>
                <w:bCs/>
                <w:color w:val="000000"/>
                <w:sz w:val="28"/>
                <w:szCs w:val="28"/>
                <w:vertAlign w:val="baseline"/>
                <w:lang w:val="en-US" w:eastAsia="zh-CN"/>
              </w:rPr>
              <w:t>预算执行率</w:t>
            </w:r>
          </w:p>
        </w:tc>
        <w:tc>
          <w:tcPr>
            <w:tcW w:w="6240" w:type="dxa"/>
            <w:gridSpan w:val="8"/>
            <w:tcBorders>
              <w:tl2br w:val="nil"/>
              <w:tr2bl w:val="nil"/>
            </w:tcBorders>
            <w:shd w:val="clear" w:color="auto" w:fill="FFFFFF"/>
            <w:vAlign w:val="center"/>
          </w:tcPr>
          <w:p w14:paraId="699B2A7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color w:val="000000"/>
                <w:sz w:val="28"/>
                <w:szCs w:val="28"/>
                <w:vertAlign w:val="baseline"/>
                <w:lang w:val="en-US" w:eastAsia="zh-CN"/>
              </w:rPr>
            </w:pPr>
            <w:r>
              <w:rPr>
                <w:rFonts w:hint="eastAsia" w:ascii="仿宋_GB2312" w:hAnsi="仿宋_GB2312" w:eastAsia="仿宋_GB2312" w:cs="仿宋_GB2312"/>
                <w:b w:val="0"/>
                <w:color w:val="000000"/>
                <w:sz w:val="28"/>
                <w:szCs w:val="28"/>
                <w:vertAlign w:val="baseline"/>
                <w:lang w:val="en-US" w:eastAsia="zh-CN"/>
              </w:rPr>
              <w:t>100%</w:t>
            </w:r>
          </w:p>
        </w:tc>
      </w:tr>
      <w:tr w14:paraId="59FEABE3">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554" w:hRule="atLeast"/>
          <w:jc w:val="center"/>
        </w:trPr>
        <w:tc>
          <w:tcPr>
            <w:tcW w:w="8972" w:type="dxa"/>
            <w:gridSpan w:val="13"/>
            <w:tcBorders>
              <w:tl2br w:val="nil"/>
              <w:tr2bl w:val="nil"/>
            </w:tcBorders>
            <w:shd w:val="clear" w:color="auto" w:fill="FFFFFF"/>
            <w:vAlign w:val="center"/>
          </w:tcPr>
          <w:p w14:paraId="1E7ABDD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color w:val="000000"/>
                <w:sz w:val="28"/>
                <w:szCs w:val="28"/>
                <w:vertAlign w:val="baseline"/>
                <w:lang w:val="en-US" w:eastAsia="zh-CN"/>
              </w:rPr>
            </w:pPr>
            <w:r>
              <w:rPr>
                <w:rFonts w:hint="eastAsia" w:ascii="仿宋_GB2312" w:hAnsi="仿宋_GB2312" w:eastAsia="仿宋_GB2312" w:cs="仿宋_GB2312"/>
                <w:b/>
                <w:bCs/>
                <w:sz w:val="28"/>
                <w:szCs w:val="28"/>
                <w:lang w:val="en-US" w:eastAsia="zh-CN"/>
              </w:rPr>
              <w:t>二、部门整体绩效目标</w:t>
            </w:r>
          </w:p>
        </w:tc>
      </w:tr>
      <w:tr w14:paraId="14E9454C">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2" w:type="dxa"/>
            <w:gridSpan w:val="3"/>
            <w:tcBorders>
              <w:tl2br w:val="nil"/>
              <w:tr2bl w:val="nil"/>
            </w:tcBorders>
            <w:shd w:val="clear" w:color="auto" w:fill="FFFFFF"/>
            <w:vAlign w:val="center"/>
          </w:tcPr>
          <w:p w14:paraId="1B7C260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年度绩效目标</w:t>
            </w:r>
          </w:p>
        </w:tc>
        <w:tc>
          <w:tcPr>
            <w:tcW w:w="7280" w:type="dxa"/>
            <w:gridSpan w:val="10"/>
            <w:tcBorders>
              <w:tl2br w:val="nil"/>
              <w:tr2bl w:val="nil"/>
            </w:tcBorders>
            <w:shd w:val="clear" w:color="auto" w:fill="FFFFFF"/>
            <w:vAlign w:val="center"/>
          </w:tcPr>
          <w:p w14:paraId="441A5776">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textAlignment w:val="auto"/>
              <w:rPr>
                <w:rStyle w:val="15"/>
                <w:rFonts w:hint="eastAsia" w:ascii="仿宋_GB2312" w:hAnsi="仿宋_GB2312" w:eastAsia="仿宋_GB2312" w:cs="仿宋_GB2312"/>
                <w:b w:val="0"/>
                <w:bCs/>
                <w:color w:val="333333"/>
                <w:sz w:val="28"/>
                <w:szCs w:val="28"/>
                <w:shd w:val="clear" w:color="auto" w:fill="FFFFFF"/>
              </w:rPr>
            </w:pPr>
            <w:r>
              <w:rPr>
                <w:rStyle w:val="15"/>
                <w:rFonts w:hint="eastAsia" w:ascii="仿宋_GB2312" w:hAnsi="仿宋_GB2312" w:eastAsia="仿宋_GB2312" w:cs="仿宋_GB2312"/>
                <w:b w:val="0"/>
                <w:bCs/>
                <w:color w:val="333333"/>
                <w:sz w:val="28"/>
                <w:szCs w:val="28"/>
                <w:shd w:val="clear" w:color="auto" w:fill="FFFFFF"/>
              </w:rPr>
              <w:t>（1）发放医护人员工资，缴纳各类保险；办公经费开支；</w:t>
            </w:r>
          </w:p>
          <w:p w14:paraId="57EF948F">
            <w:pPr>
              <w:pStyle w:val="2"/>
              <w:keepNext w:val="0"/>
              <w:keepLines w:val="0"/>
              <w:pageBreakBefore w:val="0"/>
              <w:kinsoku/>
              <w:wordWrap/>
              <w:overflowPunct/>
              <w:topLinePunct w:val="0"/>
              <w:autoSpaceDE/>
              <w:autoSpaceDN/>
              <w:bidi w:val="0"/>
              <w:adjustRightInd/>
              <w:snapToGrid/>
              <w:spacing w:line="400" w:lineRule="exact"/>
              <w:ind w:left="0" w:leftChars="0" w:firstLine="0" w:firstLineChars="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（2）加强基层医疗机构管理及医护人员队伍建设；</w:t>
            </w:r>
          </w:p>
          <w:p w14:paraId="6424BB75">
            <w:pPr>
              <w:pStyle w:val="2"/>
              <w:keepNext w:val="0"/>
              <w:keepLines w:val="0"/>
              <w:pageBreakBefore w:val="0"/>
              <w:kinsoku/>
              <w:wordWrap/>
              <w:overflowPunct/>
              <w:topLinePunct w:val="0"/>
              <w:autoSpaceDE/>
              <w:autoSpaceDN/>
              <w:bidi w:val="0"/>
              <w:adjustRightInd/>
              <w:snapToGrid/>
              <w:spacing w:line="400" w:lineRule="exact"/>
              <w:ind w:left="0" w:leftChars="0" w:firstLine="0" w:firstLineChars="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（3）强化辖区基本公共服务建设，建立辖区人口健康档案，进行家庭医生签约、提供65岁老年人体检、0-6岁儿童一类疫苗免费接种等多项服务，并积极开展健康宣传活动；</w:t>
            </w:r>
          </w:p>
          <w:p w14:paraId="665DF695">
            <w:pPr>
              <w:pStyle w:val="2"/>
              <w:keepNext w:val="0"/>
              <w:keepLines w:val="0"/>
              <w:pageBreakBefore w:val="0"/>
              <w:kinsoku/>
              <w:wordWrap/>
              <w:overflowPunct/>
              <w:topLinePunct w:val="0"/>
              <w:autoSpaceDE/>
              <w:autoSpaceDN/>
              <w:bidi w:val="0"/>
              <w:adjustRightInd/>
              <w:snapToGrid/>
              <w:spacing w:line="400" w:lineRule="exact"/>
              <w:ind w:left="0" w:leftChars="0" w:firstLine="0" w:firstLineChars="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（4）为单位在岗村医参加城镇职工养老保险支付单位缴纳部分。</w:t>
            </w:r>
          </w:p>
          <w:p w14:paraId="05AC9AD7">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sz w:val="28"/>
                <w:szCs w:val="28"/>
              </w:rPr>
              <w:t>（5）租赁房屋建筑保障单位业务正常运行。</w:t>
            </w:r>
          </w:p>
        </w:tc>
      </w:tr>
      <w:tr w14:paraId="17DBE9D9">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972" w:type="dxa"/>
            <w:gridSpan w:val="13"/>
            <w:tcBorders>
              <w:tl2br w:val="nil"/>
              <w:tr2bl w:val="nil"/>
            </w:tcBorders>
            <w:shd w:val="clear" w:color="auto" w:fill="FFFFFF"/>
            <w:vAlign w:val="center"/>
          </w:tcPr>
          <w:p w14:paraId="712D67D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bCs/>
                <w:sz w:val="28"/>
                <w:szCs w:val="28"/>
                <w:lang w:val="en-US" w:eastAsia="zh-CN"/>
              </w:rPr>
              <w:t>三、</w:t>
            </w:r>
            <w:r>
              <w:rPr>
                <w:rFonts w:hint="eastAsia" w:cs="仿宋_GB2312"/>
                <w:b/>
                <w:bCs/>
                <w:sz w:val="28"/>
                <w:szCs w:val="28"/>
                <w:lang w:val="en-US" w:eastAsia="zh-CN"/>
              </w:rPr>
              <w:t>自评</w:t>
            </w:r>
            <w:r>
              <w:rPr>
                <w:rFonts w:hint="eastAsia" w:ascii="仿宋_GB2312" w:hAnsi="仿宋_GB2312" w:eastAsia="仿宋_GB2312" w:cs="仿宋_GB2312"/>
                <w:b/>
                <w:bCs/>
                <w:sz w:val="28"/>
                <w:szCs w:val="28"/>
                <w:lang w:val="en-US" w:eastAsia="zh-CN"/>
              </w:rPr>
              <w:t>基本情况</w:t>
            </w:r>
          </w:p>
        </w:tc>
      </w:tr>
      <w:tr w14:paraId="0B8C8857">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581" w:hRule="atLeast"/>
          <w:jc w:val="center"/>
        </w:trPr>
        <w:tc>
          <w:tcPr>
            <w:tcW w:w="1692" w:type="dxa"/>
            <w:gridSpan w:val="3"/>
            <w:tcBorders>
              <w:tl2br w:val="nil"/>
              <w:tr2bl w:val="nil"/>
            </w:tcBorders>
            <w:shd w:val="clear" w:color="auto" w:fill="FFFFFF"/>
            <w:vAlign w:val="center"/>
          </w:tcPr>
          <w:p w14:paraId="2DCB6C5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sz w:val="28"/>
                <w:szCs w:val="28"/>
                <w:lang w:val="en-US" w:eastAsia="zh-CN"/>
              </w:rPr>
            </w:pPr>
            <w:r>
              <w:rPr>
                <w:rFonts w:hint="eastAsia" w:cs="仿宋_GB2312"/>
                <w:b/>
                <w:bCs/>
                <w:sz w:val="28"/>
                <w:szCs w:val="28"/>
                <w:lang w:val="en-US" w:eastAsia="zh-CN"/>
              </w:rPr>
              <w:t>自评</w:t>
            </w:r>
            <w:r>
              <w:rPr>
                <w:rFonts w:hint="eastAsia" w:ascii="仿宋_GB2312" w:hAnsi="仿宋_GB2312" w:eastAsia="仿宋_GB2312" w:cs="仿宋_GB2312"/>
                <w:b/>
                <w:bCs/>
                <w:sz w:val="28"/>
                <w:szCs w:val="28"/>
                <w:lang w:val="en-US" w:eastAsia="zh-CN"/>
              </w:rPr>
              <w:t>范围</w:t>
            </w:r>
          </w:p>
        </w:tc>
        <w:tc>
          <w:tcPr>
            <w:tcW w:w="7280" w:type="dxa"/>
            <w:gridSpan w:val="10"/>
            <w:tcBorders>
              <w:tl2br w:val="nil"/>
              <w:tr2bl w:val="nil"/>
            </w:tcBorders>
            <w:shd w:val="clear" w:color="auto" w:fill="FFFFFF"/>
            <w:vAlign w:val="center"/>
          </w:tcPr>
          <w:p w14:paraId="06A3582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仿宋_GB2312" w:hAnsi="仿宋_GB2312" w:eastAsia="仿宋_GB2312" w:cs="仿宋_GB2312"/>
                <w:b w:val="0"/>
                <w:bCs w:val="0"/>
                <w:sz w:val="28"/>
                <w:szCs w:val="28"/>
                <w:lang w:val="en-US" w:eastAsia="zh-CN"/>
              </w:rPr>
            </w:pPr>
            <w:r>
              <w:rPr>
                <w:rFonts w:hint="eastAsia" w:cs="仿宋_GB2312"/>
                <w:b w:val="0"/>
                <w:bCs w:val="0"/>
                <w:sz w:val="28"/>
                <w:szCs w:val="28"/>
                <w:lang w:val="en-US" w:eastAsia="zh-CN"/>
              </w:rPr>
              <w:t>兰州新区西岔</w:t>
            </w:r>
            <w:r>
              <w:rPr>
                <w:rFonts w:hint="eastAsia" w:ascii="仿宋_GB2312" w:hAnsi="仿宋_GB2312" w:eastAsia="仿宋_GB2312" w:cs="仿宋_GB2312"/>
                <w:b w:val="0"/>
                <w:bCs w:val="0"/>
                <w:sz w:val="28"/>
                <w:szCs w:val="28"/>
                <w:lang w:val="en-US" w:eastAsia="zh-CN"/>
              </w:rPr>
              <w:t>中心卫生院2023年度部门全年整体支出情况。</w:t>
            </w:r>
          </w:p>
        </w:tc>
      </w:tr>
      <w:tr w14:paraId="2D9F8DBC">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FFFFFF"/>
            <w:vAlign w:val="center"/>
          </w:tcPr>
          <w:p w14:paraId="686713E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sz w:val="28"/>
                <w:szCs w:val="28"/>
                <w:lang w:val="en-US" w:eastAsia="zh-CN"/>
              </w:rPr>
            </w:pPr>
            <w:r>
              <w:rPr>
                <w:rFonts w:hint="eastAsia" w:cs="仿宋_GB2312"/>
                <w:b/>
                <w:bCs/>
                <w:sz w:val="28"/>
                <w:szCs w:val="28"/>
                <w:lang w:val="en-US" w:eastAsia="zh-CN"/>
              </w:rPr>
              <w:t>自评</w:t>
            </w:r>
            <w:r>
              <w:rPr>
                <w:rFonts w:hint="eastAsia" w:ascii="仿宋_GB2312" w:hAnsi="仿宋_GB2312" w:eastAsia="仿宋_GB2312" w:cs="仿宋_GB2312"/>
                <w:b/>
                <w:bCs/>
                <w:sz w:val="28"/>
                <w:szCs w:val="28"/>
                <w:lang w:val="en-US" w:eastAsia="zh-CN"/>
              </w:rPr>
              <w:t>依据</w:t>
            </w:r>
          </w:p>
        </w:tc>
        <w:tc>
          <w:tcPr>
            <w:tcW w:w="7280" w:type="dxa"/>
            <w:gridSpan w:val="10"/>
            <w:tcBorders>
              <w:tl2br w:val="nil"/>
              <w:tr2bl w:val="nil"/>
            </w:tcBorders>
            <w:shd w:val="clear" w:color="auto" w:fill="FFFFFF"/>
            <w:vAlign w:val="center"/>
          </w:tcPr>
          <w:p w14:paraId="5DDD0615">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1.《中华人民共和国预算法》；</w:t>
            </w:r>
          </w:p>
          <w:p w14:paraId="7B56968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2.《中共中央 国务院关于全面实施预算绩效管理的意见》（中发〔2018〕34号）；</w:t>
            </w:r>
          </w:p>
          <w:p w14:paraId="6357F64A">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3.《财政部关于印发&lt;预算绩效评价共性指标体系框架&gt;的通知》（财预〔2013〕53号）；</w:t>
            </w:r>
          </w:p>
          <w:p w14:paraId="5E677B1D">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4.《财政部关于规范绩效评价结果等级划分标准的通知》（财预便〔2017〕44号）；</w:t>
            </w:r>
          </w:p>
          <w:p w14:paraId="169EC85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5.《甘肃省委 省政府关于全面实施预算绩效管理的实施意见》（甘发〔2018〕32号）；</w:t>
            </w:r>
          </w:p>
          <w:p w14:paraId="5D9B552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6.《兰州新区管委会办公室关于印发&lt;兰州新区全面推进预算绩效管理实施细则&gt;的通知》;</w:t>
            </w:r>
          </w:p>
          <w:p w14:paraId="636D466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7.《</w:t>
            </w:r>
            <w:r>
              <w:rPr>
                <w:rFonts w:hint="eastAsia" w:cs="仿宋_GB2312"/>
                <w:b w:val="0"/>
                <w:bCs w:val="0"/>
                <w:sz w:val="28"/>
                <w:szCs w:val="28"/>
                <w:lang w:val="en-US" w:eastAsia="zh-CN"/>
              </w:rPr>
              <w:t>兰州新区西岔中心卫生院内控制度</w:t>
            </w:r>
            <w:r>
              <w:rPr>
                <w:rFonts w:hint="eastAsia" w:ascii="仿宋_GB2312" w:hAnsi="仿宋_GB2312" w:eastAsia="仿宋_GB2312" w:cs="仿宋_GB2312"/>
                <w:b w:val="0"/>
                <w:bCs w:val="0"/>
                <w:sz w:val="28"/>
                <w:szCs w:val="28"/>
                <w:lang w:val="en-US" w:eastAsia="zh-CN"/>
              </w:rPr>
              <w:t>》《</w:t>
            </w:r>
            <w:r>
              <w:rPr>
                <w:rFonts w:hint="eastAsia" w:cs="仿宋_GB2312"/>
                <w:b w:val="0"/>
                <w:bCs w:val="0"/>
                <w:sz w:val="28"/>
                <w:szCs w:val="28"/>
                <w:lang w:val="en-US" w:eastAsia="zh-CN"/>
              </w:rPr>
              <w:t>兰州新区西岔中心卫生院</w:t>
            </w:r>
            <w:r>
              <w:rPr>
                <w:rFonts w:hint="eastAsia" w:ascii="仿宋_GB2312" w:hAnsi="仿宋_GB2312" w:eastAsia="仿宋_GB2312" w:cs="仿宋_GB2312"/>
                <w:b w:val="0"/>
                <w:bCs w:val="0"/>
                <w:sz w:val="28"/>
                <w:szCs w:val="28"/>
                <w:lang w:val="en-US" w:eastAsia="zh-CN"/>
              </w:rPr>
              <w:t>固定资产管理制度》等相关制度文件；</w:t>
            </w:r>
          </w:p>
          <w:p w14:paraId="4795617E">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8.部门2023年度预决算公开报表及情况说明；</w:t>
            </w:r>
          </w:p>
          <w:p w14:paraId="4120474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9、2023年度预算执行情况绩效目标表、监控表、监控报告、自评表等；</w:t>
            </w:r>
          </w:p>
          <w:p w14:paraId="07C591A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10.各项支出财务凭证等其他相关资料。</w:t>
            </w:r>
          </w:p>
        </w:tc>
      </w:tr>
      <w:tr w14:paraId="43F774C6">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FFFFFF"/>
            <w:vAlign w:val="center"/>
          </w:tcPr>
          <w:p w14:paraId="10DFBC7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绩效自评指标体系</w:t>
            </w:r>
          </w:p>
        </w:tc>
        <w:tc>
          <w:tcPr>
            <w:tcW w:w="7280" w:type="dxa"/>
            <w:gridSpan w:val="10"/>
            <w:tcBorders>
              <w:tl2br w:val="nil"/>
              <w:tr2bl w:val="nil"/>
            </w:tcBorders>
            <w:shd w:val="clear" w:color="auto" w:fill="FFFFFF"/>
            <w:vAlign w:val="center"/>
          </w:tcPr>
          <w:p w14:paraId="11B2359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本次绩效评价指标体系设计思路主要是根据</w:t>
            </w:r>
            <w:r>
              <w:rPr>
                <w:rFonts w:hint="eastAsia" w:cs="仿宋_GB2312"/>
                <w:b w:val="0"/>
                <w:bCs w:val="0"/>
                <w:sz w:val="28"/>
                <w:szCs w:val="28"/>
                <w:lang w:val="en-US" w:eastAsia="zh-CN"/>
              </w:rPr>
              <w:t>兰州新区西岔中心卫生院</w:t>
            </w:r>
            <w:r>
              <w:rPr>
                <w:rFonts w:hint="eastAsia" w:ascii="仿宋_GB2312" w:hAnsi="仿宋_GB2312" w:eastAsia="仿宋_GB2312" w:cs="仿宋_GB2312"/>
                <w:b w:val="0"/>
                <w:bCs w:val="0"/>
                <w:sz w:val="28"/>
                <w:szCs w:val="28"/>
                <w:lang w:val="en-US" w:eastAsia="zh-CN"/>
              </w:rPr>
              <w:t>的基本职能，围绕部门年度工作计划、绩效目标设定、预算编制、预算执行、履职完成情况及履职效益发挥情况等重要内容，结合绩效评价指标体系的设计原则及设计方法，主要从管理效率、履职效能、</w:t>
            </w:r>
            <w:r>
              <w:rPr>
                <w:rFonts w:hint="eastAsia" w:cs="仿宋_GB2312"/>
                <w:b w:val="0"/>
                <w:bCs w:val="0"/>
                <w:sz w:val="28"/>
                <w:szCs w:val="28"/>
                <w:lang w:val="en-US" w:eastAsia="zh-CN"/>
              </w:rPr>
              <w:t>能力建设</w:t>
            </w:r>
            <w:r>
              <w:rPr>
                <w:rFonts w:hint="eastAsia" w:ascii="仿宋_GB2312" w:hAnsi="仿宋_GB2312" w:eastAsia="仿宋_GB2312" w:cs="仿宋_GB2312"/>
                <w:b w:val="0"/>
                <w:bCs w:val="0"/>
                <w:sz w:val="28"/>
                <w:szCs w:val="28"/>
                <w:lang w:val="en-US" w:eastAsia="zh-CN"/>
              </w:rPr>
              <w:t>及满意度</w:t>
            </w:r>
            <w:r>
              <w:rPr>
                <w:rFonts w:hint="eastAsia" w:cs="仿宋_GB2312"/>
                <w:b w:val="0"/>
                <w:bCs w:val="0"/>
                <w:sz w:val="28"/>
                <w:szCs w:val="28"/>
                <w:lang w:val="en-US" w:eastAsia="zh-CN"/>
              </w:rPr>
              <w:t>四</w:t>
            </w:r>
            <w:r>
              <w:rPr>
                <w:rFonts w:hint="eastAsia" w:ascii="仿宋_GB2312" w:hAnsi="仿宋_GB2312" w:eastAsia="仿宋_GB2312" w:cs="仿宋_GB2312"/>
                <w:b w:val="0"/>
                <w:bCs w:val="0"/>
                <w:sz w:val="28"/>
                <w:szCs w:val="28"/>
                <w:lang w:val="en-US" w:eastAsia="zh-CN"/>
              </w:rPr>
              <w:t>个方面评价</w:t>
            </w:r>
            <w:r>
              <w:rPr>
                <w:rFonts w:hint="eastAsia" w:cs="仿宋_GB2312"/>
                <w:b w:val="0"/>
                <w:bCs w:val="0"/>
                <w:sz w:val="28"/>
                <w:szCs w:val="28"/>
                <w:lang w:val="en-US" w:eastAsia="zh-CN"/>
              </w:rPr>
              <w:t>兰州新区西岔中心卫生</w:t>
            </w:r>
            <w:r>
              <w:rPr>
                <w:rFonts w:hint="eastAsia" w:ascii="仿宋_GB2312" w:hAnsi="仿宋_GB2312" w:eastAsia="仿宋_GB2312" w:cs="仿宋_GB2312"/>
                <w:b w:val="0"/>
                <w:bCs w:val="0"/>
                <w:sz w:val="28"/>
                <w:szCs w:val="28"/>
                <w:lang w:val="en-US" w:eastAsia="zh-CN"/>
              </w:rPr>
              <w:t>院2023年度部门整体工作，具体评价指标包括4项一级指标，并在一级指标基础上细化延伸16项二级指标及29项三级指标。指标体系的数据源于部门履职各项资料、基础数据表及调查问卷分析情况等资料。</w:t>
            </w:r>
          </w:p>
        </w:tc>
      </w:tr>
      <w:tr w14:paraId="24669ACE">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95" w:hRule="atLeast"/>
          <w:jc w:val="center"/>
        </w:trPr>
        <w:tc>
          <w:tcPr>
            <w:tcW w:w="1692" w:type="dxa"/>
            <w:gridSpan w:val="3"/>
            <w:tcBorders>
              <w:tl2br w:val="nil"/>
              <w:tr2bl w:val="nil"/>
            </w:tcBorders>
            <w:shd w:val="clear" w:color="auto" w:fill="FFFFFF"/>
            <w:vAlign w:val="center"/>
          </w:tcPr>
          <w:p w14:paraId="692680D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绩效目标完成情况</w:t>
            </w:r>
          </w:p>
        </w:tc>
        <w:tc>
          <w:tcPr>
            <w:tcW w:w="7280" w:type="dxa"/>
            <w:gridSpan w:val="10"/>
            <w:tcBorders>
              <w:tl2br w:val="nil"/>
              <w:tr2bl w:val="nil"/>
            </w:tcBorders>
            <w:shd w:val="clear" w:color="auto" w:fill="FFFFFF"/>
            <w:vAlign w:val="center"/>
          </w:tcPr>
          <w:p w14:paraId="43A86B1B">
            <w:pPr>
              <w:pStyle w:val="2"/>
              <w:keepNext w:val="0"/>
              <w:keepLines w:val="0"/>
              <w:pageBreakBefore w:val="0"/>
              <w:numPr>
                <w:ilvl w:val="0"/>
                <w:numId w:val="1"/>
              </w:numPr>
              <w:kinsoku/>
              <w:wordWrap/>
              <w:overflowPunct/>
              <w:topLinePunct w:val="0"/>
              <w:autoSpaceDE/>
              <w:autoSpaceDN/>
              <w:bidi w:val="0"/>
              <w:adjustRightInd/>
              <w:snapToGrid/>
              <w:spacing w:line="400" w:lineRule="exact"/>
              <w:ind w:left="0" w:leftChars="0" w:firstLine="0" w:firstLineChars="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人员经费支出796.53万元；公用经费支出1213.31万元，项目支出68.04万元。</w:t>
            </w:r>
          </w:p>
          <w:p w14:paraId="7282A35C">
            <w:pPr>
              <w:pStyle w:val="2"/>
              <w:keepNext w:val="0"/>
              <w:keepLines w:val="0"/>
              <w:pageBreakBefore w:val="0"/>
              <w:numPr>
                <w:ilvl w:val="0"/>
                <w:numId w:val="0"/>
              </w:numPr>
              <w:kinsoku/>
              <w:wordWrap/>
              <w:overflowPunct/>
              <w:topLinePunct w:val="0"/>
              <w:autoSpaceDE/>
              <w:autoSpaceDN/>
              <w:bidi w:val="0"/>
              <w:adjustRightInd/>
              <w:snapToGrid/>
              <w:spacing w:line="400" w:lineRule="exact"/>
              <w:ind w:leftChars="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（2）建立单位规章制度及管理体系，责任落实，分工明确，相互协作，团结一体。</w:t>
            </w:r>
          </w:p>
          <w:p w14:paraId="25873999">
            <w:pPr>
              <w:pStyle w:val="2"/>
              <w:keepNext w:val="0"/>
              <w:keepLines w:val="0"/>
              <w:pageBreakBefore w:val="0"/>
              <w:kinsoku/>
              <w:wordWrap/>
              <w:overflowPunct/>
              <w:topLinePunct w:val="0"/>
              <w:autoSpaceDE/>
              <w:autoSpaceDN/>
              <w:bidi w:val="0"/>
              <w:adjustRightInd/>
              <w:snapToGrid/>
              <w:spacing w:line="400" w:lineRule="exact"/>
              <w:ind w:left="0" w:leftChars="0" w:firstLine="0" w:firstLineChars="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（3）截止目前已建档31751人，其中管理65岁以上老年人2745人、高血压患者3078人、糖尿病患者655人、严重精神障碍患者148人、肺结核患者8人、管理孕产妇221人、0～6岁儿童1340人。</w:t>
            </w:r>
          </w:p>
          <w:p w14:paraId="52D671B4">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仿宋_GB2312" w:hAnsi="仿宋_GB2312" w:eastAsia="仿宋_GB2312" w:cs="仿宋_GB2312"/>
                <w:b w:val="0"/>
                <w:bCs w:val="0"/>
                <w:sz w:val="28"/>
                <w:szCs w:val="28"/>
                <w:lang w:val="en-US" w:eastAsia="zh-CN"/>
              </w:rPr>
            </w:pPr>
            <w:r>
              <w:rPr>
                <w:rFonts w:hint="eastAsia" w:cs="仿宋_GB2312"/>
                <w:sz w:val="28"/>
                <w:szCs w:val="28"/>
                <w:lang w:eastAsia="zh-CN"/>
              </w:rPr>
              <w:t>（</w:t>
            </w:r>
            <w:r>
              <w:rPr>
                <w:rFonts w:hint="eastAsia" w:cs="仿宋_GB2312"/>
                <w:sz w:val="28"/>
                <w:szCs w:val="28"/>
                <w:lang w:val="en-US" w:eastAsia="zh-CN"/>
              </w:rPr>
              <w:t>4</w:t>
            </w:r>
            <w:r>
              <w:rPr>
                <w:rFonts w:hint="eastAsia" w:cs="仿宋_GB2312"/>
                <w:sz w:val="28"/>
                <w:szCs w:val="28"/>
                <w:lang w:eastAsia="zh-CN"/>
              </w:rPr>
              <w:t>）</w:t>
            </w:r>
            <w:r>
              <w:rPr>
                <w:rFonts w:hint="eastAsia" w:ascii="仿宋_GB2312" w:hAnsi="仿宋_GB2312" w:eastAsia="仿宋_GB2312" w:cs="仿宋_GB2312"/>
                <w:sz w:val="28"/>
                <w:szCs w:val="28"/>
              </w:rPr>
              <w:t>完成项目绩效评价，按支付进度完成单位业务用房租赁费项目</w:t>
            </w:r>
          </w:p>
        </w:tc>
      </w:tr>
      <w:tr w14:paraId="299864F5">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1726" w:hRule="atLeast"/>
          <w:jc w:val="center"/>
        </w:trPr>
        <w:tc>
          <w:tcPr>
            <w:tcW w:w="1692" w:type="dxa"/>
            <w:gridSpan w:val="3"/>
            <w:tcBorders>
              <w:tl2br w:val="nil"/>
              <w:tr2bl w:val="nil"/>
            </w:tcBorders>
            <w:shd w:val="clear" w:color="auto" w:fill="FFFFFF"/>
            <w:vAlign w:val="center"/>
          </w:tcPr>
          <w:p w14:paraId="7EFD66B0">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各项指标完成情况分析</w:t>
            </w:r>
          </w:p>
        </w:tc>
        <w:tc>
          <w:tcPr>
            <w:tcW w:w="7280" w:type="dxa"/>
            <w:gridSpan w:val="10"/>
            <w:tcBorders>
              <w:tl2br w:val="nil"/>
              <w:tr2bl w:val="nil"/>
            </w:tcBorders>
            <w:shd w:val="clear" w:color="auto" w:fill="FFFFFF"/>
            <w:vAlign w:val="center"/>
          </w:tcPr>
          <w:p w14:paraId="35C4CCFF">
            <w:pPr>
              <w:keepNext w:val="0"/>
              <w:keepLines w:val="0"/>
              <w:pageBreakBefore w:val="0"/>
              <w:kinsoku/>
              <w:wordWrap/>
              <w:overflowPunct/>
              <w:topLinePunct w:val="0"/>
              <w:autoSpaceDE/>
              <w:autoSpaceDN/>
              <w:bidi w:val="0"/>
              <w:adjustRightInd/>
              <w:snapToGrid/>
              <w:spacing w:before="100" w:beforeLines="0" w:after="100" w:afterLines="0" w:line="480" w:lineRule="exact"/>
              <w:ind w:firstLine="562" w:firstLineChars="200"/>
              <w:jc w:val="left"/>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b/>
                <w:bCs/>
                <w:kern w:val="2"/>
                <w:sz w:val="28"/>
                <w:szCs w:val="28"/>
                <w:lang w:val="en-US" w:eastAsia="zh-CN" w:bidi="ar-SA"/>
              </w:rPr>
              <w:t>1、部门管理：2</w:t>
            </w:r>
            <w:r>
              <w:rPr>
                <w:rFonts w:hint="eastAsia" w:ascii="仿宋_GB2312" w:hAnsi="仿宋_GB2312" w:eastAsia="仿宋_GB2312" w:cs="仿宋_GB2312"/>
                <w:kern w:val="2"/>
                <w:sz w:val="28"/>
                <w:szCs w:val="28"/>
                <w:lang w:val="en-US" w:eastAsia="zh-CN" w:bidi="ar-SA"/>
              </w:rPr>
              <w:t>023年度单位人员经费支出和公用经费支出均按照财务相关规定合理支出，由于绩效考核制度变化，导致基本支出完成率不足百分之百；我中心在政府采购管理制度上的了解不够深入，以后会加强政府采购制度的学习；因单位资产配置比较分散，在资产的统一管理制度方面还有待完善，因新康陆续搬迁，建档率有待提高。</w:t>
            </w:r>
          </w:p>
          <w:p w14:paraId="5F0A25DF">
            <w:pPr>
              <w:pStyle w:val="10"/>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480" w:lineRule="exact"/>
              <w:ind w:right="0" w:firstLine="562" w:firstLineChars="200"/>
              <w:jc w:val="both"/>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b/>
                <w:bCs/>
                <w:sz w:val="28"/>
                <w:szCs w:val="28"/>
              </w:rPr>
              <w:t>2、履职效果</w:t>
            </w:r>
            <w:r>
              <w:rPr>
                <w:rFonts w:hint="eastAsia" w:cs="仿宋_GB2312"/>
                <w:b/>
                <w:bCs/>
                <w:sz w:val="28"/>
                <w:szCs w:val="28"/>
                <w:lang w:eastAsia="zh-CN"/>
              </w:rPr>
              <w:t>：</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1</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全力保障基本医疗工作正常开展。2</w:t>
            </w:r>
            <w:r>
              <w:rPr>
                <w:rFonts w:hint="eastAsia" w:cs="仿宋_GB2312"/>
                <w:kern w:val="2"/>
                <w:sz w:val="28"/>
                <w:szCs w:val="28"/>
                <w:lang w:val="en-US" w:eastAsia="zh-CN" w:bidi="ar-SA"/>
              </w:rPr>
              <w:t>023年度</w:t>
            </w:r>
            <w:r>
              <w:rPr>
                <w:rFonts w:hint="eastAsia" w:ascii="仿宋_GB2312" w:hAnsi="仿宋_GB2312" w:eastAsia="仿宋_GB2312" w:cs="仿宋_GB2312"/>
                <w:kern w:val="2"/>
                <w:sz w:val="28"/>
                <w:szCs w:val="28"/>
                <w:lang w:val="en-US" w:eastAsia="zh-CN" w:bidi="ar-SA"/>
              </w:rPr>
              <w:t>我单位不断完善基层首诊50+N+X的病种管理，大力宣传医共体各项政策，医共体牵头单位6位专家定时下沉重点帮扶2个科室，自5月份启动以来专家累计下沉111次，召开医共体业务座谈会6次，接诊患614人次，DR下级检查上级诊断379人次，心电图上传诊断173人次，带教查房51次，疑难病历讨论5次，病历质控45份，骨密度仪技术指导4次，专题讲座25次，参与家庭医生签约服务个体化健康教育活动27人次。双向转诊工作机制顺畅，成效显著，截止目前上转269人，下转208人，村级向卫生院上转116人，通过医共体专家帮扶和指导，儿童保健业务新增开展了听力筛查、骨密度检查、婴儿抚触业务，儿科门诊就诊人数较去年同期增长了35.6%，妇科门诊就诊人数较去年同期增长了102%，妇科住院42人，开展妇科一级手术51台，有效缓解了辖区居民“看病远”的问题</w:t>
            </w:r>
          </w:p>
          <w:p w14:paraId="43BEBCF6">
            <w:pPr>
              <w:pStyle w:val="10"/>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480" w:lineRule="exact"/>
              <w:ind w:right="0" w:firstLine="560" w:firstLineChars="200"/>
              <w:jc w:val="both"/>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w:t>
            </w:r>
            <w:r>
              <w:rPr>
                <w:rFonts w:hint="eastAsia" w:ascii="仿宋_GB2312" w:hAnsi="仿宋_GB2312" w:eastAsia="仿宋_GB2312" w:cs="仿宋_GB2312"/>
                <w:b/>
                <w:bCs/>
                <w:sz w:val="28"/>
                <w:szCs w:val="28"/>
                <w:lang w:val="en-US" w:eastAsia="zh-CN"/>
              </w:rPr>
              <w:t>2）公共卫生服务项目。</w:t>
            </w:r>
            <w:r>
              <w:rPr>
                <w:rFonts w:hint="eastAsia" w:ascii="仿宋_GB2312" w:hAnsi="仿宋_GB2312" w:eastAsia="仿宋_GB2312" w:cs="仿宋_GB2312"/>
                <w:b/>
                <w:bCs/>
                <w:sz w:val="28"/>
                <w:szCs w:val="28"/>
                <w:lang w:val="zh-TW" w:eastAsia="zh-CN"/>
              </w:rPr>
              <w:t>一</w:t>
            </w:r>
            <w:r>
              <w:rPr>
                <w:rFonts w:hint="eastAsia" w:ascii="仿宋_GB2312" w:hAnsi="仿宋_GB2312" w:eastAsia="仿宋_GB2312" w:cs="仿宋_GB2312"/>
                <w:kern w:val="2"/>
                <w:sz w:val="28"/>
                <w:szCs w:val="28"/>
                <w:lang w:val="zh-TW" w:eastAsia="zh-CN" w:bidi="ar-SA"/>
              </w:rPr>
              <w:t>是截止目前全镇</w:t>
            </w:r>
            <w:r>
              <w:rPr>
                <w:rFonts w:hint="eastAsia" w:ascii="仿宋_GB2312" w:hAnsi="仿宋_GB2312" w:eastAsia="仿宋_GB2312" w:cs="仿宋_GB2312"/>
                <w:kern w:val="2"/>
                <w:sz w:val="28"/>
                <w:szCs w:val="28"/>
                <w:lang w:val="en-US" w:eastAsia="zh-CN" w:bidi="ar-SA"/>
              </w:rPr>
              <w:t>建档31751份，健康档案建档率90.71%。</w:t>
            </w:r>
            <w:r>
              <w:rPr>
                <w:rFonts w:hint="eastAsia" w:ascii="仿宋_GB2312" w:hAnsi="仿宋_GB2312" w:eastAsia="仿宋_GB2312" w:cs="仿宋_GB2312"/>
                <w:kern w:val="2"/>
                <w:sz w:val="28"/>
                <w:szCs w:val="28"/>
                <w:lang w:val="zh-TW" w:eastAsia="zh-CN" w:bidi="ar-SA"/>
              </w:rPr>
              <w:t>二是老年人</w:t>
            </w:r>
            <w:r>
              <w:rPr>
                <w:rFonts w:hint="eastAsia" w:ascii="仿宋_GB2312" w:hAnsi="仿宋_GB2312" w:eastAsia="仿宋_GB2312" w:cs="仿宋_GB2312"/>
                <w:kern w:val="2"/>
                <w:sz w:val="28"/>
                <w:szCs w:val="28"/>
                <w:lang w:val="en-US" w:eastAsia="zh-CN" w:bidi="ar-SA"/>
              </w:rPr>
              <w:t>管理人数2745人，完成体检人数2354人，体检率达85.7%，中医药健康管理服务人数2354人，覆盖率为85.7%。三是高血压患者管理3078人，管理率37.8%，已体检2679人，体检率87.38%。糖尿病患者管理655人，管理率20.9%；已体检572人，体检率87.2%。四是健康知识宣传栏更新6期54次；举办健康知识讲座46次；开展公众健康咨询活动25次；发放印刷资料种类18种；影像播放资料14种；通过微信公众号、微信视频号、抖音等新媒体宣传健康知识180条。</w:t>
            </w:r>
            <w:r>
              <w:rPr>
                <w:rFonts w:hint="eastAsia" w:ascii="仿宋_GB2312" w:hAnsi="仿宋_GB2312" w:eastAsia="仿宋_GB2312" w:cs="仿宋_GB2312"/>
                <w:kern w:val="2"/>
                <w:sz w:val="28"/>
                <w:szCs w:val="28"/>
                <w:lang w:val="zh-TW" w:eastAsia="zh-CN" w:bidi="ar-SA"/>
              </w:rPr>
              <w:t>五是管理严重精神障碍</w:t>
            </w:r>
            <w:r>
              <w:rPr>
                <w:rFonts w:hint="eastAsia" w:ascii="仿宋_GB2312" w:hAnsi="仿宋_GB2312" w:eastAsia="仿宋_GB2312" w:cs="仿宋_GB2312"/>
                <w:kern w:val="2"/>
                <w:sz w:val="28"/>
                <w:szCs w:val="28"/>
                <w:lang w:val="en-US" w:eastAsia="zh-CN" w:bidi="ar-SA"/>
              </w:rPr>
              <w:t>管理患者148人，报告患病率为3.6‰，规范管理率93.6%，体检人数113人，体检率76.4%，精神分裂症服药率94.8%。六是管理孕产妇221人，管理率100%，规范管理率92.1%，产后访视率100%。七是0-6岁儿童管理1173人，体检1954人次，新生儿访视率100%，管理率92.74%。八是管理结核患者8人，结案4人，患者规范管理100％（指标为≥90％），服药率100％。为兰州新区第二初级中学324名新生做ppd实验，其中强阳性8人，进一步在定点医院检查，无结核确诊患者。九是对辖区5家供水单位巡查7次，对14所学校，巡查32次，对12所医疗机构巡查107次。十是共接种疫苗</w:t>
            </w:r>
            <w:r>
              <w:rPr>
                <w:rFonts w:hint="default" w:ascii="仿宋_GB2312" w:hAnsi="仿宋_GB2312" w:eastAsia="仿宋_GB2312" w:cs="仿宋_GB2312"/>
                <w:kern w:val="2"/>
                <w:sz w:val="28"/>
                <w:szCs w:val="28"/>
                <w:lang w:val="en-US" w:eastAsia="zh-CN" w:bidi="ar-SA"/>
              </w:rPr>
              <w:t>67191</w:t>
            </w:r>
            <w:r>
              <w:rPr>
                <w:rFonts w:hint="eastAsia" w:ascii="仿宋_GB2312" w:hAnsi="仿宋_GB2312" w:eastAsia="仿宋_GB2312" w:cs="仿宋_GB2312"/>
                <w:kern w:val="2"/>
                <w:sz w:val="28"/>
                <w:szCs w:val="28"/>
                <w:lang w:val="en-US" w:eastAsia="zh-CN" w:bidi="ar-SA"/>
              </w:rPr>
              <w:t>针次，其中一类疫苗5590针次，较2022年增长19.7%，二类疫苗3813针次，较2022年增长37.8%。</w:t>
            </w:r>
          </w:p>
          <w:p w14:paraId="3C7C395F">
            <w:pPr>
              <w:pStyle w:val="10"/>
              <w:keepNext w:val="0"/>
              <w:keepLines w:val="0"/>
              <w:pageBreakBefore w:val="0"/>
              <w:widowControl/>
              <w:kinsoku/>
              <w:wordWrap/>
              <w:overflowPunct/>
              <w:topLinePunct w:val="0"/>
              <w:autoSpaceDE/>
              <w:autoSpaceDN/>
              <w:bidi w:val="0"/>
              <w:adjustRightInd/>
              <w:snapToGrid/>
              <w:spacing w:line="400" w:lineRule="exact"/>
              <w:ind w:left="0" w:leftChars="0" w:firstLine="0" w:firstLineChars="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b/>
                <w:bCs/>
                <w:sz w:val="28"/>
                <w:szCs w:val="28"/>
              </w:rPr>
              <w:t>3、能力建设</w:t>
            </w:r>
            <w:r>
              <w:rPr>
                <w:rFonts w:hint="eastAsia" w:cs="仿宋_GB2312"/>
                <w:b/>
                <w:bCs/>
                <w:sz w:val="28"/>
                <w:szCs w:val="28"/>
                <w:lang w:eastAsia="zh-CN"/>
              </w:rPr>
              <w:t>：</w:t>
            </w:r>
            <w:r>
              <w:rPr>
                <w:rFonts w:hint="eastAsia" w:ascii="仿宋_GB2312" w:hAnsi="仿宋_GB2312" w:eastAsia="仿宋_GB2312" w:cs="仿宋_GB2312"/>
                <w:color w:val="000000"/>
                <w:sz w:val="28"/>
                <w:szCs w:val="28"/>
              </w:rPr>
              <w:t>根据科室业务发展，有计划的储备相关专业技术人才，派遣医务人员前往二、三级医疗机构进修学习。在新入职人员培训中，随着业务逐渐开展的情况，培训制度及内容需与时俱进，除了及时更新国家相关政策及法律法规外，需要完善相关的基本临床技能操作培训。</w:t>
            </w:r>
          </w:p>
          <w:p w14:paraId="4F5E4BD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仿宋_GB2312" w:hAnsi="仿宋_GB2312" w:eastAsia="仿宋_GB2312" w:cs="仿宋_GB2312"/>
                <w:b w:val="0"/>
                <w:bCs w:val="0"/>
                <w:sz w:val="28"/>
                <w:szCs w:val="28"/>
                <w:lang w:val="en-US" w:eastAsia="zh-CN"/>
              </w:rPr>
            </w:pPr>
          </w:p>
        </w:tc>
      </w:tr>
      <w:tr w14:paraId="590ACAA5">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FFFFFF"/>
            <w:vAlign w:val="center"/>
          </w:tcPr>
          <w:p w14:paraId="3304E39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绩效评价</w:t>
            </w:r>
          </w:p>
          <w:p w14:paraId="0407C28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工作过程</w:t>
            </w:r>
          </w:p>
        </w:tc>
        <w:tc>
          <w:tcPr>
            <w:tcW w:w="7280" w:type="dxa"/>
            <w:gridSpan w:val="10"/>
            <w:tcBorders>
              <w:tl2br w:val="nil"/>
              <w:tr2bl w:val="nil"/>
            </w:tcBorders>
            <w:shd w:val="clear" w:color="auto" w:fill="FFFFFF"/>
            <w:vAlign w:val="center"/>
          </w:tcPr>
          <w:p w14:paraId="35C8D1CB">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仿宋_GB2312" w:hAnsi="仿宋_GB2312" w:eastAsia="仿宋_GB2312" w:cs="仿宋_GB2312"/>
                <w:b w:val="0"/>
                <w:bCs w:val="0"/>
                <w:sz w:val="28"/>
                <w:szCs w:val="28"/>
                <w:lang w:val="en-US" w:eastAsia="zh-CN"/>
              </w:rPr>
            </w:pPr>
            <w:r>
              <w:rPr>
                <w:rStyle w:val="15"/>
                <w:rFonts w:hint="eastAsia" w:ascii="仿宋_GB2312" w:hAnsi="仿宋_GB2312" w:eastAsia="仿宋_GB2312" w:cs="仿宋_GB2312"/>
                <w:b w:val="0"/>
                <w:bCs/>
                <w:color w:val="333333"/>
                <w:sz w:val="28"/>
                <w:szCs w:val="28"/>
                <w:shd w:val="clear" w:color="auto" w:fill="FFFFFF"/>
              </w:rPr>
              <w:t>根据</w:t>
            </w:r>
            <w:r>
              <w:rPr>
                <w:rStyle w:val="15"/>
                <w:rFonts w:hint="eastAsia" w:ascii="仿宋_GB2312" w:hAnsi="仿宋_GB2312" w:eastAsia="仿宋_GB2312" w:cs="仿宋_GB2312"/>
                <w:b w:val="0"/>
                <w:bCs/>
                <w:color w:val="333333"/>
                <w:kern w:val="1"/>
                <w:sz w:val="28"/>
                <w:szCs w:val="28"/>
                <w:shd w:val="clear" w:color="auto" w:fill="FFFFFF"/>
              </w:rPr>
              <w:t>《兰州新区财政局（国有资产监督管理局）</w:t>
            </w:r>
            <w:r>
              <w:rPr>
                <w:rStyle w:val="15"/>
                <w:rFonts w:hint="eastAsia" w:ascii="仿宋_GB2312" w:hAnsi="仿宋_GB2312" w:eastAsia="仿宋_GB2312" w:cs="仿宋_GB2312"/>
                <w:b w:val="0"/>
                <w:bCs/>
                <w:color w:val="333333"/>
                <w:sz w:val="28"/>
                <w:szCs w:val="28"/>
                <w:shd w:val="clear" w:color="auto" w:fill="FFFFFF"/>
              </w:rPr>
              <w:t>关于开展2022年度预算执行情况绩效单位自评工作的通知》（兰新财发〔2023〕36号）文件精神</w:t>
            </w:r>
            <w:r>
              <w:rPr>
                <w:rStyle w:val="15"/>
                <w:rFonts w:hint="eastAsia" w:ascii="仿宋_GB2312" w:hAnsi="仿宋_GB2312" w:eastAsia="仿宋_GB2312" w:cs="仿宋_GB2312"/>
                <w:b w:val="0"/>
                <w:bCs/>
                <w:color w:val="333333"/>
                <w:kern w:val="1"/>
                <w:sz w:val="28"/>
                <w:szCs w:val="28"/>
                <w:shd w:val="clear" w:color="auto" w:fill="FFFFFF"/>
              </w:rPr>
              <w:t>，我院积极开展此次预算执行的自评活动，根据文件要求检查相关资料，进行绩效自评的分析与总结。</w:t>
            </w:r>
          </w:p>
        </w:tc>
      </w:tr>
      <w:tr w14:paraId="21431AE1">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972" w:type="dxa"/>
            <w:gridSpan w:val="13"/>
            <w:tcBorders>
              <w:tl2br w:val="nil"/>
              <w:tr2bl w:val="nil"/>
            </w:tcBorders>
            <w:shd w:val="clear" w:color="auto" w:fill="FFFFFF"/>
            <w:vAlign w:val="center"/>
          </w:tcPr>
          <w:p w14:paraId="7069012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bCs/>
                <w:sz w:val="28"/>
                <w:szCs w:val="28"/>
                <w:lang w:val="en-US" w:eastAsia="zh-CN"/>
              </w:rPr>
              <w:t>四、评价结论和绩效分析</w:t>
            </w:r>
          </w:p>
        </w:tc>
      </w:tr>
      <w:tr w14:paraId="2E11E13A">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17" w:type="dxa"/>
            <w:gridSpan w:val="2"/>
            <w:tcBorders>
              <w:tl2br w:val="nil"/>
              <w:tr2bl w:val="nil"/>
            </w:tcBorders>
            <w:shd w:val="clear" w:color="auto" w:fill="FFFFFF"/>
            <w:vAlign w:val="center"/>
          </w:tcPr>
          <w:p w14:paraId="5DDEC71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综合评价结论</w:t>
            </w:r>
          </w:p>
        </w:tc>
        <w:tc>
          <w:tcPr>
            <w:tcW w:w="1810" w:type="dxa"/>
            <w:gridSpan w:val="4"/>
            <w:tcBorders>
              <w:tl2br w:val="nil"/>
              <w:tr2bl w:val="nil"/>
            </w:tcBorders>
            <w:shd w:val="clear" w:color="auto" w:fill="FFFFFF"/>
            <w:vAlign w:val="center"/>
          </w:tcPr>
          <w:p w14:paraId="29E0B2D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bCs/>
                <w:sz w:val="28"/>
                <w:szCs w:val="28"/>
                <w:lang w:val="en-US" w:eastAsia="zh-CN"/>
              </w:rPr>
              <w:t>评价得分</w:t>
            </w:r>
          </w:p>
        </w:tc>
        <w:tc>
          <w:tcPr>
            <w:tcW w:w="2495" w:type="dxa"/>
            <w:gridSpan w:val="3"/>
            <w:tcBorders>
              <w:tl2br w:val="nil"/>
              <w:tr2bl w:val="nil"/>
            </w:tcBorders>
            <w:shd w:val="clear" w:color="auto" w:fill="FFFFFF"/>
            <w:vAlign w:val="center"/>
          </w:tcPr>
          <w:p w14:paraId="4170BF9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98分</w:t>
            </w:r>
          </w:p>
        </w:tc>
        <w:tc>
          <w:tcPr>
            <w:tcW w:w="2355" w:type="dxa"/>
            <w:gridSpan w:val="3"/>
            <w:tcBorders>
              <w:tl2br w:val="nil"/>
              <w:tr2bl w:val="nil"/>
            </w:tcBorders>
            <w:shd w:val="clear" w:color="auto" w:fill="FFFFFF"/>
            <w:vAlign w:val="center"/>
          </w:tcPr>
          <w:p w14:paraId="04F56CF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bCs/>
                <w:sz w:val="28"/>
                <w:szCs w:val="28"/>
                <w:lang w:val="en-US" w:eastAsia="zh-CN"/>
              </w:rPr>
              <w:t>评价等级</w:t>
            </w:r>
          </w:p>
        </w:tc>
        <w:tc>
          <w:tcPr>
            <w:tcW w:w="1295" w:type="dxa"/>
            <w:tcBorders>
              <w:tl2br w:val="nil"/>
              <w:tr2bl w:val="nil"/>
            </w:tcBorders>
            <w:shd w:val="clear" w:color="auto" w:fill="FFFFFF"/>
            <w:vAlign w:val="center"/>
          </w:tcPr>
          <w:p w14:paraId="5B74A304">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优</w:t>
            </w:r>
          </w:p>
        </w:tc>
      </w:tr>
      <w:tr w14:paraId="73C39A43">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restart"/>
            <w:tcBorders>
              <w:tl2br w:val="nil"/>
              <w:tr2bl w:val="nil"/>
            </w:tcBorders>
            <w:shd w:val="clear" w:color="auto" w:fill="FFFFFF"/>
            <w:vAlign w:val="center"/>
          </w:tcPr>
          <w:p w14:paraId="354DBD5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绩效</w:t>
            </w:r>
          </w:p>
          <w:p w14:paraId="6DAB407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分析</w:t>
            </w:r>
          </w:p>
        </w:tc>
        <w:tc>
          <w:tcPr>
            <w:tcW w:w="945" w:type="dxa"/>
            <w:gridSpan w:val="2"/>
            <w:tcBorders>
              <w:tl2br w:val="nil"/>
              <w:tr2bl w:val="nil"/>
            </w:tcBorders>
            <w:shd w:val="clear" w:color="auto" w:fill="FFFFFF"/>
            <w:vAlign w:val="center"/>
          </w:tcPr>
          <w:p w14:paraId="656BFCE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指标</w:t>
            </w:r>
          </w:p>
        </w:tc>
        <w:tc>
          <w:tcPr>
            <w:tcW w:w="1590" w:type="dxa"/>
            <w:gridSpan w:val="3"/>
            <w:tcBorders>
              <w:tl2br w:val="nil"/>
              <w:tr2bl w:val="nil"/>
            </w:tcBorders>
            <w:shd w:val="clear" w:color="auto" w:fill="FFFFFF"/>
            <w:vAlign w:val="center"/>
          </w:tcPr>
          <w:p w14:paraId="0C16B84F">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部门管理</w:t>
            </w:r>
          </w:p>
        </w:tc>
        <w:tc>
          <w:tcPr>
            <w:tcW w:w="1770" w:type="dxa"/>
            <w:gridSpan w:val="2"/>
            <w:tcBorders>
              <w:tl2br w:val="nil"/>
              <w:tr2bl w:val="nil"/>
            </w:tcBorders>
            <w:shd w:val="clear" w:color="auto" w:fill="FFFFFF"/>
            <w:vAlign w:val="center"/>
          </w:tcPr>
          <w:p w14:paraId="04270D4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履职效果</w:t>
            </w:r>
          </w:p>
        </w:tc>
        <w:tc>
          <w:tcPr>
            <w:tcW w:w="1620" w:type="dxa"/>
            <w:gridSpan w:val="2"/>
            <w:tcBorders>
              <w:tl2br w:val="nil"/>
              <w:tr2bl w:val="nil"/>
            </w:tcBorders>
            <w:shd w:val="clear" w:color="auto" w:fill="FFFFFF"/>
            <w:vAlign w:val="center"/>
          </w:tcPr>
          <w:p w14:paraId="09A8DA05">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能力建设</w:t>
            </w:r>
          </w:p>
        </w:tc>
        <w:tc>
          <w:tcPr>
            <w:tcW w:w="735" w:type="dxa"/>
            <w:tcBorders>
              <w:tl2br w:val="nil"/>
              <w:tr2bl w:val="nil"/>
            </w:tcBorders>
            <w:shd w:val="clear" w:color="auto" w:fill="FFFFFF"/>
            <w:vAlign w:val="center"/>
          </w:tcPr>
          <w:p w14:paraId="0D7558B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满意度</w:t>
            </w:r>
          </w:p>
        </w:tc>
        <w:tc>
          <w:tcPr>
            <w:tcW w:w="1295" w:type="dxa"/>
            <w:tcBorders>
              <w:tl2br w:val="nil"/>
              <w:tr2bl w:val="nil"/>
            </w:tcBorders>
            <w:shd w:val="clear" w:color="auto" w:fill="FFFFFF"/>
            <w:vAlign w:val="center"/>
          </w:tcPr>
          <w:p w14:paraId="6B8B9ED7">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合计</w:t>
            </w:r>
          </w:p>
        </w:tc>
      </w:tr>
      <w:tr w14:paraId="278A0BD3">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continue"/>
            <w:tcBorders>
              <w:tl2br w:val="nil"/>
              <w:tr2bl w:val="nil"/>
            </w:tcBorders>
            <w:shd w:val="clear" w:color="auto" w:fill="FFFFFF"/>
            <w:vAlign w:val="center"/>
          </w:tcPr>
          <w:p w14:paraId="5DDEBE7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sz w:val="28"/>
                <w:szCs w:val="28"/>
                <w:lang w:val="en-US" w:eastAsia="zh-CN"/>
              </w:rPr>
            </w:pPr>
          </w:p>
        </w:tc>
        <w:tc>
          <w:tcPr>
            <w:tcW w:w="945" w:type="dxa"/>
            <w:gridSpan w:val="2"/>
            <w:tcBorders>
              <w:tl2br w:val="nil"/>
              <w:tr2bl w:val="nil"/>
            </w:tcBorders>
            <w:shd w:val="clear" w:color="auto" w:fill="FFFFFF"/>
            <w:vAlign w:val="center"/>
          </w:tcPr>
          <w:p w14:paraId="5EF235B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得分</w:t>
            </w:r>
          </w:p>
        </w:tc>
        <w:tc>
          <w:tcPr>
            <w:tcW w:w="1590" w:type="dxa"/>
            <w:gridSpan w:val="3"/>
            <w:tcBorders>
              <w:tl2br w:val="nil"/>
              <w:tr2bl w:val="nil"/>
            </w:tcBorders>
            <w:shd w:val="clear" w:color="auto" w:fill="FFFFFF"/>
            <w:vAlign w:val="center"/>
          </w:tcPr>
          <w:p w14:paraId="7259EA48">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仿宋_GB2312" w:hAnsi="仿宋_GB2312" w:eastAsia="仿宋_GB2312" w:cs="仿宋_GB2312"/>
                <w:b w:val="0"/>
                <w:bCs w:val="0"/>
                <w:sz w:val="28"/>
                <w:szCs w:val="28"/>
                <w:lang w:val="en-US" w:eastAsia="zh-CN"/>
              </w:rPr>
            </w:pPr>
            <w:r>
              <w:rPr>
                <w:rFonts w:hint="eastAsia" w:cs="仿宋_GB2312"/>
                <w:b w:val="0"/>
                <w:bCs w:val="0"/>
                <w:sz w:val="28"/>
                <w:szCs w:val="28"/>
                <w:lang w:val="en-US" w:eastAsia="zh-CN"/>
              </w:rPr>
              <w:t>19.5</w:t>
            </w:r>
          </w:p>
        </w:tc>
        <w:tc>
          <w:tcPr>
            <w:tcW w:w="1770" w:type="dxa"/>
            <w:gridSpan w:val="2"/>
            <w:tcBorders>
              <w:tl2br w:val="nil"/>
              <w:tr2bl w:val="nil"/>
            </w:tcBorders>
            <w:shd w:val="clear" w:color="auto" w:fill="FFFFFF"/>
            <w:vAlign w:val="center"/>
          </w:tcPr>
          <w:p w14:paraId="66346248">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57</w:t>
            </w:r>
          </w:p>
        </w:tc>
        <w:tc>
          <w:tcPr>
            <w:tcW w:w="1620" w:type="dxa"/>
            <w:gridSpan w:val="2"/>
            <w:tcBorders>
              <w:tl2br w:val="nil"/>
              <w:tr2bl w:val="nil"/>
            </w:tcBorders>
            <w:shd w:val="clear" w:color="auto" w:fill="FFFFFF"/>
            <w:vAlign w:val="center"/>
          </w:tcPr>
          <w:p w14:paraId="5E0E7124">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仿宋_GB2312" w:hAnsi="仿宋_GB2312" w:eastAsia="仿宋_GB2312" w:cs="仿宋_GB2312"/>
                <w:b w:val="0"/>
                <w:bCs w:val="0"/>
                <w:sz w:val="28"/>
                <w:szCs w:val="28"/>
                <w:lang w:val="en-US" w:eastAsia="zh-CN"/>
              </w:rPr>
            </w:pPr>
            <w:r>
              <w:rPr>
                <w:rFonts w:hint="eastAsia" w:cs="仿宋_GB2312"/>
                <w:b w:val="0"/>
                <w:bCs w:val="0"/>
                <w:sz w:val="28"/>
                <w:szCs w:val="28"/>
                <w:lang w:val="en-US" w:eastAsia="zh-CN"/>
              </w:rPr>
              <w:t>10.5</w:t>
            </w:r>
          </w:p>
        </w:tc>
        <w:tc>
          <w:tcPr>
            <w:tcW w:w="735" w:type="dxa"/>
            <w:tcBorders>
              <w:tl2br w:val="nil"/>
              <w:tr2bl w:val="nil"/>
            </w:tcBorders>
            <w:shd w:val="clear" w:color="auto" w:fill="FFFFFF"/>
            <w:vAlign w:val="center"/>
          </w:tcPr>
          <w:p w14:paraId="13F18958">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10</w:t>
            </w:r>
          </w:p>
        </w:tc>
        <w:tc>
          <w:tcPr>
            <w:tcW w:w="1295" w:type="dxa"/>
            <w:tcBorders>
              <w:tl2br w:val="nil"/>
              <w:tr2bl w:val="nil"/>
            </w:tcBorders>
            <w:shd w:val="clear" w:color="auto" w:fill="FFFFFF"/>
            <w:vAlign w:val="center"/>
          </w:tcPr>
          <w:p w14:paraId="1579D5B7">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cs="仿宋_GB2312"/>
                <w:b w:val="0"/>
                <w:bCs w:val="0"/>
                <w:sz w:val="28"/>
                <w:szCs w:val="28"/>
                <w:lang w:val="en-US" w:eastAsia="zh-CN"/>
              </w:rPr>
              <w:t>97</w:t>
            </w:r>
            <w:r>
              <w:rPr>
                <w:rFonts w:hint="eastAsia" w:ascii="仿宋_GB2312" w:hAnsi="仿宋_GB2312" w:eastAsia="仿宋_GB2312" w:cs="仿宋_GB2312"/>
                <w:b w:val="0"/>
                <w:bCs w:val="0"/>
                <w:sz w:val="28"/>
                <w:szCs w:val="28"/>
                <w:lang w:val="en-US" w:eastAsia="zh-CN"/>
              </w:rPr>
              <w:t>分</w:t>
            </w:r>
          </w:p>
        </w:tc>
      </w:tr>
      <w:tr w14:paraId="3CCC589F">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continue"/>
            <w:tcBorders>
              <w:tl2br w:val="nil"/>
              <w:tr2bl w:val="nil"/>
            </w:tcBorders>
            <w:shd w:val="clear" w:color="auto" w:fill="FFFFFF"/>
            <w:vAlign w:val="center"/>
          </w:tcPr>
          <w:p w14:paraId="67B410F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sz w:val="28"/>
                <w:szCs w:val="28"/>
                <w:lang w:val="en-US" w:eastAsia="zh-CN"/>
              </w:rPr>
            </w:pPr>
          </w:p>
        </w:tc>
        <w:tc>
          <w:tcPr>
            <w:tcW w:w="945" w:type="dxa"/>
            <w:gridSpan w:val="2"/>
            <w:tcBorders>
              <w:tl2br w:val="nil"/>
              <w:tr2bl w:val="nil"/>
            </w:tcBorders>
            <w:shd w:val="clear" w:color="auto" w:fill="FFFFFF"/>
            <w:vAlign w:val="center"/>
          </w:tcPr>
          <w:p w14:paraId="349E6CD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得分率</w:t>
            </w:r>
          </w:p>
        </w:tc>
        <w:tc>
          <w:tcPr>
            <w:tcW w:w="1590" w:type="dxa"/>
            <w:gridSpan w:val="3"/>
            <w:tcBorders>
              <w:tl2br w:val="nil"/>
              <w:tr2bl w:val="nil"/>
            </w:tcBorders>
            <w:shd w:val="clear" w:color="auto" w:fill="FFFFFF"/>
            <w:vAlign w:val="center"/>
          </w:tcPr>
          <w:p w14:paraId="09382EE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仿宋_GB2312" w:hAnsi="仿宋_GB2312" w:eastAsia="仿宋_GB2312" w:cs="仿宋_GB2312"/>
                <w:b w:val="0"/>
                <w:bCs w:val="0"/>
                <w:sz w:val="28"/>
                <w:szCs w:val="28"/>
                <w:lang w:val="en-US" w:eastAsia="zh-CN"/>
              </w:rPr>
            </w:pPr>
            <w:r>
              <w:rPr>
                <w:rFonts w:hint="eastAsia" w:cs="仿宋_GB2312"/>
                <w:b w:val="0"/>
                <w:bCs w:val="0"/>
                <w:sz w:val="28"/>
                <w:szCs w:val="28"/>
                <w:lang w:val="en-US" w:eastAsia="zh-CN"/>
              </w:rPr>
              <w:t>97.5%</w:t>
            </w:r>
          </w:p>
        </w:tc>
        <w:tc>
          <w:tcPr>
            <w:tcW w:w="1770" w:type="dxa"/>
            <w:gridSpan w:val="2"/>
            <w:tcBorders>
              <w:tl2br w:val="nil"/>
              <w:tr2bl w:val="nil"/>
            </w:tcBorders>
            <w:shd w:val="clear" w:color="auto" w:fill="FFFFFF"/>
            <w:vAlign w:val="center"/>
          </w:tcPr>
          <w:p w14:paraId="51C5496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96.61%</w:t>
            </w:r>
          </w:p>
        </w:tc>
        <w:tc>
          <w:tcPr>
            <w:tcW w:w="1620" w:type="dxa"/>
            <w:gridSpan w:val="2"/>
            <w:tcBorders>
              <w:tl2br w:val="nil"/>
              <w:tr2bl w:val="nil"/>
            </w:tcBorders>
            <w:shd w:val="clear" w:color="auto" w:fill="FFFFFF"/>
            <w:vAlign w:val="center"/>
          </w:tcPr>
          <w:p w14:paraId="090CBE44">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cs="仿宋_GB2312"/>
                <w:b w:val="0"/>
                <w:bCs w:val="0"/>
                <w:sz w:val="28"/>
                <w:szCs w:val="28"/>
                <w:lang w:val="en-US" w:eastAsia="zh-CN"/>
              </w:rPr>
              <w:t>95.45</w:t>
            </w:r>
            <w:r>
              <w:rPr>
                <w:rFonts w:hint="eastAsia" w:ascii="仿宋_GB2312" w:hAnsi="仿宋_GB2312" w:eastAsia="仿宋_GB2312" w:cs="仿宋_GB2312"/>
                <w:b w:val="0"/>
                <w:bCs w:val="0"/>
                <w:sz w:val="28"/>
                <w:szCs w:val="28"/>
                <w:lang w:val="en-US" w:eastAsia="zh-CN"/>
              </w:rPr>
              <w:t>%</w:t>
            </w:r>
          </w:p>
        </w:tc>
        <w:tc>
          <w:tcPr>
            <w:tcW w:w="735" w:type="dxa"/>
            <w:tcBorders>
              <w:tl2br w:val="nil"/>
              <w:tr2bl w:val="nil"/>
            </w:tcBorders>
            <w:shd w:val="clear" w:color="auto" w:fill="FFFFFF"/>
            <w:vAlign w:val="center"/>
          </w:tcPr>
          <w:p w14:paraId="321FECD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100%</w:t>
            </w:r>
          </w:p>
        </w:tc>
        <w:tc>
          <w:tcPr>
            <w:tcW w:w="1295" w:type="dxa"/>
            <w:tcBorders>
              <w:tl2br w:val="nil"/>
              <w:tr2bl w:val="nil"/>
            </w:tcBorders>
            <w:shd w:val="clear" w:color="auto" w:fill="FFFFFF"/>
            <w:vAlign w:val="center"/>
          </w:tcPr>
          <w:p w14:paraId="4AA00BDF">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cs="仿宋_GB2312"/>
                <w:b w:val="0"/>
                <w:bCs w:val="0"/>
                <w:sz w:val="28"/>
                <w:szCs w:val="28"/>
                <w:lang w:val="en-US" w:eastAsia="zh-CN"/>
              </w:rPr>
              <w:t>97.00</w:t>
            </w:r>
            <w:r>
              <w:rPr>
                <w:rFonts w:hint="eastAsia" w:ascii="仿宋_GB2312" w:hAnsi="仿宋_GB2312" w:eastAsia="仿宋_GB2312" w:cs="仿宋_GB2312"/>
                <w:b w:val="0"/>
                <w:bCs w:val="0"/>
                <w:sz w:val="28"/>
                <w:szCs w:val="28"/>
                <w:lang w:val="en-US" w:eastAsia="zh-CN"/>
              </w:rPr>
              <w:t>%</w:t>
            </w:r>
          </w:p>
        </w:tc>
      </w:tr>
      <w:tr w14:paraId="02013685">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972" w:type="dxa"/>
            <w:gridSpan w:val="13"/>
            <w:tcBorders>
              <w:tl2br w:val="nil"/>
              <w:tr2bl w:val="nil"/>
            </w:tcBorders>
            <w:shd w:val="clear" w:color="auto" w:fill="FFFFFF"/>
            <w:vAlign w:val="center"/>
          </w:tcPr>
          <w:p w14:paraId="18F30A25">
            <w:pPr>
              <w:pStyle w:val="10"/>
              <w:keepNext w:val="0"/>
              <w:keepLines w:val="0"/>
              <w:pageBreakBefore w:val="0"/>
              <w:widowControl/>
              <w:kinsoku/>
              <w:wordWrap/>
              <w:overflowPunct/>
              <w:topLinePunct w:val="0"/>
              <w:autoSpaceDE/>
              <w:autoSpaceDN/>
              <w:bidi w:val="0"/>
              <w:adjustRightInd/>
              <w:snapToGrid/>
              <w:spacing w:line="400" w:lineRule="exact"/>
              <w:ind w:firstLine="562" w:firstLineChars="20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bCs/>
                <w:sz w:val="28"/>
                <w:szCs w:val="28"/>
                <w:lang w:val="en-US" w:eastAsia="zh-CN"/>
              </w:rPr>
              <w:t>五、</w:t>
            </w:r>
            <w:r>
              <w:rPr>
                <w:rFonts w:hint="eastAsia" w:ascii="仿宋_GB2312" w:hAnsi="仿宋_GB2312" w:eastAsia="仿宋_GB2312" w:cs="仿宋_GB2312"/>
                <w:b/>
                <w:bCs/>
                <w:sz w:val="28"/>
                <w:szCs w:val="28"/>
              </w:rPr>
              <w:t>绩效自评结果拟应用和公开情况</w:t>
            </w:r>
          </w:p>
        </w:tc>
      </w:tr>
      <w:tr w14:paraId="0B144061">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2174" w:hRule="atLeast"/>
          <w:jc w:val="center"/>
        </w:trPr>
        <w:tc>
          <w:tcPr>
            <w:tcW w:w="8972" w:type="dxa"/>
            <w:gridSpan w:val="13"/>
            <w:tcBorders>
              <w:tl2br w:val="nil"/>
              <w:tr2bl w:val="nil"/>
            </w:tcBorders>
            <w:shd w:val="clear" w:color="auto" w:fill="FFFFFF"/>
            <w:vAlign w:val="center"/>
          </w:tcPr>
          <w:p w14:paraId="0401B285">
            <w:pPr>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sz w:val="28"/>
                <w:szCs w:val="28"/>
              </w:rPr>
              <w:t>根据本次绩效自评工作的要求及相关文件规定，对预算执行情况自评结果进行了分析总结，进一步了解了有关预算执行的内容，方便在以后能够详细规划下一年度的预算执行，在现有的基础上，对需要整改的内容提前进行整改。</w:t>
            </w:r>
          </w:p>
        </w:tc>
      </w:tr>
      <w:tr w14:paraId="2F96AC07">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50" w:hRule="atLeast"/>
          <w:jc w:val="center"/>
        </w:trPr>
        <w:tc>
          <w:tcPr>
            <w:tcW w:w="8972" w:type="dxa"/>
            <w:gridSpan w:val="13"/>
            <w:tcBorders>
              <w:tl2br w:val="nil"/>
              <w:tr2bl w:val="nil"/>
            </w:tcBorders>
            <w:shd w:val="clear" w:color="auto" w:fill="FFFFFF"/>
            <w:vAlign w:val="center"/>
          </w:tcPr>
          <w:p w14:paraId="5E36A96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bCs/>
                <w:sz w:val="28"/>
                <w:szCs w:val="28"/>
                <w:lang w:val="en-US" w:eastAsia="zh-CN"/>
              </w:rPr>
              <w:t>七、其他需要说明的事项</w:t>
            </w:r>
          </w:p>
        </w:tc>
      </w:tr>
      <w:tr w14:paraId="503F9FFD">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8972" w:type="dxa"/>
            <w:gridSpan w:val="13"/>
            <w:tcBorders>
              <w:tl2br w:val="nil"/>
              <w:tr2bl w:val="nil"/>
            </w:tcBorders>
            <w:shd w:val="clear" w:color="auto" w:fill="FFFFFF"/>
            <w:vAlign w:val="center"/>
          </w:tcPr>
          <w:p w14:paraId="0042B99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无</w:t>
            </w:r>
          </w:p>
        </w:tc>
      </w:tr>
      <w:bookmarkEnd w:id="0"/>
    </w:tbl>
    <w:p w14:paraId="168A819F">
      <w:pPr>
        <w:keepNext w:val="0"/>
        <w:keepLines w:val="0"/>
        <w:pageBreakBefore w:val="0"/>
        <w:kinsoku/>
        <w:wordWrap/>
        <w:overflowPunct/>
        <w:topLinePunct w:val="0"/>
        <w:autoSpaceDE/>
        <w:autoSpaceDN/>
        <w:bidi w:val="0"/>
        <w:adjustRightInd/>
        <w:snapToGrid/>
        <w:spacing w:line="400" w:lineRule="exact"/>
        <w:textAlignment w:val="auto"/>
      </w:pPr>
    </w:p>
    <w:sectPr>
      <w:footerReference r:id="rId5" w:type="default"/>
      <w:pgSz w:w="11906" w:h="16838"/>
      <w:pgMar w:top="1417" w:right="1134" w:bottom="1134" w:left="1134"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E96CEA70-FBA9-46E9-9AAD-7E91FCF7F637}"/>
  </w:font>
  <w:font w:name="仿宋_GB2312">
    <w:panose1 w:val="02010609030101010101"/>
    <w:charset w:val="86"/>
    <w:family w:val="modern"/>
    <w:pitch w:val="default"/>
    <w:sig w:usb0="00000001" w:usb1="080E0000" w:usb2="00000000" w:usb3="00000000" w:csb0="00040000" w:csb1="00000000"/>
    <w:embedRegular r:id="rId2" w:fontKey="{9853E63B-B1E4-4907-AC5A-187B455EE1A8}"/>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00000001" w:usb1="080E0000" w:usb2="00000000" w:usb3="00000000" w:csb0="00040000" w:csb1="00000000"/>
    <w:embedRegular r:id="rId3" w:fontKey="{072F232D-0EA8-4402-A9A7-6B0ADA79D2C0}"/>
  </w:font>
  <w:font w:name="华文中宋">
    <w:panose1 w:val="02010600040101010101"/>
    <w:charset w:val="86"/>
    <w:family w:val="auto"/>
    <w:pitch w:val="default"/>
    <w:sig w:usb0="00000287" w:usb1="080F0000" w:usb2="00000000" w:usb3="00000000" w:csb0="0004009F" w:csb1="DFD70000"/>
    <w:embedRegular r:id="rId4" w:fontKey="{D3F02733-8189-42D9-85FA-8808B513F7B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A08A00">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6B192B">
                          <w:pPr>
                            <w:pStyle w:val="8"/>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D6B192B">
                    <w:pPr>
                      <w:pStyle w:val="8"/>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5FC593"/>
    <w:multiLevelType w:val="singleLevel"/>
    <w:tmpl w:val="115FC593"/>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jZGIxZTVmZjA2ZWRhMWZiYjExNDQ4MGNlOGY4N2EifQ=="/>
  </w:docVars>
  <w:rsids>
    <w:rsidRoot w:val="50362AE6"/>
    <w:rsid w:val="00D76A86"/>
    <w:rsid w:val="01D874CD"/>
    <w:rsid w:val="036E0F6F"/>
    <w:rsid w:val="03973FA9"/>
    <w:rsid w:val="06EB3426"/>
    <w:rsid w:val="07C81D7B"/>
    <w:rsid w:val="0A2A723E"/>
    <w:rsid w:val="0A3F5E74"/>
    <w:rsid w:val="0F82519C"/>
    <w:rsid w:val="112F6356"/>
    <w:rsid w:val="13750B42"/>
    <w:rsid w:val="158B5FE6"/>
    <w:rsid w:val="1BC01759"/>
    <w:rsid w:val="1BD82927"/>
    <w:rsid w:val="1C7D48CD"/>
    <w:rsid w:val="1D01233B"/>
    <w:rsid w:val="1E4A5D6E"/>
    <w:rsid w:val="20176124"/>
    <w:rsid w:val="24D55C78"/>
    <w:rsid w:val="266B6E4E"/>
    <w:rsid w:val="26BE4453"/>
    <w:rsid w:val="272D2898"/>
    <w:rsid w:val="27F03E2A"/>
    <w:rsid w:val="28EA6A6E"/>
    <w:rsid w:val="28EF2E48"/>
    <w:rsid w:val="2A805ED8"/>
    <w:rsid w:val="2CB76567"/>
    <w:rsid w:val="30141682"/>
    <w:rsid w:val="3246394F"/>
    <w:rsid w:val="32A76310"/>
    <w:rsid w:val="332736B7"/>
    <w:rsid w:val="399649CA"/>
    <w:rsid w:val="39D03040"/>
    <w:rsid w:val="41055F0D"/>
    <w:rsid w:val="417C1E8F"/>
    <w:rsid w:val="419A3E69"/>
    <w:rsid w:val="48054931"/>
    <w:rsid w:val="485D55BF"/>
    <w:rsid w:val="4BA61945"/>
    <w:rsid w:val="50362AE6"/>
    <w:rsid w:val="50447C2B"/>
    <w:rsid w:val="52555572"/>
    <w:rsid w:val="533D715B"/>
    <w:rsid w:val="54C310C9"/>
    <w:rsid w:val="54E92EBD"/>
    <w:rsid w:val="55F56D34"/>
    <w:rsid w:val="56582839"/>
    <w:rsid w:val="573F7050"/>
    <w:rsid w:val="5915699E"/>
    <w:rsid w:val="5C641B24"/>
    <w:rsid w:val="5F851FA3"/>
    <w:rsid w:val="5FEE39B7"/>
    <w:rsid w:val="619736C1"/>
    <w:rsid w:val="62564F40"/>
    <w:rsid w:val="65CD64C7"/>
    <w:rsid w:val="680C3C00"/>
    <w:rsid w:val="6FF269CE"/>
    <w:rsid w:val="70721B59"/>
    <w:rsid w:val="726448F9"/>
    <w:rsid w:val="74030452"/>
    <w:rsid w:val="76EF360E"/>
    <w:rsid w:val="775D21EC"/>
    <w:rsid w:val="77B04009"/>
    <w:rsid w:val="77B82F42"/>
    <w:rsid w:val="781E54A5"/>
    <w:rsid w:val="7AE07C8F"/>
    <w:rsid w:val="7D1828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640" w:firstLineChars="200"/>
      <w:jc w:val="both"/>
    </w:pPr>
    <w:rPr>
      <w:rFonts w:ascii="仿宋_GB2312" w:hAnsi="仿宋_GB2312" w:eastAsia="仿宋_GB2312" w:cs="仿宋_GB2312"/>
      <w:kern w:val="2"/>
      <w:sz w:val="32"/>
      <w:szCs w:val="32"/>
      <w:lang w:val="en-US" w:eastAsia="zh-CN" w:bidi="ar-SA"/>
    </w:rPr>
  </w:style>
  <w:style w:type="paragraph" w:styleId="3">
    <w:name w:val="heading 1"/>
    <w:basedOn w:val="1"/>
    <w:next w:val="1"/>
    <w:link w:val="16"/>
    <w:qFormat/>
    <w:uiPriority w:val="0"/>
    <w:pPr>
      <w:keepNext/>
      <w:keepLines/>
      <w:spacing w:line="360" w:lineRule="auto"/>
      <w:ind w:firstLine="480" w:firstLineChars="200"/>
      <w:jc w:val="both"/>
      <w:outlineLvl w:val="0"/>
    </w:pPr>
    <w:rPr>
      <w:rFonts w:ascii="黑体" w:hAnsi="黑体" w:eastAsia="黑体" w:cs="黑体"/>
      <w:kern w:val="44"/>
      <w:szCs w:val="32"/>
    </w:rPr>
  </w:style>
  <w:style w:type="paragraph" w:styleId="4">
    <w:name w:val="heading 2"/>
    <w:basedOn w:val="1"/>
    <w:next w:val="1"/>
    <w:semiHidden/>
    <w:unhideWhenUsed/>
    <w:qFormat/>
    <w:uiPriority w:val="0"/>
    <w:pPr>
      <w:topLinePunct/>
      <w:spacing w:before="0" w:beforeAutospacing="0" w:after="0" w:afterAutospacing="0"/>
      <w:jc w:val="left"/>
      <w:outlineLvl w:val="1"/>
    </w:pPr>
    <w:rPr>
      <w:rFonts w:hint="eastAsia" w:ascii="楷体" w:hAnsi="楷体" w:eastAsia="楷体" w:cs="楷体"/>
      <w:b/>
      <w:bCs/>
      <w:kern w:val="0"/>
      <w:lang w:bidi="ar"/>
    </w:rPr>
  </w:style>
  <w:style w:type="paragraph" w:styleId="5">
    <w:name w:val="heading 3"/>
    <w:basedOn w:val="1"/>
    <w:next w:val="1"/>
    <w:autoRedefine/>
    <w:semiHidden/>
    <w:unhideWhenUsed/>
    <w:qFormat/>
    <w:uiPriority w:val="0"/>
    <w:pPr>
      <w:keepNext/>
      <w:keepLines/>
      <w:spacing w:beforeLines="0" w:beforeAutospacing="0" w:afterLines="0" w:afterAutospacing="0" w:line="360" w:lineRule="auto"/>
      <w:outlineLvl w:val="2"/>
    </w:pPr>
    <w:rPr>
      <w:b/>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7">
    <w:name w:val="heading 6"/>
    <w:basedOn w:val="1"/>
    <w:next w:val="1"/>
    <w:semiHidden/>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14">
    <w:name w:val="Default Paragraph Font"/>
    <w:autoRedefine/>
    <w:semiHidden/>
    <w:qFormat/>
    <w:uiPriority w:val="0"/>
  </w:style>
  <w:style w:type="table" w:default="1" w:styleId="12">
    <w:name w:val="Normal Table"/>
    <w:autoRedefine/>
    <w:semiHidden/>
    <w:qFormat/>
    <w:uiPriority w:val="0"/>
    <w:tblPr>
      <w:tblCellMar>
        <w:top w:w="0" w:type="dxa"/>
        <w:left w:w="108" w:type="dxa"/>
        <w:bottom w:w="0" w:type="dxa"/>
        <w:right w:w="108" w:type="dxa"/>
      </w:tblCellMar>
    </w:tblPr>
  </w:style>
  <w:style w:type="paragraph" w:customStyle="1" w:styleId="2">
    <w:name w:val="样式1"/>
    <w:basedOn w:val="1"/>
    <w:qFormat/>
    <w:uiPriority w:val="0"/>
    <w:rPr>
      <w:rFonts w:eastAsia="仿宋_GB2312"/>
      <w:sz w:val="32"/>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99"/>
    <w:rPr>
      <w:sz w:val="24"/>
    </w:rPr>
  </w:style>
  <w:style w:type="paragraph" w:styleId="11">
    <w:name w:val="index 1"/>
    <w:basedOn w:val="1"/>
    <w:next w:val="1"/>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customStyle="1" w:styleId="16">
    <w:name w:val="标题 1 Char"/>
    <w:link w:val="3"/>
    <w:qFormat/>
    <w:uiPriority w:val="0"/>
    <w:rPr>
      <w:rFonts w:ascii="黑体" w:hAnsi="黑体" w:eastAsia="黑体" w:cs="黑体"/>
      <w:kern w:val="44"/>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2768</Words>
  <Characters>3120</Characters>
  <Lines>0</Lines>
  <Paragraphs>0</Paragraphs>
  <TotalTime>10</TotalTime>
  <ScaleCrop>false</ScaleCrop>
  <LinksUpToDate>false</LinksUpToDate>
  <CharactersWithSpaces>3123</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2023-10-27T06:19:00Z</dcterms:created>
  <dc:creator>阁下。</dc:creator>
  <cp:lastModifiedBy>忧伤゛染指青春</cp:lastModifiedBy>
  <cp:lastPrinted>2024-09-19T07:43:14Z</cp:lastPrinted>
  <dcterms:modified xsi:type="dcterms:W3CDTF">2024-09-20T00:57:32Z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07650FD8169A48F8B679F1C9CE1F8415_13</vt:lpwstr>
  </property>
</Properties>
</file>