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AD1E07">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p>
    <w:p w14:paraId="750A8C22">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永登县秦川中心卫生院2023年度部门整体支出</w:t>
      </w:r>
    </w:p>
    <w:p w14:paraId="5B64C574">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绩效自评报告</w:t>
      </w:r>
    </w:p>
    <w:p w14:paraId="351F3AC4">
      <w:pPr>
        <w:keepNext w:val="0"/>
        <w:keepLines w:val="0"/>
        <w:pageBreakBefore w:val="0"/>
        <w:kinsoku/>
        <w:wordWrap/>
        <w:overflowPunct/>
        <w:topLinePunct w:val="0"/>
        <w:autoSpaceDE/>
        <w:autoSpaceDN/>
        <w:bidi w:val="0"/>
        <w:adjustRightInd/>
        <w:snapToGrid/>
        <w:spacing w:line="400" w:lineRule="exact"/>
        <w:textAlignment w:val="auto"/>
        <w:rPr>
          <w:rFonts w:hint="eastAsia"/>
          <w:lang w:val="en-US" w:eastAsia="zh-CN"/>
        </w:rPr>
      </w:pPr>
    </w:p>
    <w:tbl>
      <w:tblPr>
        <w:tblStyle w:val="12"/>
        <w:tblW w:w="8972"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12"/>
        <w:gridCol w:w="205"/>
        <w:gridCol w:w="675"/>
        <w:gridCol w:w="270"/>
        <w:gridCol w:w="770"/>
        <w:gridCol w:w="95"/>
        <w:gridCol w:w="725"/>
        <w:gridCol w:w="885"/>
        <w:gridCol w:w="885"/>
        <w:gridCol w:w="1130"/>
        <w:gridCol w:w="490"/>
        <w:gridCol w:w="735"/>
        <w:gridCol w:w="1295"/>
      </w:tblGrid>
      <w:tr w14:paraId="4B3E818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972" w:type="dxa"/>
            <w:gridSpan w:val="13"/>
            <w:tcBorders>
              <w:tl2br w:val="nil"/>
              <w:tr2bl w:val="nil"/>
            </w:tcBorders>
            <w:shd w:val="clear" w:color="auto" w:fill="FFFFFF"/>
            <w:vAlign w:val="center"/>
          </w:tcPr>
          <w:p w14:paraId="3413A62D">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bCs/>
                <w:sz w:val="28"/>
                <w:szCs w:val="28"/>
                <w:lang w:val="en-US" w:eastAsia="zh-CN"/>
              </w:rPr>
              <w:t>一、部门整体基本情况</w:t>
            </w:r>
          </w:p>
        </w:tc>
      </w:tr>
      <w:tr w14:paraId="0C80B49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restart"/>
            <w:tcBorders>
              <w:tl2br w:val="nil"/>
              <w:tr2bl w:val="nil"/>
            </w:tcBorders>
            <w:shd w:val="clear" w:color="auto" w:fill="FFFFFF"/>
            <w:vAlign w:val="center"/>
          </w:tcPr>
          <w:p w14:paraId="027283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基本情况</w:t>
            </w:r>
          </w:p>
        </w:tc>
        <w:tc>
          <w:tcPr>
            <w:tcW w:w="1920" w:type="dxa"/>
            <w:gridSpan w:val="4"/>
            <w:tcBorders>
              <w:tl2br w:val="nil"/>
              <w:tr2bl w:val="nil"/>
            </w:tcBorders>
            <w:shd w:val="clear" w:color="auto" w:fill="FFFFFF"/>
            <w:vAlign w:val="center"/>
          </w:tcPr>
          <w:p w14:paraId="6E4EE2C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项目名称</w:t>
            </w:r>
          </w:p>
        </w:tc>
        <w:tc>
          <w:tcPr>
            <w:tcW w:w="6240" w:type="dxa"/>
            <w:gridSpan w:val="8"/>
            <w:tcBorders>
              <w:tl2br w:val="nil"/>
              <w:tr2bl w:val="nil"/>
            </w:tcBorders>
            <w:shd w:val="clear" w:color="auto" w:fill="FFFFFF"/>
            <w:vAlign w:val="center"/>
          </w:tcPr>
          <w:p w14:paraId="263980B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永登县秦川中心卫生院2023年度部门整体支出绩效自评</w:t>
            </w:r>
          </w:p>
        </w:tc>
      </w:tr>
      <w:tr w14:paraId="1C99EFE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7527685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5F7793B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评价年度</w:t>
            </w:r>
          </w:p>
        </w:tc>
        <w:tc>
          <w:tcPr>
            <w:tcW w:w="1705" w:type="dxa"/>
            <w:gridSpan w:val="3"/>
            <w:tcBorders>
              <w:tl2br w:val="nil"/>
              <w:tr2bl w:val="nil"/>
            </w:tcBorders>
            <w:shd w:val="clear" w:color="auto" w:fill="FFFFFF"/>
            <w:vAlign w:val="center"/>
          </w:tcPr>
          <w:p w14:paraId="2405FE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2023年度</w:t>
            </w:r>
          </w:p>
        </w:tc>
        <w:tc>
          <w:tcPr>
            <w:tcW w:w="2015" w:type="dxa"/>
            <w:gridSpan w:val="2"/>
            <w:tcBorders>
              <w:tl2br w:val="nil"/>
              <w:tr2bl w:val="nil"/>
            </w:tcBorders>
            <w:shd w:val="clear" w:color="auto" w:fill="FFFFFF"/>
            <w:vAlign w:val="center"/>
          </w:tcPr>
          <w:p w14:paraId="06FD57C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评价类型</w:t>
            </w:r>
          </w:p>
        </w:tc>
        <w:tc>
          <w:tcPr>
            <w:tcW w:w="2520" w:type="dxa"/>
            <w:gridSpan w:val="3"/>
            <w:tcBorders>
              <w:tl2br w:val="nil"/>
              <w:tr2bl w:val="nil"/>
            </w:tcBorders>
            <w:shd w:val="clear" w:color="auto" w:fill="FFFFFF"/>
            <w:vAlign w:val="center"/>
          </w:tcPr>
          <w:p w14:paraId="0B0CC36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单位自评</w:t>
            </w:r>
          </w:p>
        </w:tc>
      </w:tr>
      <w:tr w14:paraId="7F34E41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812" w:type="dxa"/>
            <w:tcBorders>
              <w:tl2br w:val="nil"/>
              <w:tr2bl w:val="nil"/>
            </w:tcBorders>
            <w:shd w:val="clear" w:color="auto" w:fill="FFFFFF"/>
            <w:vAlign w:val="center"/>
          </w:tcPr>
          <w:p w14:paraId="4493800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实施目的</w:t>
            </w:r>
          </w:p>
        </w:tc>
        <w:tc>
          <w:tcPr>
            <w:tcW w:w="8160" w:type="dxa"/>
            <w:gridSpan w:val="12"/>
            <w:tcBorders>
              <w:tl2br w:val="nil"/>
              <w:tr2bl w:val="nil"/>
            </w:tcBorders>
            <w:shd w:val="clear" w:color="auto" w:fill="FFFFFF"/>
            <w:vAlign w:val="center"/>
          </w:tcPr>
          <w:p w14:paraId="16C6C1D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通过综合分析永登县秦川中心卫生院部门整体支出预算编制的合理性和科学性、预算执行的时效性、预算控制和监督的有效性，以及单位基本运转、履职尽责和履职效能等情况；同时重点关注单位内部控制管理、非税收入管理等情况，全面考核单位整体支出和履职职能的匹配程度，及时发现单位存在的不足和问题，提出合理意见建议，从而提升单位整体预算绩效管理水平，提高财政资金、事业收入等资金的使用效益。</w:t>
            </w:r>
          </w:p>
        </w:tc>
      </w:tr>
      <w:tr w14:paraId="743A56D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restart"/>
            <w:tcBorders>
              <w:tl2br w:val="nil"/>
              <w:tr2bl w:val="nil"/>
            </w:tcBorders>
            <w:shd w:val="clear" w:color="auto" w:fill="FFFFFF"/>
            <w:vAlign w:val="center"/>
          </w:tcPr>
          <w:p w14:paraId="6AC92FA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资金情况（万元）</w:t>
            </w:r>
          </w:p>
        </w:tc>
        <w:tc>
          <w:tcPr>
            <w:tcW w:w="1920" w:type="dxa"/>
            <w:gridSpan w:val="4"/>
            <w:tcBorders>
              <w:tl2br w:val="nil"/>
              <w:tr2bl w:val="nil"/>
            </w:tcBorders>
            <w:shd w:val="clear" w:color="auto" w:fill="FFFFFF"/>
            <w:vAlign w:val="center"/>
          </w:tcPr>
          <w:p w14:paraId="327EC8B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年初收入预算</w:t>
            </w:r>
          </w:p>
        </w:tc>
        <w:tc>
          <w:tcPr>
            <w:tcW w:w="1705" w:type="dxa"/>
            <w:gridSpan w:val="3"/>
            <w:tcBorders>
              <w:tl2br w:val="nil"/>
              <w:tr2bl w:val="nil"/>
            </w:tcBorders>
            <w:shd w:val="clear" w:color="auto" w:fill="FFFFFF"/>
            <w:vAlign w:val="center"/>
          </w:tcPr>
          <w:p w14:paraId="0C5DFDA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976.41</w:t>
            </w:r>
          </w:p>
        </w:tc>
        <w:tc>
          <w:tcPr>
            <w:tcW w:w="2015" w:type="dxa"/>
            <w:gridSpan w:val="2"/>
            <w:tcBorders>
              <w:tl2br w:val="nil"/>
              <w:tr2bl w:val="nil"/>
            </w:tcBorders>
            <w:shd w:val="clear" w:color="auto" w:fill="FFFFFF"/>
            <w:vAlign w:val="center"/>
          </w:tcPr>
          <w:p w14:paraId="078D5E6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全年收入预算</w:t>
            </w:r>
          </w:p>
        </w:tc>
        <w:tc>
          <w:tcPr>
            <w:tcW w:w="2520" w:type="dxa"/>
            <w:gridSpan w:val="3"/>
            <w:tcBorders>
              <w:tl2br w:val="nil"/>
              <w:tr2bl w:val="nil"/>
            </w:tcBorders>
            <w:shd w:val="clear" w:color="auto" w:fill="FFFFFF"/>
            <w:vAlign w:val="center"/>
          </w:tcPr>
          <w:p w14:paraId="07B06E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2813.87</w:t>
            </w:r>
          </w:p>
        </w:tc>
      </w:tr>
      <w:tr w14:paraId="1D7B278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43A4001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752FC9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kern w:val="2"/>
                <w:sz w:val="28"/>
                <w:szCs w:val="28"/>
                <w:vertAlign w:val="baseline"/>
                <w:lang w:val="en-US" w:eastAsia="zh-CN" w:bidi="ar-SA"/>
              </w:rPr>
            </w:pPr>
            <w:r>
              <w:rPr>
                <w:rFonts w:hint="eastAsia" w:ascii="仿宋_GB2312" w:hAnsi="仿宋_GB2312" w:eastAsia="仿宋_GB2312" w:cs="仿宋_GB2312"/>
                <w:b/>
                <w:bCs/>
                <w:color w:val="000000"/>
                <w:sz w:val="28"/>
                <w:szCs w:val="28"/>
                <w:vertAlign w:val="baseline"/>
                <w:lang w:val="en-US" w:eastAsia="zh-CN"/>
              </w:rPr>
              <w:t>使用结转结余</w:t>
            </w:r>
          </w:p>
        </w:tc>
        <w:tc>
          <w:tcPr>
            <w:tcW w:w="1705" w:type="dxa"/>
            <w:gridSpan w:val="3"/>
            <w:tcBorders>
              <w:tl2br w:val="nil"/>
              <w:tr2bl w:val="nil"/>
            </w:tcBorders>
            <w:shd w:val="clear" w:color="auto" w:fill="FFFFFF"/>
            <w:vAlign w:val="center"/>
          </w:tcPr>
          <w:p w14:paraId="65B3190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kern w:val="2"/>
                <w:sz w:val="28"/>
                <w:szCs w:val="28"/>
                <w:vertAlign w:val="baseline"/>
                <w:lang w:val="en-US" w:eastAsia="zh-CN" w:bidi="ar-SA"/>
              </w:rPr>
            </w:pPr>
            <w:r>
              <w:rPr>
                <w:rFonts w:hint="eastAsia" w:ascii="仿宋_GB2312" w:hAnsi="仿宋_GB2312" w:eastAsia="仿宋_GB2312" w:cs="仿宋_GB2312"/>
                <w:b w:val="0"/>
                <w:color w:val="000000"/>
                <w:sz w:val="28"/>
                <w:szCs w:val="28"/>
                <w:vertAlign w:val="baseline"/>
                <w:lang w:val="en-US" w:eastAsia="zh-CN"/>
              </w:rPr>
              <w:t>83.19</w:t>
            </w:r>
          </w:p>
        </w:tc>
        <w:tc>
          <w:tcPr>
            <w:tcW w:w="2015" w:type="dxa"/>
            <w:gridSpan w:val="2"/>
            <w:tcBorders>
              <w:tl2br w:val="nil"/>
              <w:tr2bl w:val="nil"/>
            </w:tcBorders>
            <w:shd w:val="clear" w:color="auto" w:fill="FFFFFF"/>
            <w:vAlign w:val="center"/>
          </w:tcPr>
          <w:p w14:paraId="436A65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kern w:val="2"/>
                <w:sz w:val="28"/>
                <w:szCs w:val="28"/>
                <w:vertAlign w:val="baseline"/>
                <w:lang w:val="en-US" w:eastAsia="zh-CN" w:bidi="ar-SA"/>
              </w:rPr>
            </w:pPr>
            <w:r>
              <w:rPr>
                <w:rFonts w:hint="eastAsia" w:ascii="仿宋_GB2312" w:hAnsi="仿宋_GB2312" w:eastAsia="仿宋_GB2312" w:cs="仿宋_GB2312"/>
                <w:b/>
                <w:bCs/>
                <w:color w:val="000000"/>
                <w:sz w:val="28"/>
                <w:szCs w:val="28"/>
                <w:vertAlign w:val="baseline"/>
                <w:lang w:val="en-US" w:eastAsia="zh-CN"/>
              </w:rPr>
              <w:t>收入决算数</w:t>
            </w:r>
          </w:p>
        </w:tc>
        <w:tc>
          <w:tcPr>
            <w:tcW w:w="2520" w:type="dxa"/>
            <w:gridSpan w:val="3"/>
            <w:tcBorders>
              <w:tl2br w:val="nil"/>
              <w:tr2bl w:val="nil"/>
            </w:tcBorders>
            <w:shd w:val="clear" w:color="auto" w:fill="FFFFFF"/>
            <w:vAlign w:val="center"/>
          </w:tcPr>
          <w:p w14:paraId="03EB59D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kern w:val="2"/>
                <w:sz w:val="28"/>
                <w:szCs w:val="28"/>
                <w:vertAlign w:val="baseline"/>
                <w:lang w:val="en-US" w:eastAsia="zh-CN" w:bidi="ar-SA"/>
              </w:rPr>
            </w:pPr>
            <w:bookmarkStart w:id="0" w:name="_GoBack"/>
            <w:bookmarkEnd w:id="0"/>
            <w:r>
              <w:rPr>
                <w:rFonts w:hint="eastAsia" w:ascii="仿宋_GB2312" w:hAnsi="仿宋_GB2312" w:eastAsia="仿宋_GB2312" w:cs="仿宋_GB2312"/>
                <w:b w:val="0"/>
                <w:color w:val="000000"/>
                <w:sz w:val="28"/>
                <w:szCs w:val="28"/>
                <w:vertAlign w:val="baseline"/>
                <w:lang w:val="en-US" w:eastAsia="zh-CN"/>
              </w:rPr>
              <w:t>2897.06</w:t>
            </w:r>
          </w:p>
        </w:tc>
      </w:tr>
      <w:tr w14:paraId="325C128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408402E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2D47929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支出年初预算</w:t>
            </w:r>
          </w:p>
        </w:tc>
        <w:tc>
          <w:tcPr>
            <w:tcW w:w="1705" w:type="dxa"/>
            <w:gridSpan w:val="3"/>
            <w:tcBorders>
              <w:tl2br w:val="nil"/>
              <w:tr2bl w:val="nil"/>
            </w:tcBorders>
            <w:shd w:val="clear" w:color="auto" w:fill="FFFFFF"/>
            <w:vAlign w:val="center"/>
          </w:tcPr>
          <w:p w14:paraId="063A45A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976.41</w:t>
            </w:r>
          </w:p>
        </w:tc>
        <w:tc>
          <w:tcPr>
            <w:tcW w:w="2015" w:type="dxa"/>
            <w:gridSpan w:val="2"/>
            <w:tcBorders>
              <w:tl2br w:val="nil"/>
              <w:tr2bl w:val="nil"/>
            </w:tcBorders>
            <w:shd w:val="clear" w:color="auto" w:fill="FFFFFF"/>
            <w:vAlign w:val="center"/>
          </w:tcPr>
          <w:p w14:paraId="0537E0B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bCs w:val="0"/>
                <w:color w:val="000000"/>
                <w:kern w:val="2"/>
                <w:sz w:val="28"/>
                <w:szCs w:val="28"/>
                <w:vertAlign w:val="baseline"/>
                <w:lang w:val="en-US" w:eastAsia="zh-CN" w:bidi="ar-SA"/>
              </w:rPr>
            </w:pPr>
            <w:r>
              <w:rPr>
                <w:rFonts w:hint="eastAsia" w:ascii="仿宋_GB2312" w:hAnsi="仿宋_GB2312" w:eastAsia="仿宋_GB2312" w:cs="仿宋_GB2312"/>
                <w:b/>
                <w:bCs/>
                <w:color w:val="000000"/>
                <w:kern w:val="2"/>
                <w:sz w:val="28"/>
                <w:szCs w:val="28"/>
                <w:vertAlign w:val="baseline"/>
                <w:lang w:val="en-US" w:eastAsia="zh-CN" w:bidi="ar-SA"/>
              </w:rPr>
              <w:t>支出全年预算</w:t>
            </w:r>
          </w:p>
        </w:tc>
        <w:tc>
          <w:tcPr>
            <w:tcW w:w="2520" w:type="dxa"/>
            <w:gridSpan w:val="3"/>
            <w:tcBorders>
              <w:tl2br w:val="nil"/>
              <w:tr2bl w:val="nil"/>
            </w:tcBorders>
            <w:shd w:val="clear" w:color="auto" w:fill="FFFFFF"/>
            <w:vAlign w:val="center"/>
          </w:tcPr>
          <w:p w14:paraId="4637142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kern w:val="2"/>
                <w:sz w:val="28"/>
                <w:szCs w:val="28"/>
                <w:vertAlign w:val="baseline"/>
                <w:lang w:val="en-US" w:eastAsia="zh-CN" w:bidi="ar-SA"/>
              </w:rPr>
            </w:pPr>
            <w:r>
              <w:rPr>
                <w:rFonts w:hint="eastAsia" w:ascii="仿宋_GB2312" w:hAnsi="仿宋_GB2312" w:eastAsia="仿宋_GB2312" w:cs="仿宋_GB2312"/>
                <w:b w:val="0"/>
                <w:color w:val="000000"/>
                <w:kern w:val="2"/>
                <w:sz w:val="28"/>
                <w:szCs w:val="28"/>
                <w:vertAlign w:val="baseline"/>
                <w:lang w:val="en-US" w:eastAsia="zh-CN" w:bidi="ar-SA"/>
              </w:rPr>
              <w:t>2897.06</w:t>
            </w:r>
          </w:p>
        </w:tc>
      </w:tr>
      <w:tr w14:paraId="41355F8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2ABA115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5DBECCD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支出决算数</w:t>
            </w:r>
          </w:p>
        </w:tc>
        <w:tc>
          <w:tcPr>
            <w:tcW w:w="1705" w:type="dxa"/>
            <w:gridSpan w:val="3"/>
            <w:tcBorders>
              <w:tl2br w:val="nil"/>
              <w:tr2bl w:val="nil"/>
            </w:tcBorders>
            <w:shd w:val="clear" w:color="auto" w:fill="FFFFFF"/>
            <w:vAlign w:val="center"/>
          </w:tcPr>
          <w:p w14:paraId="4FDE371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2897.06</w:t>
            </w:r>
          </w:p>
        </w:tc>
        <w:tc>
          <w:tcPr>
            <w:tcW w:w="2015" w:type="dxa"/>
            <w:gridSpan w:val="2"/>
            <w:tcBorders>
              <w:tl2br w:val="nil"/>
              <w:tr2bl w:val="nil"/>
            </w:tcBorders>
            <w:shd w:val="clear" w:color="auto" w:fill="FFFFFF"/>
            <w:vAlign w:val="center"/>
          </w:tcPr>
          <w:p w14:paraId="4D05AD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年末结转结余</w:t>
            </w:r>
          </w:p>
        </w:tc>
        <w:tc>
          <w:tcPr>
            <w:tcW w:w="2520" w:type="dxa"/>
            <w:gridSpan w:val="3"/>
            <w:tcBorders>
              <w:tl2br w:val="nil"/>
              <w:tr2bl w:val="nil"/>
            </w:tcBorders>
            <w:shd w:val="clear" w:color="auto" w:fill="FFFFFF"/>
            <w:vAlign w:val="center"/>
          </w:tcPr>
          <w:p w14:paraId="71C389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0.00</w:t>
            </w:r>
          </w:p>
        </w:tc>
      </w:tr>
      <w:tr w14:paraId="5FBC2CC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812" w:type="dxa"/>
            <w:vMerge w:val="continue"/>
            <w:tcBorders>
              <w:tl2br w:val="nil"/>
              <w:tr2bl w:val="nil"/>
            </w:tcBorders>
            <w:shd w:val="clear" w:color="auto" w:fill="FFFFFF"/>
            <w:vAlign w:val="center"/>
          </w:tcPr>
          <w:p w14:paraId="3B36932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p>
        </w:tc>
        <w:tc>
          <w:tcPr>
            <w:tcW w:w="1920" w:type="dxa"/>
            <w:gridSpan w:val="4"/>
            <w:tcBorders>
              <w:tl2br w:val="nil"/>
              <w:tr2bl w:val="nil"/>
            </w:tcBorders>
            <w:shd w:val="clear" w:color="auto" w:fill="FFFFFF"/>
            <w:vAlign w:val="center"/>
          </w:tcPr>
          <w:p w14:paraId="7D5632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color w:val="000000"/>
                <w:sz w:val="28"/>
                <w:szCs w:val="28"/>
                <w:vertAlign w:val="baseline"/>
                <w:lang w:val="en-US" w:eastAsia="zh-CN"/>
              </w:rPr>
            </w:pPr>
            <w:r>
              <w:rPr>
                <w:rFonts w:hint="eastAsia" w:ascii="仿宋_GB2312" w:hAnsi="仿宋_GB2312" w:eastAsia="仿宋_GB2312" w:cs="仿宋_GB2312"/>
                <w:b/>
                <w:bCs/>
                <w:color w:val="000000"/>
                <w:sz w:val="28"/>
                <w:szCs w:val="28"/>
                <w:vertAlign w:val="baseline"/>
                <w:lang w:val="en-US" w:eastAsia="zh-CN"/>
              </w:rPr>
              <w:t>预算执行率</w:t>
            </w:r>
          </w:p>
        </w:tc>
        <w:tc>
          <w:tcPr>
            <w:tcW w:w="6240" w:type="dxa"/>
            <w:gridSpan w:val="8"/>
            <w:tcBorders>
              <w:tl2br w:val="nil"/>
              <w:tr2bl w:val="nil"/>
            </w:tcBorders>
            <w:shd w:val="clear" w:color="auto" w:fill="FFFFFF"/>
            <w:vAlign w:val="center"/>
          </w:tcPr>
          <w:p w14:paraId="699B2A7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val="0"/>
                <w:color w:val="000000"/>
                <w:sz w:val="28"/>
                <w:szCs w:val="28"/>
                <w:vertAlign w:val="baseline"/>
                <w:lang w:val="en-US" w:eastAsia="zh-CN"/>
              </w:rPr>
              <w:t>100%</w:t>
            </w:r>
          </w:p>
        </w:tc>
      </w:tr>
      <w:tr w14:paraId="59FEABE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972" w:type="dxa"/>
            <w:gridSpan w:val="13"/>
            <w:tcBorders>
              <w:tl2br w:val="nil"/>
              <w:tr2bl w:val="nil"/>
            </w:tcBorders>
            <w:shd w:val="clear" w:color="auto" w:fill="FFFFFF"/>
            <w:vAlign w:val="center"/>
          </w:tcPr>
          <w:p w14:paraId="1E7ABDD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val="0"/>
                <w:color w:val="000000"/>
                <w:sz w:val="28"/>
                <w:szCs w:val="28"/>
                <w:vertAlign w:val="baseline"/>
                <w:lang w:val="en-US" w:eastAsia="zh-CN"/>
              </w:rPr>
            </w:pPr>
            <w:r>
              <w:rPr>
                <w:rFonts w:hint="eastAsia" w:ascii="仿宋_GB2312" w:hAnsi="仿宋_GB2312" w:eastAsia="仿宋_GB2312" w:cs="仿宋_GB2312"/>
                <w:b/>
                <w:bCs/>
                <w:sz w:val="28"/>
                <w:szCs w:val="28"/>
                <w:lang w:val="en-US" w:eastAsia="zh-CN"/>
              </w:rPr>
              <w:t>二、部门整体绩效目标</w:t>
            </w:r>
          </w:p>
        </w:tc>
      </w:tr>
      <w:tr w14:paraId="14E9454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1B7C26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年度绩效目标</w:t>
            </w:r>
          </w:p>
        </w:tc>
        <w:tc>
          <w:tcPr>
            <w:tcW w:w="7280" w:type="dxa"/>
            <w:gridSpan w:val="10"/>
            <w:tcBorders>
              <w:tl2br w:val="nil"/>
              <w:tr2bl w:val="nil"/>
            </w:tcBorders>
            <w:shd w:val="clear" w:color="auto" w:fill="FFFFFF"/>
            <w:vAlign w:val="center"/>
          </w:tcPr>
          <w:p w14:paraId="441A5776">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Style w:val="14"/>
                <w:rFonts w:hint="eastAsia" w:ascii="仿宋_GB2312" w:hAnsi="仿宋_GB2312" w:eastAsia="仿宋_GB2312" w:cs="仿宋_GB2312"/>
                <w:b w:val="0"/>
                <w:bCs/>
                <w:color w:val="333333"/>
                <w:sz w:val="28"/>
                <w:szCs w:val="28"/>
                <w:shd w:val="clear" w:color="auto" w:fill="FFFFFF"/>
              </w:rPr>
            </w:pPr>
            <w:r>
              <w:rPr>
                <w:rStyle w:val="14"/>
                <w:rFonts w:hint="eastAsia" w:ascii="仿宋_GB2312" w:hAnsi="仿宋_GB2312" w:eastAsia="仿宋_GB2312" w:cs="仿宋_GB2312"/>
                <w:b w:val="0"/>
                <w:bCs/>
                <w:color w:val="333333"/>
                <w:sz w:val="28"/>
                <w:szCs w:val="28"/>
                <w:shd w:val="clear" w:color="auto" w:fill="FFFFFF"/>
              </w:rPr>
              <w:t>（1）发放医护人员工资，缴纳各类保险；办公经费开支；</w:t>
            </w:r>
          </w:p>
          <w:p w14:paraId="57EF948F">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（2）加强基层医疗机构管理及医护人员队伍建设；</w:t>
            </w:r>
          </w:p>
          <w:p w14:paraId="6424BB75">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（3）强化辖区基本公共服务建设，建立辖区人口健康档案，进行家庭医生签约、提供65岁老年人体检、0-6岁儿童一类疫苗免费接种等多项服务，并积极开展健康宣传活动；</w:t>
            </w:r>
          </w:p>
          <w:p w14:paraId="665DF695">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（4）为单位在岗村医参加城镇职工养老保险支付单位缴纳部分。</w:t>
            </w:r>
          </w:p>
          <w:p w14:paraId="05AC9AD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sz w:val="28"/>
                <w:szCs w:val="28"/>
              </w:rPr>
              <w:t>（5）租赁房屋建筑保障单位业务正常运行。</w:t>
            </w:r>
          </w:p>
        </w:tc>
      </w:tr>
      <w:tr w14:paraId="17DBE9D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712D67D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三、</w:t>
            </w: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基本情况</w:t>
            </w:r>
          </w:p>
        </w:tc>
      </w:tr>
      <w:tr w14:paraId="0B8C885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2DCB6C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范围</w:t>
            </w:r>
          </w:p>
        </w:tc>
        <w:tc>
          <w:tcPr>
            <w:tcW w:w="7280" w:type="dxa"/>
            <w:gridSpan w:val="10"/>
            <w:tcBorders>
              <w:tl2br w:val="nil"/>
              <w:tr2bl w:val="nil"/>
            </w:tcBorders>
            <w:shd w:val="clear" w:color="auto" w:fill="FFFFFF"/>
            <w:vAlign w:val="center"/>
          </w:tcPr>
          <w:p w14:paraId="06A358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永登县秦川中心卫生院2023年度部门全年整体支出情况。</w:t>
            </w:r>
          </w:p>
        </w:tc>
      </w:tr>
      <w:tr w14:paraId="2D9F8DB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86713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cs="仿宋_GB2312"/>
                <w:b/>
                <w:bCs/>
                <w:sz w:val="28"/>
                <w:szCs w:val="28"/>
                <w:lang w:val="en-US" w:eastAsia="zh-CN"/>
              </w:rPr>
              <w:t>自评</w:t>
            </w:r>
            <w:r>
              <w:rPr>
                <w:rFonts w:hint="eastAsia" w:ascii="仿宋_GB2312" w:hAnsi="仿宋_GB2312" w:eastAsia="仿宋_GB2312" w:cs="仿宋_GB2312"/>
                <w:b/>
                <w:bCs/>
                <w:sz w:val="28"/>
                <w:szCs w:val="28"/>
                <w:lang w:val="en-US" w:eastAsia="zh-CN"/>
              </w:rPr>
              <w:t>依据</w:t>
            </w:r>
          </w:p>
        </w:tc>
        <w:tc>
          <w:tcPr>
            <w:tcW w:w="7280" w:type="dxa"/>
            <w:gridSpan w:val="10"/>
            <w:tcBorders>
              <w:tl2br w:val="nil"/>
              <w:tr2bl w:val="nil"/>
            </w:tcBorders>
            <w:shd w:val="clear" w:color="auto" w:fill="FFFFFF"/>
            <w:vAlign w:val="center"/>
          </w:tcPr>
          <w:p w14:paraId="5DDD061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1.《中华人民共和国预算法》；</w:t>
            </w:r>
          </w:p>
          <w:p w14:paraId="7B56968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2.《中共中央 国务院关于全面实施预算绩效管理的意见》（中发〔2018〕34号）；</w:t>
            </w:r>
          </w:p>
          <w:p w14:paraId="6357F6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3.《财政部关于印发&lt;预算绩效评价共性指标体系框架&gt;的通知》（财预〔2013〕53号）；</w:t>
            </w:r>
          </w:p>
          <w:p w14:paraId="5E677B1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4.《财政部关于规范绩效评价结果等级划分标准的通知》（财预便〔2017〕44号）；</w:t>
            </w:r>
          </w:p>
          <w:p w14:paraId="169EC85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5.《甘肃省委 省政府关于全面实施预算绩效管理的实施意见》（甘发〔2018〕32号）；</w:t>
            </w:r>
          </w:p>
          <w:p w14:paraId="5D9B552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6.《兰州新区管委会办公室关于印发&lt;兰州新区全面推进预算绩效管理实施细则&gt;的通知》;</w:t>
            </w:r>
          </w:p>
          <w:p w14:paraId="636D466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7.《永登县秦川中心卫生院财务管理制度》《永登县秦川中心卫生院固定资产管理制度》等相关制度文件；</w:t>
            </w:r>
          </w:p>
          <w:p w14:paraId="4795617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8.部门2023年度预决算公开报表及情况说明；</w:t>
            </w:r>
          </w:p>
          <w:p w14:paraId="412047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9、2023年度预算执行情况绩效目标表、监控表、监控报告、自评表等；</w:t>
            </w:r>
          </w:p>
          <w:p w14:paraId="07C591A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10.各项支出财务凭证等其他相关资料。</w:t>
            </w:r>
          </w:p>
        </w:tc>
      </w:tr>
      <w:tr w14:paraId="43F774C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10DFBC7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绩效自评指标体系</w:t>
            </w:r>
          </w:p>
        </w:tc>
        <w:tc>
          <w:tcPr>
            <w:tcW w:w="7280" w:type="dxa"/>
            <w:gridSpan w:val="10"/>
            <w:tcBorders>
              <w:tl2br w:val="nil"/>
              <w:tr2bl w:val="nil"/>
            </w:tcBorders>
            <w:shd w:val="clear" w:color="auto" w:fill="FFFFFF"/>
            <w:vAlign w:val="center"/>
          </w:tcPr>
          <w:p w14:paraId="11B2359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本次绩效评价指标体系设计思路主要是根据永登县秦川中心卫生院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永登县秦川中心卫生院2023年度部门整体工作，具体评价指标包括4项一级指标，并在一级指标基础上细化延伸16项二级指标及29项三级指标。指标体系的数据源于部门履职各项资料、基础数据表及调查问卷分析情况等资料。</w:t>
            </w:r>
          </w:p>
        </w:tc>
      </w:tr>
      <w:tr w14:paraId="24669AC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692680D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绩效目标完成情况</w:t>
            </w:r>
          </w:p>
        </w:tc>
        <w:tc>
          <w:tcPr>
            <w:tcW w:w="7280" w:type="dxa"/>
            <w:gridSpan w:val="10"/>
            <w:tcBorders>
              <w:tl2br w:val="nil"/>
              <w:tr2bl w:val="nil"/>
            </w:tcBorders>
            <w:shd w:val="clear" w:color="auto" w:fill="FFFFFF"/>
            <w:vAlign w:val="center"/>
          </w:tcPr>
          <w:p w14:paraId="54A48825">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（1）人员经费支出833.65万元；公用经费支出956.88万元。</w:t>
            </w:r>
          </w:p>
          <w:p w14:paraId="7282A35C">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（2）建立单位规章制度及管理体系，责任落实，分工明确，相互协作，团结一体。</w:t>
            </w:r>
          </w:p>
          <w:p w14:paraId="25873999">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共建立居民健康档案58091份，建档率为83%。建档立卡户6206人，签约率100%，管理65岁以上老年人6839人，老年人体检4947人，体检率77%。已管理高血压4922人，规范管理率72.4%。已管理糖尿病889人，规范管理率70%。建立严重精神障碍患者档案298人，管理率为4.25‰。建立肺结核病患者档案18人，管理率100%。孕产妇管理453人，管理率88%，0-6岁儿童管理3646人，系统管理率83%。已组建家庭医生服务团队24个，2022年共签约5152户24143人，签约率34.49%，其中老年人签约3303人，高血压签约2887人，糖尿病签约465人，严重精神障碍患者签约177人，肺结核患者签约8人，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度上报传染病65例。本年度共接种一类疫苗10419针次，二类疫苗3696针次。为进一步做好疫情防控新形势下医疗救治工作，按照新冠肺炎相关风险评估标准划分人群风险等级，绿色标识（低风险一般）人群管理3154人，黄色标识（中风险次重点）人群管理2381人，红色标识（高风险重点）人群管理630人，建立重点、特殊、涉疫人群台账，通过四级网络管理机制，家庭医生对每类人群进行健康监测，急危重症患者及时转诊至上级医疗机构，保障人民群众生命安全和身体健康。</w:t>
            </w:r>
          </w:p>
          <w:p w14:paraId="71CFE07F">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（4）完成202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年村医养老保险补助的缴纳。</w:t>
            </w:r>
          </w:p>
          <w:p w14:paraId="52D671B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sz w:val="28"/>
                <w:szCs w:val="28"/>
              </w:rPr>
              <w:t>（5）完成202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年租赁费用支出94.53万元。</w:t>
            </w:r>
          </w:p>
        </w:tc>
      </w:tr>
      <w:tr w14:paraId="299864F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7EFD66B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各项指标完成情况分析</w:t>
            </w:r>
          </w:p>
        </w:tc>
        <w:tc>
          <w:tcPr>
            <w:tcW w:w="7280" w:type="dxa"/>
            <w:gridSpan w:val="10"/>
            <w:tcBorders>
              <w:tl2br w:val="nil"/>
              <w:tr2bl w:val="nil"/>
            </w:tcBorders>
            <w:shd w:val="clear" w:color="auto" w:fill="FFFFFF"/>
            <w:vAlign w:val="center"/>
          </w:tcPr>
          <w:p w14:paraId="791EB541">
            <w:pPr>
              <w:pStyle w:val="9"/>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1、部门管理</w:t>
            </w:r>
            <w:r>
              <w:rPr>
                <w:rFonts w:hint="eastAsia" w:cs="仿宋_GB2312"/>
                <w:b/>
                <w:bCs/>
                <w:sz w:val="28"/>
                <w:szCs w:val="28"/>
                <w:lang w:eastAsia="zh-CN"/>
              </w:rPr>
              <w:t>：</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度单位人员经费支出和公用经费支出均按照财务相关规定合理支出，由于绩效考核制度变化，导致基本支出完成率不足百分之百；我院在政府采购管理制度上的了解不够深入，以后会加强政府采购制度的学习；因单位资产配置比较分散，在资产的统一管理制度方面还有待完善。</w:t>
            </w:r>
          </w:p>
          <w:p w14:paraId="28EC2EF0">
            <w:pPr>
              <w:pStyle w:val="9"/>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2、履职效果</w:t>
            </w:r>
            <w:r>
              <w:rPr>
                <w:rFonts w:hint="eastAsia" w:cs="仿宋_GB2312"/>
                <w:b/>
                <w:bCs/>
                <w:sz w:val="28"/>
                <w:szCs w:val="28"/>
                <w:lang w:eastAsia="zh-CN"/>
              </w:rPr>
              <w:t>：</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我院进一步完善医疗质量管理制度，优化就医流程，全年门诊就诊人次41511人次，住院1248人次。积极开展医共体建设，重点科室、特色专科建设得到有力提升，在一定程度上，有效提升了基层医院的服务能力和工作质量。我</w:t>
            </w:r>
            <w:r>
              <w:rPr>
                <w:rFonts w:hint="eastAsia" w:ascii="仿宋_GB2312" w:hAnsi="仿宋_GB2312" w:eastAsia="仿宋_GB2312" w:cs="仿宋_GB2312"/>
                <w:color w:val="000000"/>
                <w:sz w:val="28"/>
                <w:szCs w:val="28"/>
              </w:rPr>
              <w:t>院</w:t>
            </w:r>
            <w:r>
              <w:rPr>
                <w:rFonts w:hint="eastAsia" w:ascii="仿宋_GB2312" w:hAnsi="仿宋_GB2312" w:eastAsia="仿宋_GB2312" w:cs="仿宋_GB2312"/>
                <w:sz w:val="28"/>
                <w:szCs w:val="28"/>
              </w:rPr>
              <w:t>将</w:t>
            </w:r>
            <w:r>
              <w:rPr>
                <w:rFonts w:hint="eastAsia" w:cs="仿宋_GB2312"/>
                <w:sz w:val="28"/>
                <w:szCs w:val="28"/>
                <w:lang w:eastAsia="zh-CN"/>
              </w:rPr>
              <w:t>基本医疗和国家基本公共卫生服务项目等工作一起推进</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sz w:val="28"/>
                <w:szCs w:val="28"/>
              </w:rPr>
              <w:t>做到基本公共卫生服务不松懈，严格按照医院承担的重点工作任务，有序</w:t>
            </w:r>
            <w:r>
              <w:rPr>
                <w:rFonts w:hint="eastAsia" w:ascii="仿宋_GB2312" w:hAnsi="仿宋_GB2312" w:eastAsia="仿宋_GB2312" w:cs="仿宋_GB2312"/>
                <w:sz w:val="28"/>
                <w:szCs w:val="28"/>
              </w:rPr>
              <w:t>推进</w:t>
            </w:r>
            <w:r>
              <w:rPr>
                <w:rFonts w:hint="eastAsia" w:ascii="仿宋_GB2312" w:hAnsi="仿宋_GB2312" w:eastAsia="仿宋_GB2312" w:cs="仿宋_GB2312"/>
                <w:color w:val="000000"/>
                <w:sz w:val="28"/>
                <w:szCs w:val="28"/>
              </w:rPr>
              <w:t>各项工作。</w:t>
            </w:r>
          </w:p>
          <w:p w14:paraId="3C7C395F">
            <w:pPr>
              <w:pStyle w:val="9"/>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b/>
                <w:bCs/>
                <w:sz w:val="28"/>
                <w:szCs w:val="28"/>
              </w:rPr>
              <w:t>3、能力建设</w:t>
            </w:r>
            <w:r>
              <w:rPr>
                <w:rFonts w:hint="eastAsia" w:cs="仿宋_GB2312"/>
                <w:b/>
                <w:bCs/>
                <w:sz w:val="28"/>
                <w:szCs w:val="28"/>
                <w:lang w:eastAsia="zh-CN"/>
              </w:rPr>
              <w:t>：</w:t>
            </w:r>
            <w:r>
              <w:rPr>
                <w:rFonts w:hint="eastAsia" w:ascii="仿宋_GB2312" w:hAnsi="仿宋_GB2312" w:eastAsia="仿宋_GB2312" w:cs="仿宋_GB2312"/>
                <w:color w:val="000000"/>
                <w:sz w:val="28"/>
                <w:szCs w:val="28"/>
              </w:rPr>
              <w:t>根据科室业务发展，有计划的储备相关专业技术人才，派遣医务人员前往二、三级医疗机构进修学习。在新入职人员培训中，随着业务逐渐开展的情况，培训制度及内容需与时俱进，除了及时更新国家相关政策及法律法规外，需要完善相关的基本临床技能操作培训。</w:t>
            </w:r>
          </w:p>
          <w:p w14:paraId="4F5E4BD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p>
        </w:tc>
      </w:tr>
      <w:tr w14:paraId="590ACAA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3304E3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绩效评价</w:t>
            </w:r>
          </w:p>
          <w:p w14:paraId="0407C2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工作过程</w:t>
            </w:r>
          </w:p>
        </w:tc>
        <w:tc>
          <w:tcPr>
            <w:tcW w:w="7280" w:type="dxa"/>
            <w:gridSpan w:val="10"/>
            <w:tcBorders>
              <w:tl2br w:val="nil"/>
              <w:tr2bl w:val="nil"/>
            </w:tcBorders>
            <w:shd w:val="clear" w:color="auto" w:fill="FFFFFF"/>
            <w:vAlign w:val="center"/>
          </w:tcPr>
          <w:p w14:paraId="35C8D1C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仿宋_GB2312" w:hAnsi="仿宋_GB2312" w:eastAsia="仿宋_GB2312" w:cs="仿宋_GB2312"/>
                <w:b w:val="0"/>
                <w:bCs w:val="0"/>
                <w:sz w:val="28"/>
                <w:szCs w:val="28"/>
                <w:lang w:val="en-US" w:eastAsia="zh-CN"/>
              </w:rPr>
            </w:pPr>
            <w:r>
              <w:rPr>
                <w:rStyle w:val="14"/>
                <w:rFonts w:hint="eastAsia" w:ascii="仿宋_GB2312" w:hAnsi="仿宋_GB2312" w:eastAsia="仿宋_GB2312" w:cs="仿宋_GB2312"/>
                <w:b w:val="0"/>
                <w:bCs/>
                <w:color w:val="333333"/>
                <w:sz w:val="28"/>
                <w:szCs w:val="28"/>
                <w:shd w:val="clear" w:color="auto" w:fill="FFFFFF"/>
              </w:rPr>
              <w:t>根据</w:t>
            </w:r>
            <w:r>
              <w:rPr>
                <w:rStyle w:val="14"/>
                <w:rFonts w:hint="eastAsia" w:ascii="仿宋_GB2312" w:hAnsi="仿宋_GB2312" w:eastAsia="仿宋_GB2312" w:cs="仿宋_GB2312"/>
                <w:b w:val="0"/>
                <w:bCs/>
                <w:color w:val="333333"/>
                <w:kern w:val="1"/>
                <w:sz w:val="28"/>
                <w:szCs w:val="28"/>
                <w:shd w:val="clear" w:color="auto" w:fill="FFFFFF"/>
              </w:rPr>
              <w:t>《兰州新区财政局（国有资产监督管理局）</w:t>
            </w:r>
            <w:r>
              <w:rPr>
                <w:rStyle w:val="14"/>
                <w:rFonts w:hint="eastAsia" w:ascii="仿宋_GB2312" w:hAnsi="仿宋_GB2312" w:eastAsia="仿宋_GB2312" w:cs="仿宋_GB2312"/>
                <w:b w:val="0"/>
                <w:bCs/>
                <w:color w:val="333333"/>
                <w:sz w:val="28"/>
                <w:szCs w:val="28"/>
                <w:shd w:val="clear" w:color="auto" w:fill="FFFFFF"/>
              </w:rPr>
              <w:t>关于开展2022年度预算执行情况绩效单位自评工作的通知》（兰新财发〔2023〕36号）文件精神</w:t>
            </w:r>
            <w:r>
              <w:rPr>
                <w:rStyle w:val="14"/>
                <w:rFonts w:hint="eastAsia" w:ascii="仿宋_GB2312" w:hAnsi="仿宋_GB2312" w:eastAsia="仿宋_GB2312" w:cs="仿宋_GB2312"/>
                <w:b w:val="0"/>
                <w:bCs/>
                <w:color w:val="333333"/>
                <w:kern w:val="1"/>
                <w:sz w:val="28"/>
                <w:szCs w:val="28"/>
                <w:shd w:val="clear" w:color="auto" w:fill="FFFFFF"/>
              </w:rPr>
              <w:t>，我院积极开展此次预算执行的自评活动，根据文件要求检查相关资料，进行绩效自评的分析与总结。</w:t>
            </w:r>
          </w:p>
        </w:tc>
      </w:tr>
      <w:tr w14:paraId="21431AE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706901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四、评价结论和绩效分析</w:t>
            </w:r>
          </w:p>
        </w:tc>
      </w:tr>
      <w:tr w14:paraId="2E11E13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5DDEC7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综合评价结论</w:t>
            </w:r>
          </w:p>
        </w:tc>
        <w:tc>
          <w:tcPr>
            <w:tcW w:w="1810" w:type="dxa"/>
            <w:gridSpan w:val="4"/>
            <w:tcBorders>
              <w:tl2br w:val="nil"/>
              <w:tr2bl w:val="nil"/>
            </w:tcBorders>
            <w:shd w:val="clear" w:color="auto" w:fill="FFFFFF"/>
            <w:vAlign w:val="center"/>
          </w:tcPr>
          <w:p w14:paraId="29E0B2D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评价得分</w:t>
            </w:r>
          </w:p>
        </w:tc>
        <w:tc>
          <w:tcPr>
            <w:tcW w:w="2495" w:type="dxa"/>
            <w:gridSpan w:val="3"/>
            <w:tcBorders>
              <w:tl2br w:val="nil"/>
              <w:tr2bl w:val="nil"/>
            </w:tcBorders>
            <w:shd w:val="clear" w:color="auto" w:fill="FFFFFF"/>
            <w:vAlign w:val="center"/>
          </w:tcPr>
          <w:p w14:paraId="4170BF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98分</w:t>
            </w:r>
          </w:p>
        </w:tc>
        <w:tc>
          <w:tcPr>
            <w:tcW w:w="2355" w:type="dxa"/>
            <w:gridSpan w:val="3"/>
            <w:tcBorders>
              <w:tl2br w:val="nil"/>
              <w:tr2bl w:val="nil"/>
            </w:tcBorders>
            <w:shd w:val="clear" w:color="auto" w:fill="FFFFFF"/>
            <w:vAlign w:val="center"/>
          </w:tcPr>
          <w:p w14:paraId="04F56CF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评价等级</w:t>
            </w:r>
          </w:p>
        </w:tc>
        <w:tc>
          <w:tcPr>
            <w:tcW w:w="1295" w:type="dxa"/>
            <w:tcBorders>
              <w:tl2br w:val="nil"/>
              <w:tr2bl w:val="nil"/>
            </w:tcBorders>
            <w:shd w:val="clear" w:color="auto" w:fill="FFFFFF"/>
            <w:vAlign w:val="center"/>
          </w:tcPr>
          <w:p w14:paraId="5B74A30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优</w:t>
            </w:r>
          </w:p>
        </w:tc>
      </w:tr>
      <w:tr w14:paraId="73C39A4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354DBD5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绩效</w:t>
            </w:r>
          </w:p>
          <w:p w14:paraId="6DAB407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分析</w:t>
            </w:r>
          </w:p>
        </w:tc>
        <w:tc>
          <w:tcPr>
            <w:tcW w:w="945" w:type="dxa"/>
            <w:gridSpan w:val="2"/>
            <w:tcBorders>
              <w:tl2br w:val="nil"/>
              <w:tr2bl w:val="nil"/>
            </w:tcBorders>
            <w:shd w:val="clear" w:color="auto" w:fill="FFFFFF"/>
            <w:vAlign w:val="center"/>
          </w:tcPr>
          <w:p w14:paraId="656BFCE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指标</w:t>
            </w:r>
          </w:p>
        </w:tc>
        <w:tc>
          <w:tcPr>
            <w:tcW w:w="1590" w:type="dxa"/>
            <w:gridSpan w:val="3"/>
            <w:tcBorders>
              <w:tl2br w:val="nil"/>
              <w:tr2bl w:val="nil"/>
            </w:tcBorders>
            <w:shd w:val="clear" w:color="auto" w:fill="FFFFFF"/>
            <w:vAlign w:val="center"/>
          </w:tcPr>
          <w:p w14:paraId="0C16B84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部门管理</w:t>
            </w:r>
          </w:p>
        </w:tc>
        <w:tc>
          <w:tcPr>
            <w:tcW w:w="1770" w:type="dxa"/>
            <w:gridSpan w:val="2"/>
            <w:tcBorders>
              <w:tl2br w:val="nil"/>
              <w:tr2bl w:val="nil"/>
            </w:tcBorders>
            <w:shd w:val="clear" w:color="auto" w:fill="FFFFFF"/>
            <w:vAlign w:val="center"/>
          </w:tcPr>
          <w:p w14:paraId="04270D4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履职效果</w:t>
            </w:r>
          </w:p>
        </w:tc>
        <w:tc>
          <w:tcPr>
            <w:tcW w:w="1620" w:type="dxa"/>
            <w:gridSpan w:val="2"/>
            <w:tcBorders>
              <w:tl2br w:val="nil"/>
              <w:tr2bl w:val="nil"/>
            </w:tcBorders>
            <w:shd w:val="clear" w:color="auto" w:fill="FFFFFF"/>
            <w:vAlign w:val="center"/>
          </w:tcPr>
          <w:p w14:paraId="09A8DA0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能力建设</w:t>
            </w:r>
          </w:p>
        </w:tc>
        <w:tc>
          <w:tcPr>
            <w:tcW w:w="735" w:type="dxa"/>
            <w:tcBorders>
              <w:tl2br w:val="nil"/>
              <w:tr2bl w:val="nil"/>
            </w:tcBorders>
            <w:shd w:val="clear" w:color="auto" w:fill="FFFFFF"/>
            <w:vAlign w:val="center"/>
          </w:tcPr>
          <w:p w14:paraId="0D7558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满意度</w:t>
            </w:r>
          </w:p>
        </w:tc>
        <w:tc>
          <w:tcPr>
            <w:tcW w:w="1295" w:type="dxa"/>
            <w:tcBorders>
              <w:tl2br w:val="nil"/>
              <w:tr2bl w:val="nil"/>
            </w:tcBorders>
            <w:shd w:val="clear" w:color="auto" w:fill="FFFFFF"/>
            <w:vAlign w:val="center"/>
          </w:tcPr>
          <w:p w14:paraId="6B8B9ED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合计</w:t>
            </w:r>
          </w:p>
        </w:tc>
      </w:tr>
      <w:tr w14:paraId="278A0BD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5DDEBE7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p>
        </w:tc>
        <w:tc>
          <w:tcPr>
            <w:tcW w:w="945" w:type="dxa"/>
            <w:gridSpan w:val="2"/>
            <w:tcBorders>
              <w:tl2br w:val="nil"/>
              <w:tr2bl w:val="nil"/>
            </w:tcBorders>
            <w:shd w:val="clear" w:color="auto" w:fill="FFFFFF"/>
            <w:vAlign w:val="center"/>
          </w:tcPr>
          <w:p w14:paraId="5EF235B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得分</w:t>
            </w:r>
          </w:p>
        </w:tc>
        <w:tc>
          <w:tcPr>
            <w:tcW w:w="1590" w:type="dxa"/>
            <w:gridSpan w:val="3"/>
            <w:tcBorders>
              <w:tl2br w:val="nil"/>
              <w:tr2bl w:val="nil"/>
            </w:tcBorders>
            <w:shd w:val="clear" w:color="auto" w:fill="FFFFFF"/>
            <w:vAlign w:val="center"/>
          </w:tcPr>
          <w:p w14:paraId="7259EA4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w:t>
            </w:r>
          </w:p>
        </w:tc>
        <w:tc>
          <w:tcPr>
            <w:tcW w:w="1770" w:type="dxa"/>
            <w:gridSpan w:val="2"/>
            <w:tcBorders>
              <w:tl2br w:val="nil"/>
              <w:tr2bl w:val="nil"/>
            </w:tcBorders>
            <w:shd w:val="clear" w:color="auto" w:fill="FFFFFF"/>
            <w:vAlign w:val="center"/>
          </w:tcPr>
          <w:p w14:paraId="6634624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57</w:t>
            </w:r>
          </w:p>
        </w:tc>
        <w:tc>
          <w:tcPr>
            <w:tcW w:w="1620" w:type="dxa"/>
            <w:gridSpan w:val="2"/>
            <w:tcBorders>
              <w:tl2br w:val="nil"/>
              <w:tr2bl w:val="nil"/>
            </w:tcBorders>
            <w:shd w:val="clear" w:color="auto" w:fill="FFFFFF"/>
            <w:vAlign w:val="center"/>
          </w:tcPr>
          <w:p w14:paraId="5E0E712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11</w:t>
            </w:r>
          </w:p>
        </w:tc>
        <w:tc>
          <w:tcPr>
            <w:tcW w:w="735" w:type="dxa"/>
            <w:tcBorders>
              <w:tl2br w:val="nil"/>
              <w:tr2bl w:val="nil"/>
            </w:tcBorders>
            <w:shd w:val="clear" w:color="auto" w:fill="FFFFFF"/>
            <w:vAlign w:val="center"/>
          </w:tcPr>
          <w:p w14:paraId="13F189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w:t>
            </w:r>
          </w:p>
        </w:tc>
        <w:tc>
          <w:tcPr>
            <w:tcW w:w="1295" w:type="dxa"/>
            <w:tcBorders>
              <w:tl2br w:val="nil"/>
              <w:tr2bl w:val="nil"/>
            </w:tcBorders>
            <w:shd w:val="clear" w:color="auto" w:fill="FFFFFF"/>
            <w:vAlign w:val="center"/>
          </w:tcPr>
          <w:p w14:paraId="1579D5B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90.95分</w:t>
            </w:r>
          </w:p>
        </w:tc>
      </w:tr>
      <w:tr w14:paraId="3CCC589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67B410F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b/>
                <w:bCs/>
                <w:sz w:val="28"/>
                <w:szCs w:val="28"/>
                <w:lang w:val="en-US" w:eastAsia="zh-CN"/>
              </w:rPr>
            </w:pPr>
          </w:p>
        </w:tc>
        <w:tc>
          <w:tcPr>
            <w:tcW w:w="945" w:type="dxa"/>
            <w:gridSpan w:val="2"/>
            <w:tcBorders>
              <w:tl2br w:val="nil"/>
              <w:tr2bl w:val="nil"/>
            </w:tcBorders>
            <w:shd w:val="clear" w:color="auto" w:fill="FFFFFF"/>
            <w:vAlign w:val="center"/>
          </w:tcPr>
          <w:p w14:paraId="349E6CD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得分率</w:t>
            </w:r>
          </w:p>
        </w:tc>
        <w:tc>
          <w:tcPr>
            <w:tcW w:w="1590" w:type="dxa"/>
            <w:gridSpan w:val="3"/>
            <w:tcBorders>
              <w:tl2br w:val="nil"/>
              <w:tr2bl w:val="nil"/>
            </w:tcBorders>
            <w:shd w:val="clear" w:color="auto" w:fill="FFFFFF"/>
            <w:vAlign w:val="center"/>
          </w:tcPr>
          <w:p w14:paraId="09382EE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100%</w:t>
            </w:r>
          </w:p>
        </w:tc>
        <w:tc>
          <w:tcPr>
            <w:tcW w:w="1770" w:type="dxa"/>
            <w:gridSpan w:val="2"/>
            <w:tcBorders>
              <w:tl2br w:val="nil"/>
              <w:tr2bl w:val="nil"/>
            </w:tcBorders>
            <w:shd w:val="clear" w:color="auto" w:fill="FFFFFF"/>
            <w:vAlign w:val="center"/>
          </w:tcPr>
          <w:p w14:paraId="51C5496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96.61%</w:t>
            </w:r>
          </w:p>
        </w:tc>
        <w:tc>
          <w:tcPr>
            <w:tcW w:w="1620" w:type="dxa"/>
            <w:gridSpan w:val="2"/>
            <w:tcBorders>
              <w:tl2br w:val="nil"/>
              <w:tr2bl w:val="nil"/>
            </w:tcBorders>
            <w:shd w:val="clear" w:color="auto" w:fill="FFFFFF"/>
            <w:vAlign w:val="center"/>
          </w:tcPr>
          <w:p w14:paraId="090CBE4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100%</w:t>
            </w:r>
          </w:p>
        </w:tc>
        <w:tc>
          <w:tcPr>
            <w:tcW w:w="735" w:type="dxa"/>
            <w:tcBorders>
              <w:tl2br w:val="nil"/>
              <w:tr2bl w:val="nil"/>
            </w:tcBorders>
            <w:shd w:val="clear" w:color="auto" w:fill="FFFFFF"/>
            <w:vAlign w:val="center"/>
          </w:tcPr>
          <w:p w14:paraId="321FECD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100%</w:t>
            </w:r>
          </w:p>
        </w:tc>
        <w:tc>
          <w:tcPr>
            <w:tcW w:w="1295" w:type="dxa"/>
            <w:tcBorders>
              <w:tl2br w:val="nil"/>
              <w:tr2bl w:val="nil"/>
            </w:tcBorders>
            <w:shd w:val="clear" w:color="auto" w:fill="FFFFFF"/>
            <w:vAlign w:val="center"/>
          </w:tcPr>
          <w:p w14:paraId="4AA00BD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90.95%</w:t>
            </w:r>
          </w:p>
        </w:tc>
      </w:tr>
      <w:tr w14:paraId="0201368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972" w:type="dxa"/>
            <w:gridSpan w:val="13"/>
            <w:tcBorders>
              <w:tl2br w:val="nil"/>
              <w:tr2bl w:val="nil"/>
            </w:tcBorders>
            <w:shd w:val="clear" w:color="auto" w:fill="FFFFFF"/>
            <w:vAlign w:val="center"/>
          </w:tcPr>
          <w:p w14:paraId="18F30A25">
            <w:pPr>
              <w:pStyle w:val="9"/>
              <w:keepNext w:val="0"/>
              <w:keepLines w:val="0"/>
              <w:pageBreakBefore w:val="0"/>
              <w:widowControl/>
              <w:kinsoku/>
              <w:wordWrap/>
              <w:overflowPunct/>
              <w:topLinePunct w:val="0"/>
              <w:autoSpaceDE/>
              <w:autoSpaceDN/>
              <w:bidi w:val="0"/>
              <w:adjustRightInd/>
              <w:snapToGrid/>
              <w:spacing w:line="400" w:lineRule="exact"/>
              <w:ind w:firstLine="562" w:firstLineChars="20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绩效自评结果拟应用和公开情况</w:t>
            </w:r>
          </w:p>
        </w:tc>
      </w:tr>
      <w:tr w14:paraId="0B14406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972" w:type="dxa"/>
            <w:gridSpan w:val="13"/>
            <w:tcBorders>
              <w:tl2br w:val="nil"/>
              <w:tr2bl w:val="nil"/>
            </w:tcBorders>
            <w:shd w:val="clear" w:color="auto" w:fill="FFFFFF"/>
            <w:vAlign w:val="center"/>
          </w:tcPr>
          <w:p w14:paraId="0401B285">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sz w:val="28"/>
                <w:szCs w:val="28"/>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tc>
      </w:tr>
      <w:tr w14:paraId="2F96AC0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972" w:type="dxa"/>
            <w:gridSpan w:val="13"/>
            <w:tcBorders>
              <w:tl2br w:val="nil"/>
              <w:tr2bl w:val="nil"/>
            </w:tcBorders>
            <w:shd w:val="clear" w:color="auto" w:fill="FFFFFF"/>
            <w:vAlign w:val="center"/>
          </w:tcPr>
          <w:p w14:paraId="5E36A9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七、其他需要说明的事项</w:t>
            </w:r>
          </w:p>
        </w:tc>
      </w:tr>
      <w:tr w14:paraId="503F9FF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972" w:type="dxa"/>
            <w:gridSpan w:val="13"/>
            <w:tcBorders>
              <w:tl2br w:val="nil"/>
              <w:tr2bl w:val="nil"/>
            </w:tcBorders>
            <w:shd w:val="clear" w:color="auto" w:fill="FFFFFF"/>
            <w:vAlign w:val="center"/>
          </w:tcPr>
          <w:p w14:paraId="0042B99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无</w:t>
            </w:r>
          </w:p>
        </w:tc>
      </w:tr>
    </w:tbl>
    <w:p w14:paraId="168A819F">
      <w:pPr>
        <w:keepNext w:val="0"/>
        <w:keepLines w:val="0"/>
        <w:pageBreakBefore w:val="0"/>
        <w:kinsoku/>
        <w:wordWrap/>
        <w:overflowPunct/>
        <w:topLinePunct w:val="0"/>
        <w:autoSpaceDE/>
        <w:autoSpaceDN/>
        <w:bidi w:val="0"/>
        <w:adjustRightInd/>
        <w:snapToGrid/>
        <w:spacing w:line="400" w:lineRule="exact"/>
        <w:textAlignment w:val="auto"/>
      </w:pPr>
    </w:p>
    <w:sectPr>
      <w:footerReference r:id="rId5" w:type="default"/>
      <w:pgSz w:w="11906" w:h="16838"/>
      <w:pgMar w:top="1417" w:right="1134" w:bottom="1134" w:left="1134"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0A0D758F-7437-4B5E-B914-5B5756D0E55D}"/>
  </w:font>
  <w:font w:name="仿宋_GB2312">
    <w:panose1 w:val="02010609030101010101"/>
    <w:charset w:val="86"/>
    <w:family w:val="modern"/>
    <w:pitch w:val="default"/>
    <w:sig w:usb0="00000001" w:usb1="080E0000" w:usb2="00000000" w:usb3="00000000" w:csb0="00040000" w:csb1="00000000"/>
    <w:embedRegular r:id="rId2" w:fontKey="{A425B19B-2E83-4B02-93CD-1935789F4AE5}"/>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F331EAD8-9B10-4B4C-9837-3ADCE777E6A6}"/>
  </w:font>
  <w:font w:name="华文中宋">
    <w:panose1 w:val="02010600040101010101"/>
    <w:charset w:val="86"/>
    <w:family w:val="auto"/>
    <w:pitch w:val="default"/>
    <w:sig w:usb0="00000287" w:usb1="080F0000" w:usb2="00000000" w:usb3="00000000" w:csb0="0004009F" w:csb1="DFD70000"/>
    <w:embedRegular r:id="rId4" w:fontKey="{062B3C6F-50C2-4BA7-8619-15D8D21AA31F}"/>
  </w:font>
  <w:font w:name="楷体_GB2312">
    <w:altName w:val="楷体"/>
    <w:panose1 w:val="00000000000000000000"/>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08A00">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B192B">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6B192B">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hZDdiMGJjNzgzMWVlYTYyOTM1ZGUwZjY0NjE3ZWMifQ=="/>
  </w:docVars>
  <w:rsids>
    <w:rsidRoot w:val="50362AE6"/>
    <w:rsid w:val="00D76A86"/>
    <w:rsid w:val="01D874CD"/>
    <w:rsid w:val="036E0F6F"/>
    <w:rsid w:val="03973FA9"/>
    <w:rsid w:val="06EB3426"/>
    <w:rsid w:val="07C81D7B"/>
    <w:rsid w:val="0A2A723E"/>
    <w:rsid w:val="0A3F5E74"/>
    <w:rsid w:val="112F6356"/>
    <w:rsid w:val="13750B42"/>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3246394F"/>
    <w:rsid w:val="32A76310"/>
    <w:rsid w:val="332736B7"/>
    <w:rsid w:val="399649CA"/>
    <w:rsid w:val="39D03040"/>
    <w:rsid w:val="41055F0D"/>
    <w:rsid w:val="417C1E8F"/>
    <w:rsid w:val="419A3E69"/>
    <w:rsid w:val="48054931"/>
    <w:rsid w:val="485D55BF"/>
    <w:rsid w:val="4BA61945"/>
    <w:rsid w:val="50362AE6"/>
    <w:rsid w:val="50447C2B"/>
    <w:rsid w:val="52555572"/>
    <w:rsid w:val="533D715B"/>
    <w:rsid w:val="54C310C9"/>
    <w:rsid w:val="54E92EBD"/>
    <w:rsid w:val="55F56D34"/>
    <w:rsid w:val="56582839"/>
    <w:rsid w:val="573F7050"/>
    <w:rsid w:val="5915699E"/>
    <w:rsid w:val="5C641B24"/>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5"/>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6">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99"/>
    <w:rPr>
      <w:sz w:val="24"/>
    </w:rPr>
  </w:style>
  <w:style w:type="paragraph" w:styleId="10">
    <w:name w:val="index 1"/>
    <w:basedOn w:val="1"/>
    <w:next w:val="1"/>
    <w:qFormat/>
    <w:uiPriority w:val="0"/>
  </w:style>
  <w:style w:type="table" w:styleId="12">
    <w:name w:val="Table Grid"/>
    <w:basedOn w:val="11"/>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customStyle="1" w:styleId="15">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4043</Words>
  <Characters>4241</Characters>
  <Lines>0</Lines>
  <Paragraphs>0</Paragraphs>
  <TotalTime>7</TotalTime>
  <ScaleCrop>false</ScaleCrop>
  <LinksUpToDate>false</LinksUpToDate>
  <CharactersWithSpaces>4243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杨小羊儿yaNG</cp:lastModifiedBy>
  <dcterms:modified xsi:type="dcterms:W3CDTF">2024-09-19T06:29:43Z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9659A4C19AED404DA96E937D6BE39CA4_13</vt:lpwstr>
  </property>
</Properties>
</file>