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lang w:eastAsia="zh-CN"/>
        </w:rPr>
      </w:pPr>
      <w:r>
        <w:rPr>
          <w:rFonts w:hint="eastAsia"/>
          <w:lang w:eastAsia="zh-CN"/>
        </w:rPr>
        <w:t>兰州新区第一人民医院</w:t>
      </w:r>
    </w:p>
    <w:p>
      <w:pPr>
        <w:pStyle w:val="2"/>
        <w:jc w:val="center"/>
        <w:rPr>
          <w:rFonts w:hint="eastAsia"/>
          <w:lang w:eastAsia="zh-CN"/>
        </w:rPr>
      </w:pPr>
      <w:r>
        <w:rPr>
          <w:rFonts w:hint="eastAsia"/>
        </w:rPr>
        <w:t>20</w:t>
      </w:r>
      <w:r>
        <w:rPr>
          <w:rFonts w:hint="eastAsia"/>
          <w:lang w:val="en-US" w:eastAsia="zh-CN"/>
        </w:rPr>
        <w:t>23</w:t>
      </w:r>
      <w:r>
        <w:rPr>
          <w:rFonts w:hint="eastAsia"/>
        </w:rPr>
        <w:t>年</w:t>
      </w:r>
      <w:r>
        <w:rPr>
          <w:rFonts w:hint="eastAsia"/>
          <w:lang w:eastAsia="zh-CN"/>
        </w:rPr>
        <w:t>部门预算整体支出</w:t>
      </w:r>
      <w:r>
        <w:rPr>
          <w:rFonts w:hint="eastAsia"/>
        </w:rPr>
        <w:t>绩效自评</w:t>
      </w:r>
      <w:r>
        <w:rPr>
          <w:rFonts w:hint="eastAsia"/>
          <w:lang w:eastAsia="zh-CN"/>
        </w:rPr>
        <w:t>报告</w:t>
      </w:r>
    </w:p>
    <w:p>
      <w:pPr>
        <w:keepNext w:val="0"/>
        <w:keepLines w:val="0"/>
        <w:pageBreakBefore w:val="0"/>
        <w:numPr>
          <w:ilvl w:val="0"/>
          <w:numId w:val="0"/>
        </w:numPr>
        <w:tabs>
          <w:tab w:val="left" w:pos="613"/>
        </w:tabs>
        <w:wordWrap/>
        <w:overflowPunct/>
        <w:topLinePunct w:val="0"/>
        <w:bidi w:val="0"/>
        <w:ind w:firstLine="720" w:firstLineChars="200"/>
        <w:jc w:val="left"/>
        <w:rPr>
          <w:rFonts w:hint="eastAsia"/>
          <w:b w:val="0"/>
          <w:bCs w:val="0"/>
          <w:sz w:val="36"/>
          <w:szCs w:val="44"/>
        </w:rPr>
      </w:pPr>
    </w:p>
    <w:p>
      <w:pPr>
        <w:keepNext w:val="0"/>
        <w:keepLines w:val="0"/>
        <w:pageBreakBefore w:val="0"/>
        <w:numPr>
          <w:ilvl w:val="0"/>
          <w:numId w:val="0"/>
        </w:numPr>
        <w:tabs>
          <w:tab w:val="left" w:pos="613"/>
        </w:tabs>
        <w:kinsoku/>
        <w:wordWrap/>
        <w:overflowPunct/>
        <w:topLinePunct w:val="0"/>
        <w:autoSpaceDE/>
        <w:autoSpaceDN/>
        <w:bidi w:val="0"/>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一、</w:t>
      </w:r>
      <w:r>
        <w:rPr>
          <w:rFonts w:hint="eastAsia" w:ascii="黑体" w:hAnsi="黑体" w:eastAsia="黑体" w:cs="黑体"/>
          <w:b w:val="0"/>
          <w:bCs w:val="0"/>
          <w:sz w:val="32"/>
          <w:szCs w:val="32"/>
        </w:rPr>
        <w:t>基本情况</w:t>
      </w:r>
    </w:p>
    <w:p>
      <w:pPr>
        <w:keepNext w:val="0"/>
        <w:keepLines w:val="0"/>
        <w:pageBreakBefore w:val="0"/>
        <w:widowControl w:val="0"/>
        <w:numPr>
          <w:ilvl w:val="0"/>
          <w:numId w:val="0"/>
        </w:numPr>
        <w:tabs>
          <w:tab w:val="left" w:pos="613"/>
        </w:tabs>
        <w:kinsoku/>
        <w:wordWrap/>
        <w:overflowPunct/>
        <w:topLinePunct w:val="0"/>
        <w:autoSpaceDE/>
        <w:autoSpaceDN/>
        <w:bidi w:val="0"/>
        <w:spacing w:line="560" w:lineRule="exact"/>
        <w:ind w:right="0" w:rightChars="0" w:firstLine="643" w:firstLineChars="200"/>
        <w:jc w:val="left"/>
        <w:textAlignment w:val="auto"/>
        <w:outlineLvl w:val="9"/>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（一）单位</w:t>
      </w:r>
      <w:r>
        <w:rPr>
          <w:rFonts w:hint="eastAsia" w:ascii="楷体_GB2312" w:hAnsi="楷体_GB2312" w:eastAsia="楷体_GB2312" w:cs="楷体_GB2312"/>
          <w:b/>
          <w:bCs/>
          <w:sz w:val="32"/>
          <w:szCs w:val="32"/>
        </w:rPr>
        <w:t>职</w:t>
      </w:r>
      <w:r>
        <w:rPr>
          <w:rFonts w:hint="eastAsia" w:ascii="楷体_GB2312" w:hAnsi="楷体_GB2312" w:eastAsia="楷体_GB2312" w:cs="楷体_GB2312"/>
          <w:b/>
          <w:bCs/>
          <w:sz w:val="32"/>
          <w:szCs w:val="32"/>
          <w:lang w:eastAsia="zh-CN"/>
        </w:rPr>
        <w:t>责</w:t>
      </w:r>
    </w:p>
    <w:p>
      <w:pPr>
        <w:pageBreakBefore w:val="0"/>
        <w:widowControl/>
        <w:kinsoku/>
        <w:wordWrap/>
        <w:overflowPunct/>
        <w:topLinePunct w:val="0"/>
        <w:autoSpaceDN/>
        <w:bidi w:val="0"/>
        <w:adjustRightInd/>
        <w:snapToGrid/>
        <w:spacing w:before="100" w:beforeLines="0" w:after="100" w:afterLines="0" w:line="480" w:lineRule="exact"/>
        <w:ind w:firstLine="640" w:firstLineChars="200"/>
        <w:jc w:val="left"/>
        <w:textAlignment w:val="auto"/>
        <w:rPr>
          <w:rFonts w:hint="eastAsia" w:ascii="仿宋_GB2312" w:hAnsi="仿宋_GB2312" w:eastAsia="仿宋_GB2312" w:cs="仿宋_GB2312"/>
          <w:color w:val="auto"/>
          <w:sz w:val="32"/>
          <w:szCs w:val="32"/>
          <w:lang w:val="zh-CN"/>
        </w:rPr>
      </w:pPr>
      <w:r>
        <w:rPr>
          <w:rFonts w:hint="eastAsia" w:ascii="仿宋_GB2312" w:hAnsi="仿宋_GB2312" w:eastAsia="仿宋_GB2312" w:cs="仿宋_GB2312"/>
          <w:color w:val="auto"/>
          <w:sz w:val="32"/>
          <w:szCs w:val="32"/>
          <w:lang w:val="zh-CN"/>
        </w:rPr>
        <w:t>兰州新区第一人民医院是兰州新区党工委、管委会筹建的第一家集医疗、急救、预防、保健、康复、教学、科研为一体的公立现代化综合医院，隶属于兰州新区卫生健康委员会监管。位于兰州新区凤凰山路2000号，占地面积约2.6万平方米，建筑面积约4.8万平方米，建设项目投资4.5亿元。医院配备64排螺旋CT、彩色多普勒超声诊断仪、西门子数字X线摄影系统（DR）、X线数字胃肠机、心肺功能检测仪、运动平板机、丹迪6通道肌电图/诱发电位仪、血液透析机、全自动生化仪、口腔CT、电子胃镜、电子腹腔镜等先进医疗设备。截止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val="zh-CN"/>
        </w:rPr>
        <w:t>年12月医院有职工4</w:t>
      </w:r>
      <w:r>
        <w:rPr>
          <w:rFonts w:hint="eastAsia" w:ascii="仿宋_GB2312" w:hAnsi="仿宋_GB2312" w:eastAsia="仿宋_GB2312" w:cs="仿宋_GB2312"/>
          <w:color w:val="auto"/>
          <w:sz w:val="32"/>
          <w:szCs w:val="32"/>
          <w:lang w:val="en-US" w:eastAsia="zh-CN"/>
        </w:rPr>
        <w:t>40</w:t>
      </w:r>
      <w:r>
        <w:rPr>
          <w:rFonts w:hint="eastAsia" w:ascii="仿宋_GB2312" w:hAnsi="仿宋_GB2312" w:eastAsia="仿宋_GB2312" w:cs="仿宋_GB2312"/>
          <w:color w:val="auto"/>
          <w:sz w:val="32"/>
          <w:szCs w:val="32"/>
          <w:lang w:val="zh-CN"/>
        </w:rPr>
        <w:t>人，医生1</w:t>
      </w:r>
      <w:r>
        <w:rPr>
          <w:rFonts w:hint="eastAsia" w:ascii="仿宋_GB2312" w:hAnsi="仿宋_GB2312" w:eastAsia="仿宋_GB2312" w:cs="仿宋_GB2312"/>
          <w:color w:val="auto"/>
          <w:sz w:val="32"/>
          <w:szCs w:val="32"/>
          <w:lang w:val="en-US" w:eastAsia="zh-CN"/>
        </w:rPr>
        <w:t>52</w:t>
      </w:r>
      <w:r>
        <w:rPr>
          <w:rFonts w:hint="eastAsia" w:ascii="仿宋_GB2312" w:hAnsi="仿宋_GB2312" w:eastAsia="仿宋_GB2312" w:cs="仿宋_GB2312"/>
          <w:color w:val="auto"/>
          <w:sz w:val="32"/>
          <w:szCs w:val="32"/>
          <w:lang w:val="zh-CN"/>
        </w:rPr>
        <w:t>人，医技人员</w:t>
      </w:r>
      <w:r>
        <w:rPr>
          <w:rFonts w:hint="eastAsia" w:ascii="仿宋_GB2312" w:hAnsi="仿宋_GB2312" w:eastAsia="仿宋_GB2312" w:cs="仿宋_GB2312"/>
          <w:color w:val="auto"/>
          <w:sz w:val="32"/>
          <w:szCs w:val="32"/>
          <w:lang w:val="en-US" w:eastAsia="zh-CN"/>
        </w:rPr>
        <w:t>31</w:t>
      </w:r>
      <w:r>
        <w:rPr>
          <w:rFonts w:hint="eastAsia" w:ascii="仿宋_GB2312" w:hAnsi="仿宋_GB2312" w:eastAsia="仿宋_GB2312" w:cs="仿宋_GB2312"/>
          <w:color w:val="auto"/>
          <w:sz w:val="32"/>
          <w:szCs w:val="32"/>
          <w:lang w:val="zh-CN"/>
        </w:rPr>
        <w:t>人，药师12人，护士1</w:t>
      </w:r>
      <w:r>
        <w:rPr>
          <w:rFonts w:hint="eastAsia" w:ascii="仿宋_GB2312" w:hAnsi="仿宋_GB2312" w:eastAsia="仿宋_GB2312" w:cs="仿宋_GB2312"/>
          <w:color w:val="auto"/>
          <w:sz w:val="32"/>
          <w:szCs w:val="32"/>
          <w:lang w:val="en-US" w:eastAsia="zh-CN"/>
        </w:rPr>
        <w:t>95</w:t>
      </w:r>
      <w:r>
        <w:rPr>
          <w:rFonts w:hint="eastAsia" w:ascii="仿宋_GB2312" w:hAnsi="仿宋_GB2312" w:eastAsia="仿宋_GB2312" w:cs="仿宋_GB2312"/>
          <w:color w:val="auto"/>
          <w:sz w:val="32"/>
          <w:szCs w:val="32"/>
          <w:lang w:val="zh-CN"/>
        </w:rPr>
        <w:t>人，其他岗位</w:t>
      </w:r>
      <w:r>
        <w:rPr>
          <w:rFonts w:hint="eastAsia" w:ascii="仿宋_GB2312" w:hAnsi="仿宋_GB2312" w:eastAsia="仿宋_GB2312" w:cs="仿宋_GB2312"/>
          <w:color w:val="auto"/>
          <w:sz w:val="32"/>
          <w:szCs w:val="32"/>
          <w:lang w:val="en-US" w:eastAsia="zh-CN"/>
        </w:rPr>
        <w:t>51</w:t>
      </w:r>
      <w:r>
        <w:rPr>
          <w:rFonts w:hint="eastAsia" w:ascii="仿宋_GB2312" w:hAnsi="仿宋_GB2312" w:eastAsia="仿宋_GB2312" w:cs="仿宋_GB2312"/>
          <w:color w:val="auto"/>
          <w:sz w:val="32"/>
          <w:szCs w:val="32"/>
          <w:lang w:val="zh-CN"/>
        </w:rPr>
        <w:t>人。</w:t>
      </w:r>
    </w:p>
    <w:p>
      <w:pPr>
        <w:keepNext w:val="0"/>
        <w:keepLines w:val="0"/>
        <w:pageBreakBefore w:val="0"/>
        <w:widowControl w:val="0"/>
        <w:numPr>
          <w:ilvl w:val="0"/>
          <w:numId w:val="0"/>
        </w:numPr>
        <w:tabs>
          <w:tab w:val="left" w:pos="613"/>
        </w:tabs>
        <w:kinsoku/>
        <w:wordWrap/>
        <w:overflowPunct/>
        <w:topLinePunct w:val="0"/>
        <w:autoSpaceDE/>
        <w:autoSpaceDN/>
        <w:bidi w:val="0"/>
        <w:spacing w:line="540" w:lineRule="exact"/>
        <w:ind w:right="0" w:rightChars="0" w:firstLine="643" w:firstLineChars="200"/>
        <w:jc w:val="left"/>
        <w:textAlignment w:val="auto"/>
        <w:outlineLvl w:val="9"/>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（二）内设机构及所属单位概况</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left"/>
        <w:textAlignment w:val="auto"/>
        <w:rPr>
          <w:rStyle w:val="8"/>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pPr>
      <w:r>
        <w:rPr>
          <w:rStyle w:val="8"/>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医院设置床位350张，设置神经内科、消化肾病科、呼吸科内分泌科、心血管神经内科、康复理疗中心、创伤外科、普外科、耳鼻喉科、口腔科、皮肤科、妇产科、儿科、泌尿外科、手术麻醉科、重症医学科、急救中心、皮肤科、老年病科、中医疼痛科、门诊部、MMC、妇幼保健科等23个临床科室；设置医学影像科、检验科、超声诊断科、特诊科、健康管理中心、病理科、药剂科等7个医技科室；设置党总支办公室、宣传科、行政办公室、医保科、护理部、人事科、公卫科、财务科、后勤科、信息科、绩效办、质控科、院感科等14个行政职能科室。按照顶算管理制度改革总体要求和新区党工委、管委会决策</w:t>
      </w:r>
      <w:bookmarkStart w:id="0" w:name="_GoBack"/>
      <w:bookmarkEnd w:id="0"/>
      <w:r>
        <w:rPr>
          <w:rStyle w:val="8"/>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部署，坚持依法理财，加强预算管理，规范项目预算编制，切实强化项目管理和绩效评价，提高预算编制的科学性、准确性和合理性。</w:t>
      </w:r>
    </w:p>
    <w:p>
      <w:pPr>
        <w:keepNext w:val="0"/>
        <w:keepLines w:val="0"/>
        <w:pageBreakBefore w:val="0"/>
        <w:numPr>
          <w:ilvl w:val="0"/>
          <w:numId w:val="0"/>
        </w:numPr>
        <w:kinsoku/>
        <w:wordWrap/>
        <w:overflowPunct/>
        <w:topLinePunct w:val="0"/>
        <w:autoSpaceDE/>
        <w:autoSpaceDN/>
        <w:bidi w:val="0"/>
        <w:spacing w:line="540" w:lineRule="exact"/>
        <w:ind w:leftChars="200" w:right="0" w:rightChars="0" w:firstLine="640" w:firstLineChars="200"/>
        <w:jc w:val="left"/>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二、绩效自评工作组织开展情况</w:t>
      </w:r>
    </w:p>
    <w:p>
      <w:pPr>
        <w:keepNext w:val="0"/>
        <w:keepLines w:val="0"/>
        <w:pageBreakBefore w:val="0"/>
        <w:widowControl w:val="0"/>
        <w:numPr>
          <w:ilvl w:val="0"/>
          <w:numId w:val="0"/>
        </w:numPr>
        <w:kinsoku/>
        <w:wordWrap/>
        <w:overflowPunct/>
        <w:topLinePunct w:val="0"/>
        <w:autoSpaceDE/>
        <w:autoSpaceDN/>
        <w:bidi w:val="0"/>
        <w:spacing w:line="540" w:lineRule="exact"/>
        <w:ind w:right="0" w:firstLine="640" w:firstLineChars="200"/>
        <w:jc w:val="left"/>
        <w:textAlignment w:val="auto"/>
        <w:outlineLvl w:val="9"/>
        <w:rPr>
          <w:rStyle w:val="8"/>
          <w:rFonts w:hint="eastAsia" w:ascii="仿宋_GB2312" w:hAnsi="仿宋_GB2312" w:eastAsia="仿宋_GB2312" w:cs="仿宋_GB2312"/>
          <w:b w:val="0"/>
          <w:bCs/>
          <w:i w:val="0"/>
          <w:caps w:val="0"/>
          <w:color w:val="333333"/>
          <w:spacing w:val="0"/>
          <w:kern w:val="1"/>
          <w:sz w:val="32"/>
          <w:szCs w:val="32"/>
          <w:highlight w:val="none"/>
          <w:shd w:val="clear" w:color="auto" w:fill="FFFFFF"/>
          <w:lang w:val="en-US" w:eastAsia="zh-CN"/>
        </w:rPr>
      </w:pPr>
      <w:r>
        <w:rPr>
          <w:rStyle w:val="8"/>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根据</w:t>
      </w:r>
      <w:r>
        <w:rPr>
          <w:rStyle w:val="8"/>
          <w:rFonts w:hint="eastAsia" w:ascii="仿宋_GB2312" w:hAnsi="仿宋_GB2312" w:eastAsia="仿宋_GB2312" w:cs="仿宋_GB2312"/>
          <w:b w:val="0"/>
          <w:bCs/>
          <w:i w:val="0"/>
          <w:caps w:val="0"/>
          <w:color w:val="333333"/>
          <w:spacing w:val="0"/>
          <w:kern w:val="1"/>
          <w:sz w:val="32"/>
          <w:szCs w:val="32"/>
          <w:highlight w:val="none"/>
          <w:shd w:val="clear" w:color="auto" w:fill="FFFFFF"/>
          <w:lang w:val="en-US" w:eastAsia="zh-CN"/>
        </w:rPr>
        <w:t>《</w:t>
      </w:r>
      <w:r>
        <w:rPr>
          <w:rStyle w:val="8"/>
          <w:rFonts w:hint="eastAsia" w:ascii="仿宋_GB2312" w:hAnsi="仿宋_GB2312" w:eastAsia="仿宋_GB2312" w:cs="仿宋_GB2312"/>
          <w:b w:val="0"/>
          <w:bCs/>
          <w:i w:val="0"/>
          <w:caps w:val="0"/>
          <w:color w:val="333333"/>
          <w:spacing w:val="0"/>
          <w:kern w:val="1"/>
          <w:sz w:val="32"/>
          <w:szCs w:val="32"/>
          <w:highlight w:val="none"/>
          <w:shd w:val="clear" w:color="auto" w:fill="FFFFFF"/>
          <w:lang w:eastAsia="zh-CN"/>
        </w:rPr>
        <w:t>兰州新区财政局（国有资产监督管理局）开</w:t>
      </w:r>
      <w:r>
        <w:rPr>
          <w:rStyle w:val="8"/>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展2023年度预算执行情况绩效单位自评工作的通知》文件精神</w:t>
      </w:r>
      <w:r>
        <w:rPr>
          <w:rStyle w:val="8"/>
          <w:rFonts w:hint="eastAsia" w:ascii="仿宋_GB2312" w:hAnsi="仿宋_GB2312" w:eastAsia="仿宋_GB2312" w:cs="仿宋_GB2312"/>
          <w:b w:val="0"/>
          <w:bCs/>
          <w:i w:val="0"/>
          <w:caps w:val="0"/>
          <w:color w:val="333333"/>
          <w:spacing w:val="0"/>
          <w:kern w:val="1"/>
          <w:sz w:val="32"/>
          <w:szCs w:val="32"/>
          <w:highlight w:val="none"/>
          <w:shd w:val="clear" w:color="auto" w:fill="FFFFFF"/>
          <w:lang w:val="en-US" w:eastAsia="zh-CN"/>
        </w:rPr>
        <w:t>，我院积极开展此次预算执行的自评活动，根据文件要求检查相关资料，进行绩效自评的分析与总结。</w:t>
      </w:r>
    </w:p>
    <w:p>
      <w:pPr>
        <w:keepNext w:val="0"/>
        <w:keepLines w:val="0"/>
        <w:pageBreakBefore w:val="0"/>
        <w:numPr>
          <w:ilvl w:val="0"/>
          <w:numId w:val="0"/>
        </w:numPr>
        <w:kinsoku/>
        <w:wordWrap/>
        <w:overflowPunct/>
        <w:topLinePunct w:val="0"/>
        <w:autoSpaceDE/>
        <w:autoSpaceDN/>
        <w:bidi w:val="0"/>
        <w:spacing w:line="540" w:lineRule="exact"/>
        <w:ind w:right="0" w:rightChars="0" w:firstLine="640" w:firstLineChars="200"/>
        <w:jc w:val="left"/>
        <w:textAlignment w:val="auto"/>
        <w:outlineLvl w:val="9"/>
        <w:rPr>
          <w:rFonts w:hint="eastAsia" w:ascii="仿宋_GB2312" w:hAnsi="仿宋_GB2312" w:eastAsia="仿宋_GB2312" w:cs="仿宋_GB2312"/>
          <w:b w:val="0"/>
          <w:bCs w:val="0"/>
          <w:sz w:val="32"/>
          <w:szCs w:val="32"/>
          <w:lang w:val="en-US" w:eastAsia="zh-CN"/>
        </w:rPr>
      </w:pPr>
      <w:r>
        <w:rPr>
          <w:rFonts w:hint="eastAsia" w:ascii="黑体" w:hAnsi="黑体" w:eastAsia="黑体" w:cs="黑体"/>
          <w:b w:val="0"/>
          <w:bCs w:val="0"/>
          <w:sz w:val="32"/>
          <w:szCs w:val="32"/>
          <w:lang w:val="en-US" w:eastAsia="zh-CN"/>
        </w:rPr>
        <w:t>三、部门整体支出绩效自评情况分析</w:t>
      </w:r>
    </w:p>
    <w:p>
      <w:pPr>
        <w:keepNext w:val="0"/>
        <w:keepLines w:val="0"/>
        <w:pageBreakBefore w:val="0"/>
        <w:widowControl w:val="0"/>
        <w:numPr>
          <w:ilvl w:val="0"/>
          <w:numId w:val="0"/>
        </w:numPr>
        <w:tabs>
          <w:tab w:val="left" w:pos="613"/>
        </w:tabs>
        <w:kinsoku/>
        <w:wordWrap/>
        <w:overflowPunct/>
        <w:topLinePunct w:val="0"/>
        <w:autoSpaceDE/>
        <w:autoSpaceDN/>
        <w:bidi w:val="0"/>
        <w:spacing w:line="540" w:lineRule="exact"/>
        <w:ind w:right="0" w:rightChars="0" w:firstLine="643" w:firstLineChars="200"/>
        <w:jc w:val="left"/>
        <w:textAlignment w:val="auto"/>
        <w:outlineLvl w:val="9"/>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（一）部门决算情况</w:t>
      </w:r>
    </w:p>
    <w:p>
      <w:pPr>
        <w:pStyle w:val="5"/>
        <w:keepNext w:val="0"/>
        <w:keepLines w:val="0"/>
        <w:pageBreakBefore w:val="0"/>
        <w:widowControl/>
        <w:kinsoku/>
        <w:wordWrap/>
        <w:overflowPunct/>
        <w:topLinePunct w:val="0"/>
        <w:autoSpaceDE/>
        <w:autoSpaceDN/>
        <w:bidi w:val="0"/>
        <w:spacing w:line="540" w:lineRule="exact"/>
        <w:ind w:right="0" w:firstLine="643" w:firstLineChars="200"/>
        <w:jc w:val="left"/>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1．2023年度支出决算情况</w:t>
      </w:r>
    </w:p>
    <w:p>
      <w:pPr>
        <w:pStyle w:val="9"/>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Style w:val="8"/>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pPr>
      <w:r>
        <w:rPr>
          <w:rStyle w:val="8"/>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2023年度总支出18140.79万元，其中:人员经费支出7354.12万元，占总支出比例40.53%;公用经费支出8680.8万元，占总支出比例47.85%。</w:t>
      </w:r>
    </w:p>
    <w:p>
      <w:pPr>
        <w:pStyle w:val="9"/>
        <w:keepNext w:val="0"/>
        <w:keepLines w:val="0"/>
        <w:pageBreakBefore w:val="0"/>
        <w:widowControl/>
        <w:kinsoku/>
        <w:wordWrap/>
        <w:overflowPunct/>
        <w:topLinePunct w:val="0"/>
        <w:autoSpaceDE/>
        <w:autoSpaceDN/>
        <w:bidi w:val="0"/>
        <w:adjustRightInd/>
        <w:snapToGrid/>
        <w:spacing w:line="540" w:lineRule="exact"/>
        <w:ind w:firstLine="643" w:firstLineChars="200"/>
        <w:jc w:val="left"/>
        <w:textAlignment w:val="auto"/>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2.项目支出决算情况</w:t>
      </w:r>
    </w:p>
    <w:p>
      <w:pPr>
        <w:pStyle w:val="9"/>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Style w:val="8"/>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pPr>
      <w:r>
        <w:rPr>
          <w:rStyle w:val="8"/>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2023年度项目支出2105.87万元，占总支出比例11.61%。</w:t>
      </w:r>
    </w:p>
    <w:p>
      <w:pPr>
        <w:pStyle w:val="9"/>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Style w:val="8"/>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pPr>
      <w:r>
        <w:rPr>
          <w:rStyle w:val="8"/>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1.总体绩效目标</w:t>
      </w:r>
    </w:p>
    <w:p>
      <w:pPr>
        <w:pStyle w:val="9"/>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Style w:val="8"/>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pPr>
      <w:r>
        <w:rPr>
          <w:rStyle w:val="8"/>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（1）发放医护人员工资，缴纳各类保险；办公经费开支；</w:t>
      </w:r>
    </w:p>
    <w:p>
      <w:pPr>
        <w:pStyle w:val="9"/>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Style w:val="8"/>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pPr>
      <w:r>
        <w:rPr>
          <w:rStyle w:val="8"/>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（2）加强基层医疗机构管理及医护人员队伍建设；</w:t>
      </w:r>
    </w:p>
    <w:p>
      <w:pPr>
        <w:pStyle w:val="9"/>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Style w:val="8"/>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pPr>
      <w:r>
        <w:rPr>
          <w:rStyle w:val="8"/>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（3）强调公立医院基本运转服务建设，解决新区百姓看病远，看病难的问题，并结合现代化医院管理目标提供多项服务，并积极开展义诊宣传活动；</w:t>
      </w:r>
    </w:p>
    <w:p>
      <w:pPr>
        <w:pStyle w:val="9"/>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Style w:val="8"/>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pPr>
      <w:r>
        <w:rPr>
          <w:rStyle w:val="8"/>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（4）为单位在职人员支付社保。</w:t>
      </w:r>
    </w:p>
    <w:p>
      <w:pPr>
        <w:pStyle w:val="9"/>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Style w:val="8"/>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pPr>
      <w:r>
        <w:rPr>
          <w:rStyle w:val="8"/>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（5）租赁房屋建筑保障单位业务正常运行。</w:t>
      </w:r>
    </w:p>
    <w:p>
      <w:pPr>
        <w:pStyle w:val="9"/>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Style w:val="8"/>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pPr>
      <w:r>
        <w:rPr>
          <w:rStyle w:val="8"/>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2.完成情况分析</w:t>
      </w:r>
    </w:p>
    <w:p>
      <w:pPr>
        <w:pStyle w:val="9"/>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Style w:val="8"/>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pPr>
      <w:r>
        <w:rPr>
          <w:rStyle w:val="8"/>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（1）人员经费支出7354.12万元；公用经费支出8680.8万元。</w:t>
      </w:r>
    </w:p>
    <w:p>
      <w:pPr>
        <w:pStyle w:val="9"/>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Style w:val="8"/>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pPr>
      <w:r>
        <w:rPr>
          <w:rStyle w:val="8"/>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（2）建立单位规章制度及管理体系，责任落实，分工明确，相互协作，团结一体。</w:t>
      </w:r>
    </w:p>
    <w:p>
      <w:pPr>
        <w:pStyle w:val="9"/>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rPr>
          <w:rStyle w:val="8"/>
          <w:rFonts w:hint="default"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pPr>
      <w:r>
        <w:rPr>
          <w:rStyle w:val="8"/>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（3）完成2023年租赁费用支出2055万元。</w:t>
      </w:r>
    </w:p>
    <w:p>
      <w:pPr>
        <w:keepNext w:val="0"/>
        <w:keepLines w:val="0"/>
        <w:pageBreakBefore w:val="0"/>
        <w:widowControl w:val="0"/>
        <w:numPr>
          <w:ilvl w:val="0"/>
          <w:numId w:val="0"/>
        </w:numPr>
        <w:tabs>
          <w:tab w:val="left" w:pos="613"/>
        </w:tabs>
        <w:kinsoku/>
        <w:wordWrap/>
        <w:overflowPunct/>
        <w:topLinePunct w:val="0"/>
        <w:autoSpaceDE/>
        <w:autoSpaceDN/>
        <w:bidi w:val="0"/>
        <w:spacing w:line="540" w:lineRule="exact"/>
        <w:ind w:right="0" w:rightChars="0" w:firstLine="643" w:firstLineChars="200"/>
        <w:jc w:val="left"/>
        <w:textAlignment w:val="auto"/>
        <w:outlineLvl w:val="9"/>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（二）各项指标完成情况分析</w:t>
      </w:r>
    </w:p>
    <w:p>
      <w:pPr>
        <w:keepNext w:val="0"/>
        <w:keepLines w:val="0"/>
        <w:pageBreakBefore w:val="0"/>
        <w:wordWrap/>
        <w:overflowPunct/>
        <w:topLinePunct w:val="0"/>
        <w:bidi w:val="0"/>
        <w:spacing w:before="100" w:beforeLines="0" w:after="100" w:afterLines="0"/>
        <w:ind w:firstLine="640" w:firstLineChars="200"/>
        <w:jc w:val="left"/>
        <w:rPr>
          <w:rStyle w:val="8"/>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pPr>
      <w:r>
        <w:rPr>
          <w:rStyle w:val="8"/>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1、部门管理</w:t>
      </w:r>
    </w:p>
    <w:p>
      <w:pPr>
        <w:keepNext w:val="0"/>
        <w:keepLines w:val="0"/>
        <w:pageBreakBefore w:val="0"/>
        <w:wordWrap/>
        <w:overflowPunct/>
        <w:topLinePunct w:val="0"/>
        <w:bidi w:val="0"/>
        <w:spacing w:before="100" w:beforeLines="0" w:after="100" w:afterLines="0"/>
        <w:ind w:firstLine="640" w:firstLineChars="200"/>
        <w:jc w:val="left"/>
        <w:rPr>
          <w:rStyle w:val="8"/>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pPr>
      <w:r>
        <w:rPr>
          <w:rStyle w:val="8"/>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2023年度单位人员经费支出和公用经费支出均按照财务相关规定合理支出，根据绩效考核制度变化，支出率百分之百；我院在政府采购管理制度上的了解不够深入，以后会加强政府采购制度的学习；因单位资产配置比较分散，在资产的统一管理制度方面还需要完善。</w:t>
      </w:r>
    </w:p>
    <w:p>
      <w:pPr>
        <w:keepNext w:val="0"/>
        <w:keepLines w:val="0"/>
        <w:pageBreakBefore w:val="0"/>
        <w:wordWrap/>
        <w:overflowPunct/>
        <w:topLinePunct w:val="0"/>
        <w:bidi w:val="0"/>
        <w:spacing w:before="100" w:beforeLines="0" w:after="100" w:afterLines="0"/>
        <w:ind w:firstLine="640" w:firstLineChars="200"/>
        <w:jc w:val="left"/>
        <w:rPr>
          <w:rStyle w:val="8"/>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pPr>
      <w:r>
        <w:rPr>
          <w:rStyle w:val="8"/>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2、履职效果</w:t>
      </w:r>
    </w:p>
    <w:p>
      <w:pPr>
        <w:keepNext w:val="0"/>
        <w:keepLines w:val="0"/>
        <w:pageBreakBefore w:val="0"/>
        <w:wordWrap/>
        <w:overflowPunct/>
        <w:topLinePunct w:val="0"/>
        <w:bidi w:val="0"/>
        <w:spacing w:before="100" w:beforeLines="0" w:after="100" w:afterLines="0"/>
        <w:ind w:firstLine="640" w:firstLineChars="200"/>
        <w:jc w:val="left"/>
        <w:rPr>
          <w:rStyle w:val="8"/>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pPr>
      <w:r>
        <w:rPr>
          <w:rStyle w:val="8"/>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2023年我院综合医疗能力提升工作作为首要任务，做到医院业务服务不松懈，同时在上级主管部门的领导下保运转，严格按照医院承担的重点工作任务，有序推进各项工作，使新区老百姓在家门口就可以享受优质医疗资源。</w:t>
      </w:r>
    </w:p>
    <w:p>
      <w:pPr>
        <w:keepNext w:val="0"/>
        <w:keepLines w:val="0"/>
        <w:pageBreakBefore w:val="0"/>
        <w:wordWrap/>
        <w:overflowPunct/>
        <w:topLinePunct w:val="0"/>
        <w:bidi w:val="0"/>
        <w:spacing w:before="100" w:beforeLines="0" w:after="100" w:afterLines="0"/>
        <w:ind w:firstLine="640" w:firstLineChars="200"/>
        <w:jc w:val="left"/>
        <w:rPr>
          <w:rStyle w:val="8"/>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pPr>
      <w:r>
        <w:rPr>
          <w:rStyle w:val="8"/>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3、能力建设</w:t>
      </w:r>
    </w:p>
    <w:p>
      <w:pPr>
        <w:keepNext w:val="0"/>
        <w:keepLines w:val="0"/>
        <w:pageBreakBefore w:val="0"/>
        <w:wordWrap/>
        <w:overflowPunct/>
        <w:topLinePunct w:val="0"/>
        <w:bidi w:val="0"/>
        <w:spacing w:before="100" w:beforeLines="0" w:after="100" w:afterLines="0"/>
        <w:ind w:firstLine="640" w:firstLineChars="200"/>
        <w:jc w:val="left"/>
        <w:rPr>
          <w:rStyle w:val="8"/>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pPr>
      <w:r>
        <w:rPr>
          <w:rStyle w:val="8"/>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根据科室业务发展，有计划的储备相关专业技术人才，派遣医务人员前往同级及以上医疗机构进修学习。在新入职人员培训中，随着业务逐渐开展的情况，培训制度及内容需与时俱进，除了及时更新国家相关政策及法律法规外，需要完善相关的基本临床技能操作培训。</w:t>
      </w:r>
    </w:p>
    <w:p>
      <w:pPr>
        <w:keepNext w:val="0"/>
        <w:keepLines w:val="0"/>
        <w:pageBreakBefore w:val="0"/>
        <w:widowControl w:val="0"/>
        <w:numPr>
          <w:ilvl w:val="0"/>
          <w:numId w:val="0"/>
        </w:numPr>
        <w:tabs>
          <w:tab w:val="left" w:pos="613"/>
        </w:tabs>
        <w:kinsoku/>
        <w:wordWrap/>
        <w:overflowPunct/>
        <w:topLinePunct w:val="0"/>
        <w:autoSpaceDE/>
        <w:autoSpaceDN/>
        <w:bidi w:val="0"/>
        <w:spacing w:line="540" w:lineRule="exact"/>
        <w:ind w:right="0" w:rightChars="0" w:firstLine="643" w:firstLineChars="200"/>
        <w:jc w:val="left"/>
        <w:textAlignment w:val="auto"/>
        <w:outlineLvl w:val="9"/>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（三）绩效自评结果拟应用和公开情况</w:t>
      </w:r>
    </w:p>
    <w:p>
      <w:pPr>
        <w:keepNext w:val="0"/>
        <w:keepLines w:val="0"/>
        <w:pageBreakBefore w:val="0"/>
        <w:wordWrap/>
        <w:overflowPunct/>
        <w:topLinePunct w:val="0"/>
        <w:bidi w:val="0"/>
        <w:spacing w:before="100" w:beforeLines="0" w:after="100" w:afterLines="0"/>
        <w:ind w:firstLine="640" w:firstLineChars="200"/>
        <w:jc w:val="left"/>
        <w:rPr>
          <w:rStyle w:val="8"/>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pPr>
      <w:r>
        <w:rPr>
          <w:rStyle w:val="8"/>
          <w:rFonts w:hint="eastAsia" w:ascii="仿宋_GB2312" w:hAnsi="仿宋_GB2312" w:eastAsia="仿宋_GB2312" w:cs="仿宋_GB2312"/>
          <w:b w:val="0"/>
          <w:bCs/>
          <w:i w:val="0"/>
          <w:caps w:val="0"/>
          <w:color w:val="333333"/>
          <w:spacing w:val="0"/>
          <w:kern w:val="2"/>
          <w:sz w:val="32"/>
          <w:szCs w:val="32"/>
          <w:highlight w:val="none"/>
          <w:shd w:val="clear" w:color="auto" w:fill="FFFFFF"/>
          <w:lang w:val="en-US" w:eastAsia="zh-CN" w:bidi="ar-SA"/>
        </w:rPr>
        <w:t>根据本次绩效自评工作的要求及相关文件规定，对预算执行情况自评结果进行了分析总结，进一步了解了有关预算执行的内容，方便在以后能够详细规划下一年度的预算执行，在现有的基础上，对需要整改的内容提前进行整改。</w:t>
      </w:r>
    </w:p>
    <w:p>
      <w:pPr>
        <w:pStyle w:val="5"/>
        <w:keepNext w:val="0"/>
        <w:keepLines w:val="0"/>
        <w:pageBreakBefore w:val="0"/>
        <w:widowControl/>
        <w:kinsoku/>
        <w:wordWrap/>
        <w:overflowPunct/>
        <w:topLinePunct w:val="0"/>
        <w:autoSpaceDE/>
        <w:autoSpaceDN/>
        <w:bidi w:val="0"/>
        <w:spacing w:line="540" w:lineRule="exact"/>
        <w:ind w:right="0" w:firstLine="643" w:firstLineChars="200"/>
        <w:jc w:val="left"/>
        <w:textAlignment w:val="auto"/>
        <w:outlineLvl w:val="9"/>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（四）其他需要说明的问题</w:t>
      </w:r>
    </w:p>
    <w:p>
      <w:pPr>
        <w:keepNext w:val="0"/>
        <w:keepLines w:val="0"/>
        <w:pageBreakBefore w:val="0"/>
        <w:widowControl w:val="0"/>
        <w:numPr>
          <w:ilvl w:val="0"/>
          <w:numId w:val="0"/>
        </w:numPr>
        <w:tabs>
          <w:tab w:val="left" w:pos="613"/>
        </w:tabs>
        <w:kinsoku/>
        <w:wordWrap/>
        <w:overflowPunct/>
        <w:topLinePunct w:val="0"/>
        <w:autoSpaceDE/>
        <w:autoSpaceDN/>
        <w:bidi w:val="0"/>
        <w:spacing w:line="540" w:lineRule="exact"/>
        <w:ind w:right="0" w:rightChars="0" w:firstLine="640" w:firstLineChars="200"/>
        <w:jc w:val="left"/>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本次绩效自评无其他需要说明的问题。</w:t>
      </w:r>
    </w:p>
    <w:p>
      <w:pPr>
        <w:keepNext w:val="0"/>
        <w:keepLines w:val="0"/>
        <w:pageBreakBefore w:val="0"/>
        <w:numPr>
          <w:ilvl w:val="5"/>
          <w:numId w:val="0"/>
        </w:numPr>
        <w:kinsoku/>
        <w:wordWrap/>
        <w:overflowPunct/>
        <w:topLinePunct w:val="0"/>
        <w:autoSpaceDE/>
        <w:autoSpaceDN/>
        <w:bidi w:val="0"/>
        <w:spacing w:line="560" w:lineRule="exact"/>
        <w:ind w:right="0" w:firstLine="640" w:firstLineChars="200"/>
        <w:jc w:val="left"/>
        <w:textAlignment w:val="auto"/>
        <w:outlineLvl w:val="9"/>
        <w:rPr>
          <w:rFonts w:hint="eastAsia" w:ascii="仿宋_GB2312" w:hAnsi="仿宋_GB2312" w:eastAsia="仿宋_GB2312" w:cs="仿宋_GB2312"/>
          <w:sz w:val="32"/>
          <w:szCs w:val="32"/>
          <w:lang w:val="en-US" w:eastAsia="zh-CN"/>
        </w:rPr>
      </w:pPr>
    </w:p>
    <w:p>
      <w:pPr>
        <w:pStyle w:val="9"/>
        <w:keepNext w:val="0"/>
        <w:keepLines w:val="0"/>
        <w:pageBreakBefore w:val="0"/>
        <w:wordWrap/>
        <w:overflowPunct/>
        <w:topLinePunct w:val="0"/>
        <w:bidi w:val="0"/>
        <w:ind w:firstLine="640" w:firstLineChars="200"/>
        <w:jc w:val="left"/>
        <w:rPr>
          <w:rFonts w:hint="eastAsia" w:ascii="仿宋_GB2312" w:hAnsi="仿宋_GB2312" w:eastAsia="仿宋_GB2312" w:cs="仿宋_GB2312"/>
          <w:sz w:val="32"/>
          <w:szCs w:val="32"/>
          <w:lang w:val="en-US" w:eastAsia="zh-CN"/>
        </w:rPr>
      </w:pPr>
    </w:p>
    <w:p>
      <w:pPr>
        <w:pStyle w:val="9"/>
        <w:keepNext w:val="0"/>
        <w:keepLines w:val="0"/>
        <w:pageBreakBefore w:val="0"/>
        <w:wordWrap/>
        <w:overflowPunct/>
        <w:topLinePunct w:val="0"/>
        <w:bidi w:val="0"/>
        <w:ind w:firstLine="640" w:firstLineChars="200"/>
        <w:jc w:val="left"/>
        <w:rPr>
          <w:rFonts w:hint="eastAsia" w:ascii="仿宋_GB2312" w:hAnsi="仿宋_GB2312" w:eastAsia="仿宋_GB2312" w:cs="仿宋_GB2312"/>
          <w:sz w:val="32"/>
          <w:szCs w:val="32"/>
          <w:lang w:val="en-US" w:eastAsia="zh-CN"/>
        </w:rPr>
      </w:pPr>
    </w:p>
    <w:p>
      <w:pPr>
        <w:pStyle w:val="5"/>
        <w:keepNext w:val="0"/>
        <w:keepLines w:val="0"/>
        <w:pageBreakBefore w:val="0"/>
        <w:widowControl/>
        <w:kinsoku/>
        <w:wordWrap/>
        <w:overflowPunct/>
        <w:topLinePunct w:val="0"/>
        <w:autoSpaceDE/>
        <w:autoSpaceDN/>
        <w:bidi w:val="0"/>
        <w:spacing w:line="560" w:lineRule="exact"/>
        <w:ind w:right="0" w:firstLine="640" w:firstLineChars="200"/>
        <w:jc w:val="right"/>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兰州新区</w:t>
      </w:r>
      <w:r>
        <w:rPr>
          <w:rFonts w:hint="eastAsia" w:ascii="仿宋_GB2312" w:hAnsi="仿宋_GB2312" w:eastAsia="仿宋_GB2312" w:cs="仿宋_GB2312"/>
          <w:sz w:val="32"/>
          <w:szCs w:val="32"/>
          <w:lang w:eastAsia="zh-CN"/>
        </w:rPr>
        <w:t>第一人民医院</w:t>
      </w:r>
    </w:p>
    <w:p>
      <w:pPr>
        <w:pStyle w:val="5"/>
        <w:keepNext w:val="0"/>
        <w:keepLines w:val="0"/>
        <w:pageBreakBefore w:val="0"/>
        <w:widowControl/>
        <w:kinsoku/>
        <w:wordWrap/>
        <w:overflowPunct/>
        <w:topLinePunct w:val="0"/>
        <w:autoSpaceDE/>
        <w:autoSpaceDN/>
        <w:bidi w:val="0"/>
        <w:spacing w:line="560" w:lineRule="exact"/>
        <w:ind w:right="0" w:firstLine="640" w:firstLineChars="200"/>
        <w:jc w:val="righ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日</w:t>
      </w:r>
    </w:p>
    <w:p>
      <w:pPr>
        <w:keepNext w:val="0"/>
        <w:keepLines w:val="0"/>
        <w:pageBreakBefore w:val="0"/>
        <w:kinsoku/>
        <w:wordWrap/>
        <w:overflowPunct/>
        <w:topLinePunct w:val="0"/>
        <w:autoSpaceDE/>
        <w:autoSpaceDN/>
        <w:bidi w:val="0"/>
        <w:spacing w:line="560" w:lineRule="exact"/>
        <w:ind w:firstLine="420" w:firstLineChars="200"/>
        <w:jc w:val="left"/>
        <w:textAlignment w:val="auto"/>
        <w:rPr>
          <w:rFonts w:hint="default"/>
          <w:lang w:val="en-US" w:eastAsia="zh-CN"/>
        </w:rPr>
      </w:pPr>
    </w:p>
    <w:p>
      <w:pPr>
        <w:keepNext w:val="0"/>
        <w:keepLines w:val="0"/>
        <w:pageBreakBefore w:val="0"/>
        <w:wordWrap/>
        <w:overflowPunct/>
        <w:topLinePunct w:val="0"/>
        <w:bidi w:val="0"/>
        <w:ind w:firstLine="420" w:firstLineChars="200"/>
        <w:jc w:val="left"/>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left" w:pos="1083"/>
        <w:tab w:val="clear" w:pos="4153"/>
      </w:tabs>
    </w:pPr>
    <w:r>
      <w:rPr>
        <w:rFonts w:hint="eastAsia"/>
        <w:lang w:eastAsia="zh-CN"/>
      </w:rPr>
      <w:tab/>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wOGRmMmJmMjg2NTNjMmY5ODk5NjlmYmUyOGYxNTQifQ=="/>
  </w:docVars>
  <w:rsids>
    <w:rsidRoot w:val="144C69B3"/>
    <w:rsid w:val="144C69B3"/>
    <w:rsid w:val="399117BE"/>
    <w:rsid w:val="73B94D3A"/>
    <w:rsid w:val="77824C42"/>
    <w:rsid w:val="78903C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Normal (Web)"/>
    <w:basedOn w:val="1"/>
    <w:qFormat/>
    <w:uiPriority w:val="0"/>
    <w:rPr>
      <w:sz w:val="24"/>
    </w:rPr>
  </w:style>
  <w:style w:type="character" w:styleId="8">
    <w:name w:val="Strong"/>
    <w:basedOn w:val="7"/>
    <w:qFormat/>
    <w:uiPriority w:val="0"/>
    <w:rPr>
      <w:b/>
    </w:rPr>
  </w:style>
  <w:style w:type="paragraph" w:customStyle="1" w:styleId="9">
    <w:name w:val="样式1"/>
    <w:basedOn w:val="1"/>
    <w:qFormat/>
    <w:uiPriority w:val="0"/>
    <w:rPr>
      <w:rFonts w:eastAsia="仿宋_GB2312"/>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1640</Words>
  <Characters>1757</Characters>
  <Lines>0</Lines>
  <Paragraphs>0</Paragraphs>
  <TotalTime>3</TotalTime>
  <ScaleCrop>false</ScaleCrop>
  <LinksUpToDate>false</LinksUpToDate>
  <CharactersWithSpaces>1781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2024-09-09T09:55:00Z</dcterms:created>
  <dc:creator>Administrator</dc:creator>
  <cp:lastModifiedBy>庞传伟</cp:lastModifiedBy>
  <cp:lastPrinted>2024-09-18T06:17:00Z</cp:lastPrinted>
  <dcterms:modified xsi:type="dcterms:W3CDTF">2024-09-20T10:07:09Z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5E85499CAC944B5184AE06499A715421_13</vt:lpwstr>
  </property>
</Properties>
</file>