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1DB37">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兰州新区党群工作部部2023年度部门整体支出</w:t>
      </w:r>
    </w:p>
    <w:p w14:paraId="38C40BE4">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14:paraId="6E7D57AA">
      <w:pPr>
        <w:bidi w:val="0"/>
        <w:rPr>
          <w:rFonts w:hint="eastAsia"/>
          <w:lang w:val="en-US" w:eastAsia="zh-CN"/>
        </w:rPr>
      </w:pPr>
    </w:p>
    <w:tbl>
      <w:tblPr>
        <w:tblStyle w:val="12"/>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893"/>
        <w:gridCol w:w="717"/>
        <w:gridCol w:w="885"/>
        <w:gridCol w:w="735"/>
        <w:gridCol w:w="240"/>
        <w:gridCol w:w="645"/>
        <w:gridCol w:w="735"/>
        <w:gridCol w:w="1137"/>
      </w:tblGrid>
      <w:tr w14:paraId="4C2DF9B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14:paraId="4AE9F537">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14:paraId="5118727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730467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14:paraId="6F8B0B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14:paraId="41CFC4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兰州新区党群工作部2023年度部门整体支出绩效评价</w:t>
            </w:r>
          </w:p>
        </w:tc>
      </w:tr>
      <w:tr w14:paraId="2FCB9C4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0D04FF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428102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FFFFFF"/>
            <w:vAlign w:val="center"/>
          </w:tcPr>
          <w:p w14:paraId="2C53A43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14:paraId="03DCBA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14:paraId="1FA3D2C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14:paraId="1CCA1E7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FB482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93EDC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14:paraId="3422104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兰州新区党群工作部</w:t>
            </w:r>
          </w:p>
        </w:tc>
      </w:tr>
      <w:tr w14:paraId="37911A7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14:paraId="2839A7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14:paraId="39B7BB1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党群工作部部门整体支出预算编制的合理性和科学性、预算执行的时效性、预算控制和监督的有效性，以及部门基本运转、履职尽责和履职效能等情况；同时重点关注部门内部控制管理、非税收入管理等情况，全面考核部门整体支出和履职职能的匹配程度，及时发现部门存在的不足和问题，提出合理意见建议，从而提升部门整体预算绩效管理水平，提高财政资金使用效益。</w:t>
            </w:r>
          </w:p>
        </w:tc>
      </w:tr>
      <w:tr w14:paraId="6ACDF15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4E32548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14:paraId="766AB44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FFFFFF"/>
            <w:vAlign w:val="center"/>
          </w:tcPr>
          <w:p w14:paraId="3364AB42">
            <w:pPr>
              <w:keepNext w:val="0"/>
              <w:keepLines w:val="0"/>
              <w:pageBreakBefore w:val="0"/>
              <w:widowControl w:val="0"/>
              <w:tabs>
                <w:tab w:val="center" w:pos="873"/>
                <w:tab w:val="right" w:pos="1626"/>
              </w:tabs>
              <w:kinsoku/>
              <w:wordWrap/>
              <w:overflowPunct/>
              <w:topLinePunct w:val="0"/>
              <w:autoSpaceDE/>
              <w:autoSpaceDN/>
              <w:bidi w:val="0"/>
              <w:adjustRightInd/>
              <w:snapToGrid/>
              <w:spacing w:line="400" w:lineRule="exact"/>
              <w:ind w:firstLine="0" w:firstLineChars="0"/>
              <w:jc w:val="left"/>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ab/>
            </w:r>
            <w:bookmarkStart w:id="3" w:name="_GoBack"/>
            <w:r>
              <w:rPr>
                <w:rFonts w:hint="eastAsia" w:ascii="宋体" w:hAnsi="宋体" w:eastAsia="宋体" w:cs="宋体"/>
                <w:b w:val="0"/>
                <w:color w:val="000000"/>
                <w:sz w:val="24"/>
                <w:szCs w:val="24"/>
                <w:vertAlign w:val="baseline"/>
                <w:lang w:val="en-US" w:eastAsia="zh-CN"/>
              </w:rPr>
              <w:t>1668.01</w:t>
            </w:r>
            <w:bookmarkEnd w:id="3"/>
          </w:p>
        </w:tc>
        <w:tc>
          <w:tcPr>
            <w:tcW w:w="1860" w:type="dxa"/>
            <w:gridSpan w:val="3"/>
            <w:tcBorders>
              <w:tl2br w:val="nil"/>
              <w:tr2bl w:val="nil"/>
            </w:tcBorders>
            <w:shd w:val="clear" w:color="auto" w:fill="FFFFFF"/>
            <w:vAlign w:val="center"/>
          </w:tcPr>
          <w:p w14:paraId="4CA61A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14:paraId="0DD61D61">
            <w:pPr>
              <w:keepNext w:val="0"/>
              <w:keepLines w:val="0"/>
              <w:pageBreakBefore w:val="0"/>
              <w:widowControl w:val="0"/>
              <w:kinsoku/>
              <w:wordWrap/>
              <w:overflowPunct/>
              <w:topLinePunct w:val="0"/>
              <w:autoSpaceDE/>
              <w:autoSpaceDN/>
              <w:bidi w:val="0"/>
              <w:adjustRightInd/>
              <w:snapToGrid/>
              <w:spacing w:line="400" w:lineRule="exact"/>
              <w:ind w:firstLine="720" w:firstLineChars="300"/>
              <w:jc w:val="both"/>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1668.01</w:t>
            </w:r>
          </w:p>
        </w:tc>
      </w:tr>
      <w:tr w14:paraId="746BB36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6AABAB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5E89D7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gridSpan w:val="3"/>
            <w:tcBorders>
              <w:tl2br w:val="nil"/>
              <w:tr2bl w:val="nil"/>
            </w:tcBorders>
            <w:shd w:val="clear" w:color="auto" w:fill="FFFFFF"/>
            <w:vAlign w:val="center"/>
          </w:tcPr>
          <w:p w14:paraId="00CF9F7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gridSpan w:val="3"/>
            <w:tcBorders>
              <w:tl2br w:val="nil"/>
              <w:tr2bl w:val="nil"/>
            </w:tcBorders>
            <w:shd w:val="clear" w:color="auto" w:fill="FFFFFF"/>
            <w:vAlign w:val="center"/>
          </w:tcPr>
          <w:p w14:paraId="45C3E68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3"/>
            <w:tcBorders>
              <w:tl2br w:val="nil"/>
              <w:tr2bl w:val="nil"/>
            </w:tcBorders>
            <w:shd w:val="clear" w:color="auto" w:fill="FFFFFF"/>
            <w:vAlign w:val="center"/>
          </w:tcPr>
          <w:p w14:paraId="392DE6D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14:paraId="1BF57A1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659FF2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4D3B1ED4">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gridSpan w:val="3"/>
            <w:tcBorders>
              <w:tl2br w:val="nil"/>
              <w:tr2bl w:val="nil"/>
            </w:tcBorders>
            <w:shd w:val="clear" w:color="auto" w:fill="FFFFFF"/>
            <w:vAlign w:val="center"/>
          </w:tcPr>
          <w:p w14:paraId="4973D5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1668.01</w:t>
            </w:r>
          </w:p>
        </w:tc>
        <w:tc>
          <w:tcPr>
            <w:tcW w:w="1860" w:type="dxa"/>
            <w:gridSpan w:val="3"/>
            <w:tcBorders>
              <w:tl2br w:val="nil"/>
              <w:tr2bl w:val="nil"/>
            </w:tcBorders>
            <w:shd w:val="clear" w:color="auto" w:fill="FFFFFF"/>
            <w:vAlign w:val="center"/>
          </w:tcPr>
          <w:p w14:paraId="681890DF">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3"/>
            <w:tcBorders>
              <w:tl2br w:val="nil"/>
              <w:tr2bl w:val="nil"/>
            </w:tcBorders>
            <w:shd w:val="clear" w:color="auto" w:fill="FFFFFF"/>
            <w:vAlign w:val="center"/>
          </w:tcPr>
          <w:p w14:paraId="530E8A7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kern w:val="2"/>
                <w:sz w:val="24"/>
                <w:szCs w:val="24"/>
                <w:vertAlign w:val="baseline"/>
                <w:lang w:val="en-US" w:eastAsia="zh-CN" w:bidi="ar-SA"/>
              </w:rPr>
              <w:t>1668.01</w:t>
            </w:r>
          </w:p>
        </w:tc>
      </w:tr>
      <w:tr w14:paraId="0FE6B4E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9789F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44F26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FFFFFF"/>
            <w:vAlign w:val="center"/>
          </w:tcPr>
          <w:p w14:paraId="312F8C3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1631.34</w:t>
            </w:r>
          </w:p>
        </w:tc>
        <w:tc>
          <w:tcPr>
            <w:tcW w:w="1860" w:type="dxa"/>
            <w:gridSpan w:val="3"/>
            <w:tcBorders>
              <w:tl2br w:val="nil"/>
              <w:tr2bl w:val="nil"/>
            </w:tcBorders>
            <w:shd w:val="clear" w:color="auto" w:fill="FFFFFF"/>
            <w:vAlign w:val="center"/>
          </w:tcPr>
          <w:p w14:paraId="491A92E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14:paraId="3932261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14:paraId="6CD41B4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535B8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C1B1B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14:paraId="71468A9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97.80%</w:t>
            </w:r>
          </w:p>
        </w:tc>
      </w:tr>
      <w:tr w14:paraId="6663FD7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14:paraId="73E4FC9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14:paraId="71AF1A4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096D14A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14:paraId="585B5F0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根据兰州新区党群工作部《2023年度部门整体支出绩效目标申报表》，总结并梳理出兰州新区党群工作部2023年度部门整体支出绩效目标为：</w:t>
            </w:r>
          </w:p>
          <w:p w14:paraId="2FF3045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精神文明建设推进有力。建成并高效运营“新区道德讲堂”智慧平台，上传宣传内容1000余条，组建新区“基层思想道德宣讲团”，开展宣讲90余场次，全方位、立体化、常态化开展道德宣讲，受众超10万人次。深入实施“我们的节日”“德润陇原”“童心向党”等系列宣传教育活动，推荐省市先进典型15人，</w:t>
            </w:r>
            <w:r>
              <w:rPr>
                <w:rFonts w:hint="default" w:ascii="宋体" w:hAnsi="宋体" w:eastAsia="宋体" w:cs="宋体"/>
                <w:b w:val="0"/>
                <w:bCs w:val="0"/>
                <w:sz w:val="24"/>
                <w:szCs w:val="24"/>
                <w:lang w:val="en-US" w:eastAsia="zh-CN"/>
              </w:rPr>
              <w:t>形成</w:t>
            </w:r>
            <w:r>
              <w:rPr>
                <w:rFonts w:hint="eastAsia" w:ascii="宋体" w:hAnsi="宋体" w:eastAsia="宋体" w:cs="宋体"/>
                <w:b w:val="0"/>
                <w:bCs w:val="0"/>
                <w:sz w:val="24"/>
                <w:szCs w:val="24"/>
                <w:lang w:val="en-US" w:eastAsia="zh-CN"/>
              </w:rPr>
              <w:t>了</w:t>
            </w:r>
            <w:r>
              <w:rPr>
                <w:rFonts w:hint="default" w:ascii="宋体" w:hAnsi="宋体" w:eastAsia="宋体" w:cs="宋体"/>
                <w:b w:val="0"/>
                <w:bCs w:val="0"/>
                <w:sz w:val="24"/>
                <w:szCs w:val="24"/>
                <w:lang w:val="en-US" w:eastAsia="zh-CN"/>
              </w:rPr>
              <w:t>崇德向善、</w:t>
            </w:r>
            <w:r>
              <w:rPr>
                <w:rFonts w:hint="eastAsia" w:ascii="宋体" w:hAnsi="宋体" w:eastAsia="宋体" w:cs="宋体"/>
                <w:b w:val="0"/>
                <w:bCs w:val="0"/>
                <w:sz w:val="24"/>
                <w:szCs w:val="24"/>
                <w:lang w:val="en-US" w:eastAsia="zh-CN"/>
              </w:rPr>
              <w:t>见贤思齐</w:t>
            </w:r>
            <w:r>
              <w:rPr>
                <w:rFonts w:hint="default" w:ascii="宋体" w:hAnsi="宋体" w:eastAsia="宋体" w:cs="宋体"/>
                <w:b w:val="0"/>
                <w:bCs w:val="0"/>
                <w:sz w:val="24"/>
                <w:szCs w:val="24"/>
                <w:lang w:val="en-US" w:eastAsia="zh-CN"/>
              </w:rPr>
              <w:t>的道德价值风尚。</w:t>
            </w:r>
            <w:r>
              <w:rPr>
                <w:rFonts w:hint="eastAsia" w:ascii="宋体" w:hAnsi="宋体" w:eastAsia="宋体" w:cs="宋体"/>
                <w:b w:val="0"/>
                <w:bCs w:val="0"/>
                <w:sz w:val="24"/>
                <w:szCs w:val="24"/>
                <w:lang w:val="en-US" w:eastAsia="zh-CN"/>
              </w:rPr>
              <w:t>2家单位获评省级文明单位称号，2所学校获评省级文明校园称号，中川镇何家梁村获批省级文明村称号。深化群众性文明创建工作，培育新时代文明实践、文明单位、文明校园、诚信企业、乡风文明等示范点8个，打造具有新区特色的精神文明建设“新名片”。大力培育和践行社会主义核心价值观，建成各级新时代文明实践阵地</w:t>
            </w:r>
            <w:r>
              <w:rPr>
                <w:rFonts w:hint="default" w:ascii="宋体" w:hAnsi="宋体" w:eastAsia="宋体" w:cs="宋体"/>
                <w:b w:val="0"/>
                <w:bCs w:val="0"/>
                <w:sz w:val="24"/>
                <w:szCs w:val="24"/>
                <w:lang w:val="en" w:eastAsia="zh-CN"/>
              </w:rPr>
              <w:t>71</w:t>
            </w:r>
            <w:r>
              <w:rPr>
                <w:rFonts w:hint="eastAsia" w:ascii="宋体" w:hAnsi="宋体" w:eastAsia="宋体" w:cs="宋体"/>
                <w:b w:val="0"/>
                <w:bCs w:val="0"/>
                <w:sz w:val="24"/>
                <w:szCs w:val="24"/>
                <w:lang w:val="en-US" w:eastAsia="zh-CN"/>
              </w:rPr>
              <w:t>个，实现社区、镇村全覆盖。常态化开展文明实践活动，组织开展环境卫生整治、文明交通、文明旅游、义诊服务等各类文明实践志愿服务活动50余次，培育打造“有声图书馆”“基层宣讲团”“振兴工厂”等3个特色鲜明、群众青睐的文明实践品牌，推动党的创新理论“飞入寻常百姓家”，示范带动新区整体文明程度攀升。</w:t>
            </w:r>
          </w:p>
          <w:p w14:paraId="0EC53D3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是统一战线事业稳步发展。举办“统一战线大讲堂”4期，常态化开展爱国主义宣传教育，引导各族群众、统战对象坚定不移听党话、感党恩、跟党走。主动融入“沿洮沿黄民族团结进步创新区”联创共建，实施中华民族共同体意识“石榴籽”教育工程，举办新区青少年“石榴籽”研学活动2次，开展民族团结文艺演出10场次，累计观看人数2万余人次，不断增强各族群众的情感联系和思想共鸣，成功创建省级民族团结进步示范单位2家。积极构筑中华民族共有精神家园，建成百花公园、新康村铸牢中华民族共同体意识主题公园，持续促进各民族交流、交往、交融，营造各民族相互尊重、相互包容、相互促进、和谐共处的良好氛围，培育打造了小横路互嵌式社区和新康村生态移民安置新样板，</w:t>
            </w:r>
            <w:r>
              <w:rPr>
                <w:rFonts w:hint="default" w:ascii="宋体" w:hAnsi="宋体" w:eastAsia="宋体" w:cs="宋体"/>
                <w:b w:val="0"/>
                <w:bCs w:val="0"/>
                <w:sz w:val="24"/>
                <w:szCs w:val="24"/>
                <w:lang w:val="en-US" w:eastAsia="zh-CN"/>
              </w:rPr>
              <w:t>呈现</w:t>
            </w:r>
            <w:r>
              <w:rPr>
                <w:rFonts w:hint="eastAsia" w:ascii="宋体" w:hAnsi="宋体" w:eastAsia="宋体" w:cs="宋体"/>
                <w:b w:val="0"/>
                <w:bCs w:val="0"/>
                <w:sz w:val="24"/>
                <w:szCs w:val="24"/>
                <w:lang w:val="en-US" w:eastAsia="zh-CN"/>
              </w:rPr>
              <w:t>民族团结、宗教</w:t>
            </w:r>
            <w:r>
              <w:rPr>
                <w:rFonts w:hint="default" w:ascii="宋体" w:hAnsi="宋体" w:eastAsia="宋体" w:cs="宋体"/>
                <w:b w:val="0"/>
                <w:bCs w:val="0"/>
                <w:sz w:val="24"/>
                <w:szCs w:val="24"/>
                <w:lang w:val="en-US" w:eastAsia="zh-CN"/>
              </w:rPr>
              <w:t>和睦</w:t>
            </w:r>
            <w:r>
              <w:rPr>
                <w:rFonts w:hint="eastAsia" w:ascii="宋体" w:hAnsi="宋体" w:eastAsia="宋体" w:cs="宋体"/>
                <w:b w:val="0"/>
                <w:bCs w:val="0"/>
                <w:sz w:val="24"/>
                <w:szCs w:val="24"/>
                <w:lang w:val="en-US" w:eastAsia="zh-CN"/>
              </w:rPr>
              <w:t>、社会和谐</w:t>
            </w:r>
            <w:r>
              <w:rPr>
                <w:rFonts w:hint="default" w:ascii="宋体" w:hAnsi="宋体" w:eastAsia="宋体" w:cs="宋体"/>
                <w:b w:val="0"/>
                <w:bCs w:val="0"/>
                <w:sz w:val="24"/>
                <w:szCs w:val="24"/>
                <w:lang w:val="en-US" w:eastAsia="zh-CN"/>
              </w:rPr>
              <w:t>的良好局面</w:t>
            </w:r>
            <w:r>
              <w:rPr>
                <w:rFonts w:hint="eastAsia" w:ascii="宋体" w:hAnsi="宋体" w:eastAsia="宋体" w:cs="宋体"/>
                <w:b w:val="0"/>
                <w:bCs w:val="0"/>
                <w:sz w:val="24"/>
                <w:szCs w:val="24"/>
                <w:lang w:val="en-US" w:eastAsia="zh-CN"/>
              </w:rPr>
              <w:t>。</w:t>
            </w:r>
          </w:p>
          <w:p w14:paraId="4D518B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是民营经济活力持续释放。围绕新区优势产业，充分发挥工商联会员企业资源优势，聚焦京津冀、珠三角、长三角等重点区域，组建招商小分队赴外开展以商招商、以企引企活动，组织优秀民营企业参加兰洽会等重要展会，不断拓展招商渠道、扩大招商成果。今年引进项目5个、签约金额11.92亿元，到位资金1.24亿元，产生固投0.58亿元。</w:t>
            </w:r>
          </w:p>
          <w:p w14:paraId="2F32D6C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四机关党建质量稳步提升。牢固树立大抓基层的鲜明导向，把推动党建与业务工作深度融合作为工作重点，</w:t>
            </w:r>
            <w:r>
              <w:rPr>
                <w:rFonts w:hint="default" w:ascii="宋体" w:hAnsi="宋体" w:eastAsia="宋体" w:cs="宋体"/>
                <w:b w:val="0"/>
                <w:bCs w:val="0"/>
                <w:sz w:val="24"/>
                <w:szCs w:val="24"/>
                <w:lang w:val="en-US" w:eastAsia="zh-CN"/>
              </w:rPr>
              <w:t>着力打造“机关先锋”党建品牌，机关党建质量</w:t>
            </w:r>
            <w:r>
              <w:rPr>
                <w:rFonts w:hint="eastAsia" w:ascii="宋体" w:hAnsi="宋体" w:eastAsia="宋体" w:cs="宋体"/>
                <w:b w:val="0"/>
                <w:bCs w:val="0"/>
                <w:sz w:val="24"/>
                <w:szCs w:val="24"/>
                <w:lang w:val="en-US" w:eastAsia="zh-CN"/>
              </w:rPr>
              <w:t>不断提高。五是群团活力日益增强。充分发挥群团组织优势作用，团结带领广大职工、青年、妇女在新区建设发展的火热实践中建功立业，汇聚起携手奋进、推动发展的强大合力。丰富“职工大讲堂”“青年大讲堂”“巾帼大讲堂”宣讲内容，累计举办讲堂30期，高效运营“新区工惠”线上平台，上传各类宣讲内容300余条，通过开展线上线下各类学习宣传活动，引领广大职工、青年、妇女群众坚定不移听党话、矢志不渝跟党走。扎实推进乡村振兴巾帼行动，培育打造全省“乡村振兴巾帼示范基地”1个、“巾帼乡村就业工厂”2个，解决女性就业120余人。教育引导职工、青年、妇女依法维护自身权益，建立妇女儿童权益维护联动工作机制，成立新区“巾帼工作室”，成功调解婚姻家庭类矛盾20余起。</w:t>
            </w:r>
          </w:p>
        </w:tc>
      </w:tr>
      <w:tr w14:paraId="6FC4C6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28FA5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14:paraId="67975EC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11F974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14:paraId="158433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兰州新区党群工作部2023年度部门全年预算资金</w:t>
            </w:r>
            <w:r>
              <w:rPr>
                <w:rFonts w:hint="eastAsia" w:ascii="宋体" w:hAnsi="宋体" w:eastAsia="宋体" w:cs="宋体"/>
                <w:b w:val="0"/>
                <w:color w:val="000000"/>
                <w:sz w:val="24"/>
                <w:szCs w:val="24"/>
                <w:vertAlign w:val="baseline"/>
                <w:lang w:val="en-US" w:eastAsia="zh-CN"/>
              </w:rPr>
              <w:t>1668.01</w:t>
            </w:r>
            <w:r>
              <w:rPr>
                <w:rFonts w:hint="eastAsia" w:ascii="宋体" w:hAnsi="宋体" w:eastAsia="宋体" w:cs="宋体"/>
                <w:b w:val="0"/>
                <w:bCs w:val="0"/>
                <w:sz w:val="24"/>
                <w:szCs w:val="24"/>
                <w:lang w:val="en-US" w:eastAsia="zh-CN"/>
              </w:rPr>
              <w:t>万元。</w:t>
            </w:r>
          </w:p>
        </w:tc>
      </w:tr>
      <w:tr w14:paraId="143CE90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53F1B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14:paraId="1F5EA6F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14:paraId="1E01AB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14:paraId="6A7FD2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14:paraId="2B86243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14:paraId="567792F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14:paraId="466E93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14:paraId="13C628F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7.《兰州新区党群工作部财务管理制度》等相关制度文件；</w:t>
            </w:r>
          </w:p>
          <w:p w14:paraId="4AD2489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8.部门2023年度预算公开报表及情况说明，《2023年度部门决算支出表》；</w:t>
            </w:r>
          </w:p>
          <w:p w14:paraId="319F7DC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9.部门年度工作计划及《兰州新区党群工作部2023年度领导班子述职述廉报告》；</w:t>
            </w:r>
          </w:p>
          <w:p w14:paraId="482F2A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10.2023年度预算执行情况绩效目标表、监控表、监控报告、自评表等；</w:t>
            </w:r>
          </w:p>
          <w:p w14:paraId="6281EC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11.各项支出财务凭证等其他相关资料。</w:t>
            </w:r>
          </w:p>
        </w:tc>
      </w:tr>
      <w:tr w14:paraId="4A9718E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21E703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705C419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14:paraId="51C7492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党群工作部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兰州新区党群工作部2023年度部门整体工作。指标体系的数据源于部门履职各项资料、基础数据表及调查问卷分析情况等资料。</w:t>
            </w:r>
          </w:p>
        </w:tc>
      </w:tr>
      <w:tr w14:paraId="1BDDF83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6041982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14:paraId="42E3ED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14:paraId="6A06C33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38E2203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14:paraId="17457AE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14:paraId="7BA20F2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14:paraId="6385105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8B0C04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63F941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14:paraId="25D9EC8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依据部门整体支出绩效目标，结合部门财政管理工作绩效、职能履行、履职效果、年度工作重点任务实施情况等，梳理评价内容。同时通过查阅相关政策制度，了解部门基本情况，分析部门职责和人员规划，确定评价要点。</w:t>
            </w:r>
          </w:p>
          <w:p w14:paraId="4BA9EC9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根据评价工作安排，对财务及资产管理制度是否健全、执行是否有效进行了系统查看。对本级及转移支付项目进行公开评价，主要从资金使用、年度目标完成、效益发挥等方面进行了解。</w:t>
            </w:r>
          </w:p>
          <w:p w14:paraId="634DCEB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根据指标体系的对应指标对资料进行分类梳理，利用统计分析的方法，对提供的数据资料进行分析，提取有用的信息，形成分析结论。</w:t>
            </w:r>
          </w:p>
          <w:p w14:paraId="5802A13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根据收集的各项资料，按照绩效评价要求和规定的文本格式撰写兰州新区党群工作部2023年度部门整体支出绩效评价报告。</w:t>
            </w:r>
          </w:p>
        </w:tc>
      </w:tr>
      <w:tr w14:paraId="5886749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38F85A0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14:paraId="407A45E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4B00A9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14:paraId="49A8295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495" w:type="dxa"/>
            <w:gridSpan w:val="3"/>
            <w:tcBorders>
              <w:tl2br w:val="nil"/>
              <w:tr2bl w:val="nil"/>
            </w:tcBorders>
            <w:shd w:val="clear" w:color="auto" w:fill="FFFFFF"/>
            <w:vAlign w:val="center"/>
          </w:tcPr>
          <w:p w14:paraId="453476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95.8分</w:t>
            </w:r>
          </w:p>
        </w:tc>
        <w:tc>
          <w:tcPr>
            <w:tcW w:w="2355" w:type="dxa"/>
            <w:gridSpan w:val="4"/>
            <w:tcBorders>
              <w:tl2br w:val="nil"/>
              <w:tr2bl w:val="nil"/>
            </w:tcBorders>
            <w:shd w:val="clear" w:color="auto" w:fill="FFFFFF"/>
            <w:vAlign w:val="center"/>
          </w:tcPr>
          <w:p w14:paraId="617BF0B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14:paraId="3E5E25D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14:paraId="10A57AD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423402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14:paraId="4BAE5C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14:paraId="6C3DE9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14:paraId="7EDD2E8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w:t>
            </w:r>
          </w:p>
          <w:p w14:paraId="4ABC4D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规划</w:t>
            </w:r>
          </w:p>
        </w:tc>
        <w:tc>
          <w:tcPr>
            <w:tcW w:w="893" w:type="dxa"/>
            <w:tcBorders>
              <w:tl2br w:val="nil"/>
              <w:tr2bl w:val="nil"/>
            </w:tcBorders>
            <w:shd w:val="clear" w:color="auto" w:fill="FFFFFF"/>
            <w:vAlign w:val="center"/>
          </w:tcPr>
          <w:p w14:paraId="37340E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运行成本</w:t>
            </w:r>
          </w:p>
        </w:tc>
        <w:tc>
          <w:tcPr>
            <w:tcW w:w="717" w:type="dxa"/>
            <w:tcBorders>
              <w:tl2br w:val="nil"/>
              <w:tr2bl w:val="nil"/>
            </w:tcBorders>
            <w:shd w:val="clear" w:color="auto" w:fill="FFFFFF"/>
            <w:vAlign w:val="center"/>
          </w:tcPr>
          <w:p w14:paraId="3F051CE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管理</w:t>
            </w:r>
          </w:p>
          <w:p w14:paraId="5D84FB7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效率</w:t>
            </w:r>
          </w:p>
        </w:tc>
        <w:tc>
          <w:tcPr>
            <w:tcW w:w="885" w:type="dxa"/>
            <w:tcBorders>
              <w:tl2br w:val="nil"/>
              <w:tr2bl w:val="nil"/>
            </w:tcBorders>
            <w:shd w:val="clear" w:color="auto" w:fill="FFFFFF"/>
            <w:vAlign w:val="center"/>
          </w:tcPr>
          <w:p w14:paraId="5765EE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w:t>
            </w:r>
          </w:p>
          <w:p w14:paraId="45D995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效能</w:t>
            </w:r>
          </w:p>
        </w:tc>
        <w:tc>
          <w:tcPr>
            <w:tcW w:w="735" w:type="dxa"/>
            <w:tcBorders>
              <w:tl2br w:val="nil"/>
              <w:tr2bl w:val="nil"/>
            </w:tcBorders>
            <w:shd w:val="clear" w:color="auto" w:fill="FFFFFF"/>
            <w:vAlign w:val="center"/>
          </w:tcPr>
          <w:p w14:paraId="1CA4338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履职效应</w:t>
            </w:r>
          </w:p>
        </w:tc>
        <w:tc>
          <w:tcPr>
            <w:tcW w:w="885" w:type="dxa"/>
            <w:gridSpan w:val="2"/>
            <w:tcBorders>
              <w:tl2br w:val="nil"/>
              <w:tr2bl w:val="nil"/>
            </w:tcBorders>
            <w:shd w:val="clear" w:color="auto" w:fill="FFFFFF"/>
            <w:vAlign w:val="center"/>
          </w:tcPr>
          <w:p w14:paraId="050E8C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可持续发展</w:t>
            </w:r>
          </w:p>
        </w:tc>
        <w:tc>
          <w:tcPr>
            <w:tcW w:w="735" w:type="dxa"/>
            <w:tcBorders>
              <w:tl2br w:val="nil"/>
              <w:tr2bl w:val="nil"/>
            </w:tcBorders>
            <w:shd w:val="clear" w:color="auto" w:fill="FFFFFF"/>
            <w:vAlign w:val="center"/>
          </w:tcPr>
          <w:p w14:paraId="1EFCF70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137" w:type="dxa"/>
            <w:tcBorders>
              <w:tl2br w:val="nil"/>
              <w:tr2bl w:val="nil"/>
            </w:tcBorders>
            <w:shd w:val="clear" w:color="auto" w:fill="FFFFFF"/>
            <w:vAlign w:val="center"/>
          </w:tcPr>
          <w:p w14:paraId="3C032C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14:paraId="3533536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2EEFE0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90033B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14:paraId="0DDB1D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w:t>
            </w:r>
          </w:p>
        </w:tc>
        <w:tc>
          <w:tcPr>
            <w:tcW w:w="893" w:type="dxa"/>
            <w:tcBorders>
              <w:tl2br w:val="nil"/>
              <w:tr2bl w:val="nil"/>
            </w:tcBorders>
            <w:shd w:val="clear" w:color="auto" w:fill="FFFFFF"/>
            <w:vAlign w:val="center"/>
          </w:tcPr>
          <w:p w14:paraId="2F0BA1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7.8</w:t>
            </w:r>
          </w:p>
        </w:tc>
        <w:tc>
          <w:tcPr>
            <w:tcW w:w="717" w:type="dxa"/>
            <w:tcBorders>
              <w:tl2br w:val="nil"/>
              <w:tr2bl w:val="nil"/>
            </w:tcBorders>
            <w:shd w:val="clear" w:color="auto" w:fill="FFFFFF"/>
            <w:vAlign w:val="center"/>
          </w:tcPr>
          <w:p w14:paraId="35ED1E8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18</w:t>
            </w:r>
          </w:p>
        </w:tc>
        <w:tc>
          <w:tcPr>
            <w:tcW w:w="885" w:type="dxa"/>
            <w:tcBorders>
              <w:tl2br w:val="nil"/>
              <w:tr2bl w:val="nil"/>
            </w:tcBorders>
            <w:shd w:val="clear" w:color="auto" w:fill="FFFFFF"/>
            <w:vAlign w:val="center"/>
          </w:tcPr>
          <w:p w14:paraId="56DFAE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38</w:t>
            </w:r>
          </w:p>
        </w:tc>
        <w:tc>
          <w:tcPr>
            <w:tcW w:w="735" w:type="dxa"/>
            <w:tcBorders>
              <w:tl2br w:val="nil"/>
              <w:tr2bl w:val="nil"/>
            </w:tcBorders>
            <w:shd w:val="clear" w:color="auto" w:fill="FFFFFF"/>
            <w:vAlign w:val="center"/>
          </w:tcPr>
          <w:p w14:paraId="44FBA39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w:t>
            </w:r>
          </w:p>
        </w:tc>
        <w:tc>
          <w:tcPr>
            <w:tcW w:w="885" w:type="dxa"/>
            <w:gridSpan w:val="2"/>
            <w:tcBorders>
              <w:tl2br w:val="nil"/>
              <w:tr2bl w:val="nil"/>
            </w:tcBorders>
            <w:shd w:val="clear" w:color="auto" w:fill="FFFFFF"/>
            <w:vAlign w:val="center"/>
          </w:tcPr>
          <w:p w14:paraId="6A5125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p>
        </w:tc>
        <w:tc>
          <w:tcPr>
            <w:tcW w:w="735" w:type="dxa"/>
            <w:tcBorders>
              <w:tl2br w:val="nil"/>
              <w:tr2bl w:val="nil"/>
            </w:tcBorders>
            <w:shd w:val="clear" w:color="auto" w:fill="FFFFFF"/>
            <w:vAlign w:val="center"/>
          </w:tcPr>
          <w:p w14:paraId="1B9E778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w:t>
            </w:r>
          </w:p>
        </w:tc>
        <w:tc>
          <w:tcPr>
            <w:tcW w:w="1137" w:type="dxa"/>
            <w:tcBorders>
              <w:tl2br w:val="nil"/>
              <w:tr2bl w:val="nil"/>
            </w:tcBorders>
            <w:shd w:val="clear" w:color="auto" w:fill="FFFFFF"/>
            <w:vAlign w:val="center"/>
          </w:tcPr>
          <w:p w14:paraId="78366E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95.8分</w:t>
            </w:r>
          </w:p>
        </w:tc>
      </w:tr>
      <w:tr w14:paraId="0470231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3B5658D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4BDD23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14:paraId="6D6913A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80%</w:t>
            </w:r>
          </w:p>
        </w:tc>
        <w:tc>
          <w:tcPr>
            <w:tcW w:w="893" w:type="dxa"/>
            <w:tcBorders>
              <w:tl2br w:val="nil"/>
              <w:tr2bl w:val="nil"/>
            </w:tcBorders>
            <w:shd w:val="clear" w:color="auto" w:fill="FFFFFF"/>
            <w:vAlign w:val="center"/>
          </w:tcPr>
          <w:p w14:paraId="0C66DE7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86.67%</w:t>
            </w:r>
          </w:p>
        </w:tc>
        <w:tc>
          <w:tcPr>
            <w:tcW w:w="717" w:type="dxa"/>
            <w:tcBorders>
              <w:tl2br w:val="nil"/>
              <w:tr2bl w:val="nil"/>
            </w:tcBorders>
            <w:shd w:val="clear" w:color="auto" w:fill="FFFFFF"/>
            <w:vAlign w:val="center"/>
          </w:tcPr>
          <w:p w14:paraId="7E5796E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tcBorders>
              <w:tl2br w:val="nil"/>
              <w:tr2bl w:val="nil"/>
            </w:tcBorders>
            <w:shd w:val="clear" w:color="auto" w:fill="FFFFFF"/>
            <w:vAlign w:val="center"/>
          </w:tcPr>
          <w:p w14:paraId="635D06C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95%</w:t>
            </w:r>
          </w:p>
        </w:tc>
        <w:tc>
          <w:tcPr>
            <w:tcW w:w="735" w:type="dxa"/>
            <w:tcBorders>
              <w:tl2br w:val="nil"/>
              <w:tr2bl w:val="nil"/>
            </w:tcBorders>
            <w:shd w:val="clear" w:color="auto" w:fill="FFFFFF"/>
            <w:vAlign w:val="center"/>
          </w:tcPr>
          <w:p w14:paraId="1DF82F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gridSpan w:val="2"/>
            <w:tcBorders>
              <w:tl2br w:val="nil"/>
              <w:tr2bl w:val="nil"/>
            </w:tcBorders>
            <w:shd w:val="clear" w:color="auto" w:fill="FFFFFF"/>
            <w:vAlign w:val="center"/>
          </w:tcPr>
          <w:p w14:paraId="36E93F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14:paraId="08CA70E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80%</w:t>
            </w:r>
          </w:p>
        </w:tc>
        <w:tc>
          <w:tcPr>
            <w:tcW w:w="1137" w:type="dxa"/>
            <w:tcBorders>
              <w:tl2br w:val="nil"/>
              <w:tr2bl w:val="nil"/>
            </w:tcBorders>
            <w:shd w:val="clear" w:color="auto" w:fill="FFFFFF"/>
            <w:vAlign w:val="center"/>
          </w:tcPr>
          <w:p w14:paraId="743FB8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95.8%</w:t>
            </w:r>
          </w:p>
        </w:tc>
      </w:tr>
      <w:tr w14:paraId="5A71EB2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3B341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14:paraId="34F3C50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14:paraId="3A33D97C">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一是部分项目资金执行率较低。</w:t>
            </w:r>
            <w:r>
              <w:rPr>
                <w:rFonts w:hint="eastAsia" w:ascii="宋体" w:hAnsi="宋体" w:eastAsia="宋体" w:cs="宋体"/>
                <w:b w:val="0"/>
                <w:bCs w:val="0"/>
                <w:sz w:val="24"/>
                <w:szCs w:val="24"/>
                <w:lang w:val="en-US" w:eastAsia="zh-CN"/>
              </w:rPr>
              <w:t>工商联招商引资工作经费,因市场活力不足，客商对外投资意愿较低，对外开展招商引资的次数减少，资金执行率33.88%。会议室租赁经费，为落实过紧日子的工作要求部署，我们充分利用现有资源，选取部分不收费会议室作为开展工作的场所，减少开展，提升资金使用效率，部分会议举办以线上举办为主，导致资金结余，资金执行率29.16%。</w:t>
            </w:r>
            <w:bookmarkStart w:id="0" w:name="_Toc10685"/>
            <w:bookmarkStart w:id="1" w:name="_Toc2757"/>
            <w:bookmarkStart w:id="2" w:name="_Toc20193"/>
          </w:p>
          <w:p w14:paraId="134F207F">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w:t>
            </w:r>
            <w:bookmarkEnd w:id="0"/>
            <w:bookmarkEnd w:id="1"/>
            <w:bookmarkEnd w:id="2"/>
            <w:r>
              <w:rPr>
                <w:rFonts w:hint="eastAsia" w:ascii="宋体" w:hAnsi="宋体" w:eastAsia="宋体" w:cs="宋体"/>
                <w:b/>
                <w:bCs/>
                <w:sz w:val="24"/>
                <w:szCs w:val="24"/>
                <w:lang w:val="en-US" w:eastAsia="zh-CN"/>
              </w:rPr>
              <w:t>部分履职工作未完成，履职效能仍有提升空间。</w:t>
            </w:r>
            <w:r>
              <w:rPr>
                <w:rFonts w:hint="eastAsia" w:ascii="宋体" w:hAnsi="宋体" w:eastAsia="宋体" w:cs="宋体"/>
                <w:b w:val="0"/>
                <w:bCs w:val="0"/>
                <w:sz w:val="24"/>
                <w:szCs w:val="24"/>
                <w:lang w:val="en-US" w:eastAsia="zh-CN"/>
              </w:rPr>
              <w:t>年度工作未按计划目标完成，一定程度上影响了部门整体社会化服务水平，履职效能仍有提升空间。</w:t>
            </w:r>
          </w:p>
        </w:tc>
      </w:tr>
      <w:tr w14:paraId="5616819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21F39F9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14:paraId="1E88509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14:paraId="5BA74005">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一是坚持目标导向，进一步规范项目实施进度管理。</w:t>
            </w:r>
            <w:r>
              <w:rPr>
                <w:rFonts w:hint="eastAsia" w:ascii="宋体" w:hAnsi="宋体" w:eastAsia="宋体" w:cs="宋体"/>
                <w:b w:val="0"/>
                <w:bCs w:val="0"/>
                <w:sz w:val="24"/>
                <w:szCs w:val="24"/>
                <w:lang w:val="en-US" w:eastAsia="zh-CN"/>
              </w:rPr>
              <w:t>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14:paraId="1D72033E">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二是坚持问题导向，进一步提升绩效管理水平。</w:t>
            </w:r>
            <w:r>
              <w:rPr>
                <w:rFonts w:hint="eastAsia" w:ascii="宋体" w:hAnsi="宋体" w:eastAsia="宋体" w:cs="宋体"/>
                <w:b w:val="0"/>
                <w:bCs w:val="0"/>
                <w:sz w:val="24"/>
                <w:szCs w:val="24"/>
                <w:lang w:val="en-US" w:eastAsia="zh-CN"/>
              </w:rPr>
              <w:t>将“绩效前置于预算”作为预算管理优化资金资源配置的前提条件，按照“谁使用资金，谁落实目标”的原则，对各科室绩效目标填报质量严格审核。针对个别项目预算绩效目标细化程度不高、可衡量数值指标不够精准等问题，强化内部培训指导，对三级指标细化不足、指标值设置过于简单、缺乏定量指标等项目及时退回修改，确保绩效目标科学性和合理性，切实做到“无目标不预算，有目标必审核”。</w:t>
            </w:r>
          </w:p>
        </w:tc>
      </w:tr>
      <w:tr w14:paraId="62727A9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14:paraId="550A787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14:paraId="5C11168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14:paraId="5BEB90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14:paraId="1CF0DCF3">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5686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kZTA3ZDBlZGQ5Y2NjNzgxOGRiM2FhNTRkNjc5MDUifQ=="/>
  </w:docVars>
  <w:rsids>
    <w:rsidRoot w:val="50362AE6"/>
    <w:rsid w:val="00D76A86"/>
    <w:rsid w:val="01D874CD"/>
    <w:rsid w:val="036E0F6F"/>
    <w:rsid w:val="03973FA9"/>
    <w:rsid w:val="069D5905"/>
    <w:rsid w:val="06EB3426"/>
    <w:rsid w:val="07C81D7B"/>
    <w:rsid w:val="0A2A723E"/>
    <w:rsid w:val="0A3F5E74"/>
    <w:rsid w:val="1041184B"/>
    <w:rsid w:val="112F6356"/>
    <w:rsid w:val="13750B42"/>
    <w:rsid w:val="1BC01759"/>
    <w:rsid w:val="1BD82927"/>
    <w:rsid w:val="1C7D48CD"/>
    <w:rsid w:val="1D01233B"/>
    <w:rsid w:val="1E2702D2"/>
    <w:rsid w:val="1E4A5D6E"/>
    <w:rsid w:val="20176124"/>
    <w:rsid w:val="20C80D44"/>
    <w:rsid w:val="21EC4DBA"/>
    <w:rsid w:val="220527F8"/>
    <w:rsid w:val="24D55C78"/>
    <w:rsid w:val="266B6E4E"/>
    <w:rsid w:val="26BE4453"/>
    <w:rsid w:val="272D2898"/>
    <w:rsid w:val="27F03E2A"/>
    <w:rsid w:val="28EA6A6E"/>
    <w:rsid w:val="28EF2E48"/>
    <w:rsid w:val="2A23073B"/>
    <w:rsid w:val="2A805ED8"/>
    <w:rsid w:val="2CA005E7"/>
    <w:rsid w:val="2CB76567"/>
    <w:rsid w:val="2D7C528C"/>
    <w:rsid w:val="3246394F"/>
    <w:rsid w:val="3285671B"/>
    <w:rsid w:val="32A76310"/>
    <w:rsid w:val="332736B7"/>
    <w:rsid w:val="33883049"/>
    <w:rsid w:val="34713BFD"/>
    <w:rsid w:val="399649CA"/>
    <w:rsid w:val="39D03040"/>
    <w:rsid w:val="3ECD7F1C"/>
    <w:rsid w:val="3FB47094"/>
    <w:rsid w:val="41055F0D"/>
    <w:rsid w:val="417C1E8F"/>
    <w:rsid w:val="48054931"/>
    <w:rsid w:val="485D55BF"/>
    <w:rsid w:val="4BA61945"/>
    <w:rsid w:val="4CA0731E"/>
    <w:rsid w:val="4F827CF9"/>
    <w:rsid w:val="50362AE6"/>
    <w:rsid w:val="50447C2B"/>
    <w:rsid w:val="50EF617E"/>
    <w:rsid w:val="52555572"/>
    <w:rsid w:val="533D715B"/>
    <w:rsid w:val="54C310C9"/>
    <w:rsid w:val="54E92EBD"/>
    <w:rsid w:val="55F56D34"/>
    <w:rsid w:val="573F7050"/>
    <w:rsid w:val="5915699E"/>
    <w:rsid w:val="59574B17"/>
    <w:rsid w:val="5C641B24"/>
    <w:rsid w:val="5F851FA3"/>
    <w:rsid w:val="5FEE39B7"/>
    <w:rsid w:val="619736C1"/>
    <w:rsid w:val="62564F40"/>
    <w:rsid w:val="65CD64C7"/>
    <w:rsid w:val="664413B9"/>
    <w:rsid w:val="668272C8"/>
    <w:rsid w:val="680C3C00"/>
    <w:rsid w:val="699D5794"/>
    <w:rsid w:val="6E7F1D43"/>
    <w:rsid w:val="6FF269CE"/>
    <w:rsid w:val="70721B59"/>
    <w:rsid w:val="726448F9"/>
    <w:rsid w:val="74030452"/>
    <w:rsid w:val="75EC2506"/>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4"/>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qFormat/>
    <w:uiPriority w:val="0"/>
    <w:pPr>
      <w:keepNext w:val="0"/>
      <w:keepLines w:val="0"/>
      <w:widowControl w:val="0"/>
      <w:suppressLineNumbers w:val="0"/>
      <w:snapToGrid w:val="0"/>
      <w:spacing w:before="0" w:beforeAutospacing="0" w:after="0" w:afterAutospacing="0" w:line="300" w:lineRule="auto"/>
      <w:ind w:left="0" w:right="0"/>
      <w:jc w:val="both"/>
    </w:pPr>
    <w:rPr>
      <w:rFonts w:hint="eastAsia" w:ascii="宋体" w:hAnsi="宋体" w:eastAsia="宋体" w:cs="Times New Roman"/>
      <w:spacing w:val="4"/>
      <w:kern w:val="2"/>
      <w:sz w:val="24"/>
      <w:szCs w:val="24"/>
      <w:lang w:val="en-US" w:eastAsia="zh-CN" w:bidi="ar"/>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index 1"/>
    <w:basedOn w:val="1"/>
    <w:next w:val="1"/>
    <w:qFormat/>
    <w:uiPriority w:val="0"/>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1 Char"/>
    <w:link w:val="3"/>
    <w:qFormat/>
    <w:uiPriority w:val="0"/>
    <w:rPr>
      <w:rFonts w:ascii="黑体" w:hAnsi="黑体" w:eastAsia="黑体" w:cs="黑体"/>
      <w:kern w:val="44"/>
      <w:sz w:val="32"/>
      <w:szCs w:val="32"/>
    </w:rPr>
  </w:style>
  <w:style w:type="paragraph" w:customStyle="1" w:styleId="15">
    <w:name w:val="p15"/>
    <w:qFormat/>
    <w:uiPriority w:val="99"/>
    <w:pPr>
      <w:spacing w:before="100" w:after="100"/>
    </w:pPr>
    <w:rPr>
      <w:rFonts w:ascii="Calibri" w:hAnsi="Calibri"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3501</Words>
  <Characters>3670</Characters>
  <Lines>0</Lines>
  <Paragraphs>0</Paragraphs>
  <TotalTime>5</TotalTime>
  <ScaleCrop>false</ScaleCrop>
  <LinksUpToDate>false</LinksUpToDate>
  <CharactersWithSpaces>3673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hp</cp:lastModifiedBy>
  <dcterms:modified xsi:type="dcterms:W3CDTF">2024-09-23T03:33:12Z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82326EF37FEC4833B3F53CD83E361E52_13</vt:lpwstr>
  </property>
</Properties>
</file>