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74FBF4">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兰州新区市场监督管理局2023年度</w:t>
      </w:r>
    </w:p>
    <w:p w14:paraId="33188D7A">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部门整体支出绩效评价报告</w:t>
      </w:r>
    </w:p>
    <w:p w14:paraId="7075492A">
      <w:pPr>
        <w:bidi w:val="0"/>
        <w:rPr>
          <w:rFonts w:hint="eastAsia"/>
          <w:lang w:val="en-US" w:eastAsia="zh-CN"/>
        </w:rPr>
      </w:pPr>
    </w:p>
    <w:tbl>
      <w:tblPr>
        <w:tblStyle w:val="11"/>
        <w:tblW w:w="8814"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60"/>
        <w:gridCol w:w="765"/>
        <w:gridCol w:w="945"/>
        <w:gridCol w:w="885"/>
        <w:gridCol w:w="705"/>
        <w:gridCol w:w="142"/>
        <w:gridCol w:w="713"/>
        <w:gridCol w:w="795"/>
        <w:gridCol w:w="1009"/>
      </w:tblGrid>
      <w:tr w14:paraId="1976E23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4"/>
            <w:tcBorders>
              <w:tl2br w:val="nil"/>
              <w:tr2bl w:val="nil"/>
            </w:tcBorders>
            <w:shd w:val="clear" w:color="auto" w:fill="FFFFFF"/>
            <w:vAlign w:val="center"/>
          </w:tcPr>
          <w:p w14:paraId="3F64C15C">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14:paraId="1D84BC6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6FD83D4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14:paraId="1077DA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9"/>
            <w:tcBorders>
              <w:tl2br w:val="nil"/>
              <w:tr2bl w:val="nil"/>
            </w:tcBorders>
            <w:shd w:val="clear" w:color="auto" w:fill="FFFFFF"/>
            <w:vAlign w:val="center"/>
          </w:tcPr>
          <w:p w14:paraId="72C843C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兰州新区市场监督管理局2023年度</w:t>
            </w:r>
          </w:p>
          <w:p w14:paraId="49E3E1B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部门整体支出绩效评价</w:t>
            </w:r>
          </w:p>
        </w:tc>
      </w:tr>
      <w:tr w14:paraId="4342B5F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54B17F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60F323E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970" w:type="dxa"/>
            <w:gridSpan w:val="3"/>
            <w:tcBorders>
              <w:tl2br w:val="nil"/>
              <w:tr2bl w:val="nil"/>
            </w:tcBorders>
            <w:shd w:val="clear" w:color="auto" w:fill="FFFFFF"/>
            <w:vAlign w:val="center"/>
          </w:tcPr>
          <w:p w14:paraId="643C9D2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732" w:type="dxa"/>
            <w:gridSpan w:val="3"/>
            <w:tcBorders>
              <w:tl2br w:val="nil"/>
              <w:tr2bl w:val="nil"/>
            </w:tcBorders>
            <w:shd w:val="clear" w:color="auto" w:fill="FFFFFF"/>
            <w:vAlign w:val="center"/>
          </w:tcPr>
          <w:p w14:paraId="63602F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3"/>
            <w:tcBorders>
              <w:tl2br w:val="nil"/>
              <w:tr2bl w:val="nil"/>
            </w:tcBorders>
            <w:shd w:val="clear" w:color="auto" w:fill="FFFFFF"/>
            <w:vAlign w:val="center"/>
          </w:tcPr>
          <w:p w14:paraId="43E4017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highlight w:val="none"/>
                <w:vertAlign w:val="baseline"/>
                <w:lang w:val="en-US" w:eastAsia="zh-CN"/>
              </w:rPr>
              <w:t>财政评价</w:t>
            </w:r>
          </w:p>
        </w:tc>
      </w:tr>
      <w:tr w14:paraId="1A830E3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2CDDEB8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646B3FB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委托评价单位</w:t>
            </w:r>
          </w:p>
        </w:tc>
        <w:tc>
          <w:tcPr>
            <w:tcW w:w="1970" w:type="dxa"/>
            <w:gridSpan w:val="3"/>
            <w:tcBorders>
              <w:tl2br w:val="nil"/>
              <w:tr2bl w:val="nil"/>
            </w:tcBorders>
            <w:shd w:val="clear" w:color="auto" w:fill="FFFFFF"/>
            <w:vAlign w:val="center"/>
          </w:tcPr>
          <w:p w14:paraId="6DFD7FA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兰州新区财政局（国有资产监督管理局）</w:t>
            </w:r>
          </w:p>
        </w:tc>
        <w:tc>
          <w:tcPr>
            <w:tcW w:w="1732" w:type="dxa"/>
            <w:gridSpan w:val="3"/>
            <w:tcBorders>
              <w:tl2br w:val="nil"/>
              <w:tr2bl w:val="nil"/>
            </w:tcBorders>
            <w:shd w:val="clear" w:color="auto" w:fill="FFFFFF"/>
            <w:vAlign w:val="center"/>
          </w:tcPr>
          <w:p w14:paraId="2B34855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评价机构名称</w:t>
            </w:r>
          </w:p>
        </w:tc>
        <w:tc>
          <w:tcPr>
            <w:tcW w:w="2517" w:type="dxa"/>
            <w:gridSpan w:val="3"/>
            <w:tcBorders>
              <w:tl2br w:val="nil"/>
              <w:tr2bl w:val="nil"/>
            </w:tcBorders>
            <w:shd w:val="clear" w:color="auto" w:fill="FFFFFF"/>
            <w:vAlign w:val="center"/>
          </w:tcPr>
          <w:p w14:paraId="1C9C465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甘肃金益通绩效评价咨询服务有限公司</w:t>
            </w:r>
          </w:p>
        </w:tc>
      </w:tr>
      <w:tr w14:paraId="1B01161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6D1C428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4F37382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9"/>
            <w:tcBorders>
              <w:tl2br w:val="nil"/>
              <w:tr2bl w:val="nil"/>
            </w:tcBorders>
            <w:shd w:val="clear" w:color="auto" w:fill="FFFFFF"/>
            <w:vAlign w:val="center"/>
          </w:tcPr>
          <w:p w14:paraId="5276F1E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兰州新区市场监督管理局</w:t>
            </w:r>
          </w:p>
        </w:tc>
      </w:tr>
      <w:tr w14:paraId="6D4FDAF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14:paraId="014AD95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3"/>
            <w:tcBorders>
              <w:tl2br w:val="nil"/>
              <w:tr2bl w:val="nil"/>
            </w:tcBorders>
            <w:shd w:val="clear" w:color="auto" w:fill="FFFFFF"/>
            <w:vAlign w:val="center"/>
          </w:tcPr>
          <w:p w14:paraId="137344E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市场监督管理局部门整体支出预算编制的合理性和科学性、预算执行的时效性、预算控制和监督的有效性，以及部门基本运转、履职尽责和履职效能等情况；同时重点关注部门内部控制管理、非税收入管理等情况，全面考核部门整体支出和履职职能的匹配程度，及时发现部门存在的不足和问题，提出合理意见建议，从而提升部门整体预算绩效管理水平，提高财政资金使用效益。</w:t>
            </w:r>
          </w:p>
        </w:tc>
      </w:tr>
      <w:tr w14:paraId="78E6FF3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56D0DD9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14:paraId="65238FA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970" w:type="dxa"/>
            <w:gridSpan w:val="3"/>
            <w:tcBorders>
              <w:tl2br w:val="nil"/>
              <w:tr2bl w:val="nil"/>
            </w:tcBorders>
            <w:shd w:val="clear" w:color="auto" w:fill="FFFFFF"/>
            <w:vAlign w:val="center"/>
          </w:tcPr>
          <w:p w14:paraId="59AC742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2152.97</w:t>
            </w:r>
          </w:p>
        </w:tc>
        <w:tc>
          <w:tcPr>
            <w:tcW w:w="1732" w:type="dxa"/>
            <w:gridSpan w:val="3"/>
            <w:tcBorders>
              <w:tl2br w:val="nil"/>
              <w:tr2bl w:val="nil"/>
            </w:tcBorders>
            <w:shd w:val="clear" w:color="auto" w:fill="FFFFFF"/>
            <w:vAlign w:val="center"/>
          </w:tcPr>
          <w:p w14:paraId="1C0E241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3"/>
            <w:tcBorders>
              <w:tl2br w:val="nil"/>
              <w:tr2bl w:val="nil"/>
            </w:tcBorders>
            <w:shd w:val="clear" w:color="auto" w:fill="FFFFFF"/>
            <w:vAlign w:val="center"/>
          </w:tcPr>
          <w:p w14:paraId="6ED7A71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2152.97</w:t>
            </w:r>
          </w:p>
        </w:tc>
      </w:tr>
      <w:tr w14:paraId="2958753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77A1372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63FD5B0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970" w:type="dxa"/>
            <w:gridSpan w:val="3"/>
            <w:tcBorders>
              <w:tl2br w:val="nil"/>
              <w:tr2bl w:val="nil"/>
            </w:tcBorders>
            <w:shd w:val="clear" w:color="auto" w:fill="FFFFFF"/>
            <w:vAlign w:val="center"/>
          </w:tcPr>
          <w:p w14:paraId="36968A3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c>
          <w:tcPr>
            <w:tcW w:w="1732" w:type="dxa"/>
            <w:gridSpan w:val="3"/>
            <w:tcBorders>
              <w:tl2br w:val="nil"/>
              <w:tr2bl w:val="nil"/>
            </w:tcBorders>
            <w:shd w:val="clear" w:color="auto" w:fill="FFFFFF"/>
            <w:vAlign w:val="center"/>
          </w:tcPr>
          <w:p w14:paraId="7EC8BF5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gridSpan w:val="3"/>
            <w:tcBorders>
              <w:tl2br w:val="nil"/>
              <w:tr2bl w:val="nil"/>
            </w:tcBorders>
            <w:shd w:val="clear" w:color="auto" w:fill="FFFFFF"/>
            <w:vAlign w:val="center"/>
          </w:tcPr>
          <w:p w14:paraId="3F102BD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14:paraId="5AE16E9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1A0D9C5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77E0C6F2">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970" w:type="dxa"/>
            <w:gridSpan w:val="3"/>
            <w:tcBorders>
              <w:tl2br w:val="nil"/>
              <w:tr2bl w:val="nil"/>
            </w:tcBorders>
            <w:shd w:val="clear" w:color="auto" w:fill="FFFFFF"/>
            <w:vAlign w:val="center"/>
          </w:tcPr>
          <w:p w14:paraId="4610AE4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2152.97</w:t>
            </w:r>
          </w:p>
        </w:tc>
        <w:tc>
          <w:tcPr>
            <w:tcW w:w="1732" w:type="dxa"/>
            <w:gridSpan w:val="3"/>
            <w:tcBorders>
              <w:tl2br w:val="nil"/>
              <w:tr2bl w:val="nil"/>
            </w:tcBorders>
            <w:shd w:val="clear" w:color="auto" w:fill="FFFFFF"/>
            <w:vAlign w:val="center"/>
          </w:tcPr>
          <w:p w14:paraId="35F35F83">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gridSpan w:val="3"/>
            <w:tcBorders>
              <w:tl2br w:val="nil"/>
              <w:tr2bl w:val="nil"/>
            </w:tcBorders>
            <w:shd w:val="clear" w:color="auto" w:fill="FFFFFF"/>
            <w:vAlign w:val="center"/>
          </w:tcPr>
          <w:p w14:paraId="51ECEC6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2152.97</w:t>
            </w:r>
          </w:p>
        </w:tc>
      </w:tr>
      <w:tr w14:paraId="2191CC0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0BE5CAC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5865581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970" w:type="dxa"/>
            <w:gridSpan w:val="3"/>
            <w:tcBorders>
              <w:tl2br w:val="nil"/>
              <w:tr2bl w:val="nil"/>
            </w:tcBorders>
            <w:shd w:val="clear" w:color="auto" w:fill="FFFFFF"/>
            <w:vAlign w:val="center"/>
          </w:tcPr>
          <w:p w14:paraId="6A70905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2138.41</w:t>
            </w:r>
          </w:p>
        </w:tc>
        <w:tc>
          <w:tcPr>
            <w:tcW w:w="1732" w:type="dxa"/>
            <w:gridSpan w:val="3"/>
            <w:tcBorders>
              <w:tl2br w:val="nil"/>
              <w:tr2bl w:val="nil"/>
            </w:tcBorders>
            <w:shd w:val="clear" w:color="auto" w:fill="FFFFFF"/>
            <w:vAlign w:val="center"/>
          </w:tcPr>
          <w:p w14:paraId="7AD1B03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3"/>
            <w:tcBorders>
              <w:tl2br w:val="nil"/>
              <w:tr2bl w:val="nil"/>
            </w:tcBorders>
            <w:shd w:val="clear" w:color="auto" w:fill="FFFFFF"/>
            <w:vAlign w:val="center"/>
          </w:tcPr>
          <w:p w14:paraId="69716DC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14.56</w:t>
            </w:r>
          </w:p>
        </w:tc>
      </w:tr>
      <w:tr w14:paraId="01650AA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273E43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59F2BDC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9"/>
            <w:tcBorders>
              <w:tl2br w:val="nil"/>
              <w:tr2bl w:val="nil"/>
            </w:tcBorders>
            <w:shd w:val="clear" w:color="auto" w:fill="FFFFFF"/>
            <w:vAlign w:val="center"/>
          </w:tcPr>
          <w:p w14:paraId="16B25F8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99.32%</w:t>
            </w:r>
          </w:p>
        </w:tc>
      </w:tr>
      <w:tr w14:paraId="03120FD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4"/>
            <w:tcBorders>
              <w:tl2br w:val="nil"/>
              <w:tr2bl w:val="nil"/>
            </w:tcBorders>
            <w:shd w:val="clear" w:color="auto" w:fill="FFFFFF"/>
            <w:vAlign w:val="center"/>
          </w:tcPr>
          <w:p w14:paraId="72ED3C4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14:paraId="0F0EB7B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14:paraId="78F134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1"/>
            <w:tcBorders>
              <w:tl2br w:val="nil"/>
              <w:tr2bl w:val="nil"/>
            </w:tcBorders>
            <w:shd w:val="clear" w:color="auto" w:fill="FFFFFF"/>
            <w:vAlign w:val="center"/>
          </w:tcPr>
          <w:p w14:paraId="714A0A7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兰州新区市场监督管理局2023年度部门整体支出绩效目标为：</w:t>
            </w:r>
          </w:p>
          <w:p w14:paraId="1DF8D9AB">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持续优化营商环境，继续压缩企业开办时间，开展公平竞争审查，打造知识产权服务专区。</w:t>
            </w:r>
          </w:p>
          <w:p w14:paraId="08F462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2.加强市场监管，加强抽检工作和日常督查，保障新区食品、药品、产品质量、特种设备监管安全。</w:t>
            </w:r>
          </w:p>
          <w:p w14:paraId="1788FA6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3.加大普法宣传，提高人民群众法律意识，调节消费纠纷，维护消费者合法权益。</w:t>
            </w:r>
          </w:p>
          <w:p w14:paraId="38CF9C1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4.加大执法办案力度，惩戒违法违规行为，维护新区良好的市场环境，保障人民群众合法权益。</w:t>
            </w:r>
          </w:p>
        </w:tc>
      </w:tr>
      <w:tr w14:paraId="4BC0C82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6E3C8FC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14:paraId="21A6E88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14:paraId="6DD9A0E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1"/>
            <w:tcBorders>
              <w:tl2br w:val="nil"/>
              <w:tr2bl w:val="nil"/>
            </w:tcBorders>
            <w:shd w:val="clear" w:color="auto" w:fill="FFFFFF"/>
            <w:vAlign w:val="center"/>
          </w:tcPr>
          <w:p w14:paraId="3846865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兰州新区市场监督管理局2023年度部门全年预算资金</w:t>
            </w:r>
            <w:r>
              <w:rPr>
                <w:rFonts w:hint="eastAsia" w:ascii="宋体" w:hAnsi="宋体" w:eastAsia="宋体" w:cs="宋体"/>
                <w:b w:val="0"/>
                <w:color w:val="000000"/>
                <w:sz w:val="24"/>
                <w:szCs w:val="24"/>
                <w:vertAlign w:val="baseline"/>
                <w:lang w:val="en-US" w:eastAsia="zh-CN"/>
              </w:rPr>
              <w:t>2152.97</w:t>
            </w:r>
            <w:bookmarkStart w:id="0" w:name="_GoBack"/>
            <w:bookmarkEnd w:id="0"/>
            <w:r>
              <w:rPr>
                <w:rFonts w:hint="eastAsia" w:ascii="宋体" w:hAnsi="宋体" w:eastAsia="宋体" w:cs="宋体"/>
                <w:b w:val="0"/>
                <w:bCs w:val="0"/>
                <w:sz w:val="24"/>
                <w:szCs w:val="24"/>
                <w:lang w:val="en-US" w:eastAsia="zh-CN"/>
              </w:rPr>
              <w:t>万元。</w:t>
            </w:r>
          </w:p>
        </w:tc>
      </w:tr>
      <w:tr w14:paraId="149828C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67DAE02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1"/>
            <w:tcBorders>
              <w:tl2br w:val="nil"/>
              <w:tr2bl w:val="nil"/>
            </w:tcBorders>
            <w:shd w:val="clear" w:color="auto" w:fill="FFFFFF"/>
            <w:vAlign w:val="center"/>
          </w:tcPr>
          <w:p w14:paraId="3E9BE71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14:paraId="41BEA0D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14:paraId="1F18BCD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14:paraId="5327F5E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14:paraId="33CCA69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14:paraId="4810B7F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14:paraId="379CA57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7.部门2023年度预决算公开报表及情况说明；</w:t>
            </w:r>
          </w:p>
          <w:p w14:paraId="1BFA5A3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8.2023年度预算执行情况绩效目标表、监控表、监控报告、自评表等；</w:t>
            </w:r>
          </w:p>
          <w:p w14:paraId="26CCE88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9.各项支出财务凭证等其他相关资料。</w:t>
            </w:r>
          </w:p>
        </w:tc>
      </w:tr>
      <w:tr w14:paraId="757FFC4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317FEB5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5FC1DA8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1"/>
            <w:tcBorders>
              <w:tl2br w:val="nil"/>
              <w:tr2bl w:val="nil"/>
            </w:tcBorders>
            <w:shd w:val="clear" w:color="auto" w:fill="FFFFFF"/>
            <w:vAlign w:val="center"/>
          </w:tcPr>
          <w:p w14:paraId="7509470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市场监督管理局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市场监督管理局2023年度部门整体工作，具体评价指标包括7项一级指标，并在一级指标基础上细化延伸17项二级指标及30项三级指标。指标体系的数据源于部门履职各项资料、基础数据表及调查问卷分析情况等资料。</w:t>
            </w:r>
          </w:p>
        </w:tc>
      </w:tr>
      <w:tr w14:paraId="02DEFF7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14:paraId="22680DC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1"/>
            <w:tcBorders>
              <w:tl2br w:val="nil"/>
              <w:tr2bl w:val="nil"/>
            </w:tcBorders>
            <w:shd w:val="clear" w:color="auto" w:fill="FFFFFF"/>
            <w:vAlign w:val="center"/>
          </w:tcPr>
          <w:p w14:paraId="3A6A808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14:paraId="1A43BF7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14:paraId="6B40663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14:paraId="571874B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1"/>
            <w:tcBorders>
              <w:tl2br w:val="nil"/>
              <w:tr2bl w:val="nil"/>
            </w:tcBorders>
            <w:shd w:val="clear" w:color="auto" w:fill="FFFFFF"/>
            <w:vAlign w:val="center"/>
          </w:tcPr>
          <w:p w14:paraId="0B74D87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快速检索所需数据信息；对照评分标准，从已整理资料中提取与对应指标有关的数据信息，统计分析该指标的得分情况和扣分原因。</w:t>
            </w:r>
          </w:p>
        </w:tc>
      </w:tr>
      <w:tr w14:paraId="5E048E6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4DD74F6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40C6496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1"/>
            <w:tcBorders>
              <w:tl2br w:val="nil"/>
              <w:tr2bl w:val="nil"/>
            </w:tcBorders>
            <w:shd w:val="clear" w:color="auto" w:fill="FFFFFF"/>
            <w:vAlign w:val="center"/>
          </w:tcPr>
          <w:p w14:paraId="0A7AC62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评价组根据市场监督管理局实际情况和特点，明确此次评价重点关注部门内控管理和非税收入管理情况，针对性地设计评价指标体系和资料收集清单；同时通过查阅相关政策制度，了解部门基本情况，分析部门职责和人员规划，确定评价要点。</w:t>
            </w:r>
          </w:p>
          <w:p w14:paraId="6EA8EA3A">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根据评价工作安排，评价组于8月25日赴兰州新区市场监督管理局查看部门整体和项目相关资料，向部门负责人了解部门组织架构是否完善、财务及资产管理制度是否健全、执行是否有效、项目实施</w:t>
            </w:r>
            <w:r>
              <w:rPr>
                <w:rFonts w:hint="eastAsia" w:ascii="宋体" w:hAnsi="宋体" w:eastAsia="宋体" w:cs="宋体"/>
                <w:b w:val="0"/>
                <w:bCs w:val="0"/>
                <w:color w:val="auto"/>
                <w:sz w:val="24"/>
                <w:szCs w:val="24"/>
                <w:lang w:val="en-US" w:eastAsia="zh-CN"/>
              </w:rPr>
              <w:t>是否达到目标值、效益发挥是否达到预期目标，并根据资金量和年度工作重点方向抽查6个项目（抽查项目资金占比达到47.54%），重点查看实施情况，</w:t>
            </w:r>
            <w:r>
              <w:rPr>
                <w:rFonts w:hint="eastAsia" w:ascii="宋体" w:hAnsi="宋体" w:eastAsia="宋体" w:cs="宋体"/>
                <w:b w:val="0"/>
                <w:bCs w:val="0"/>
                <w:sz w:val="24"/>
                <w:szCs w:val="24"/>
                <w:lang w:val="en-US" w:eastAsia="zh-CN"/>
              </w:rPr>
              <w:t>主要从资金使用、年度目标完成、效益发挥等方面进行了解，根据资料清单收集并复核绩效评价佐证资料，同时对市场监督管理局工作人员进行问卷调查。</w:t>
            </w:r>
          </w:p>
          <w:p w14:paraId="4D509F5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通过前期从线上收集的资料，结合实地调研掌握的情况以及问卷调查结果，评价组根据指标体系的对应指标对资料进行分类梳理，利用统计分析的方法，对提供的数据资料进行分析，提取有用的信息，形成分析结论。</w:t>
            </w:r>
          </w:p>
          <w:p w14:paraId="380BFDA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评价组根据收集的各项资料和了解的相关情况，按照绩效评价要求和规定的文本格式撰写兰州新区市场监督管理局2023年度部门整体支出绩效评价报告，并在要求的时间范围内提交内容完整、结论明确的报告初稿。</w:t>
            </w:r>
          </w:p>
        </w:tc>
      </w:tr>
      <w:tr w14:paraId="560E3D3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7229D96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14:paraId="54C6287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14:paraId="170819D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38" w:type="dxa"/>
            <w:gridSpan w:val="4"/>
            <w:tcBorders>
              <w:tl2br w:val="nil"/>
              <w:tr2bl w:val="nil"/>
            </w:tcBorders>
            <w:shd w:val="clear" w:color="auto" w:fill="FFFFFF"/>
            <w:vAlign w:val="center"/>
          </w:tcPr>
          <w:p w14:paraId="4D720F6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2595" w:type="dxa"/>
            <w:gridSpan w:val="3"/>
            <w:tcBorders>
              <w:tl2br w:val="nil"/>
              <w:tr2bl w:val="nil"/>
            </w:tcBorders>
            <w:shd w:val="clear" w:color="auto" w:fill="FFFFFF"/>
            <w:vAlign w:val="center"/>
          </w:tcPr>
          <w:p w14:paraId="5215424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94分</w:t>
            </w:r>
          </w:p>
        </w:tc>
        <w:tc>
          <w:tcPr>
            <w:tcW w:w="2355" w:type="dxa"/>
            <w:gridSpan w:val="4"/>
            <w:tcBorders>
              <w:tl2br w:val="nil"/>
              <w:tr2bl w:val="nil"/>
            </w:tcBorders>
            <w:shd w:val="clear" w:color="auto" w:fill="FFFFFF"/>
            <w:vAlign w:val="center"/>
          </w:tcPr>
          <w:p w14:paraId="1357B19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009" w:type="dxa"/>
            <w:tcBorders>
              <w:tl2br w:val="nil"/>
              <w:tr2bl w:val="nil"/>
            </w:tcBorders>
            <w:shd w:val="clear" w:color="auto" w:fill="FFFFFF"/>
            <w:vAlign w:val="center"/>
          </w:tcPr>
          <w:p w14:paraId="14FC601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14:paraId="3FACDCA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14:paraId="44D4D26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14:paraId="40530C6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14:paraId="79BBDFA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93" w:type="dxa"/>
            <w:gridSpan w:val="2"/>
            <w:tcBorders>
              <w:tl2br w:val="nil"/>
              <w:tr2bl w:val="nil"/>
            </w:tcBorders>
            <w:shd w:val="clear" w:color="auto" w:fill="FFFFFF"/>
            <w:vAlign w:val="center"/>
          </w:tcPr>
          <w:p w14:paraId="779B83B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部门规划</w:t>
            </w:r>
          </w:p>
        </w:tc>
        <w:tc>
          <w:tcPr>
            <w:tcW w:w="765" w:type="dxa"/>
            <w:tcBorders>
              <w:tl2br w:val="nil"/>
              <w:tr2bl w:val="nil"/>
            </w:tcBorders>
            <w:shd w:val="clear" w:color="auto" w:fill="FFFFFF"/>
            <w:vAlign w:val="center"/>
          </w:tcPr>
          <w:p w14:paraId="1A50F2F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运行成本</w:t>
            </w:r>
          </w:p>
        </w:tc>
        <w:tc>
          <w:tcPr>
            <w:tcW w:w="945" w:type="dxa"/>
            <w:tcBorders>
              <w:tl2br w:val="nil"/>
              <w:tr2bl w:val="nil"/>
            </w:tcBorders>
            <w:shd w:val="clear" w:color="auto" w:fill="FFFFFF"/>
            <w:vAlign w:val="center"/>
          </w:tcPr>
          <w:p w14:paraId="1E0DD61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管理效率</w:t>
            </w:r>
          </w:p>
        </w:tc>
        <w:tc>
          <w:tcPr>
            <w:tcW w:w="885" w:type="dxa"/>
            <w:tcBorders>
              <w:tl2br w:val="nil"/>
              <w:tr2bl w:val="nil"/>
            </w:tcBorders>
            <w:shd w:val="clear" w:color="auto" w:fill="FFFFFF"/>
            <w:vAlign w:val="center"/>
          </w:tcPr>
          <w:p w14:paraId="6CE3A91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履职效能</w:t>
            </w:r>
          </w:p>
        </w:tc>
        <w:tc>
          <w:tcPr>
            <w:tcW w:w="705" w:type="dxa"/>
            <w:tcBorders>
              <w:tl2br w:val="nil"/>
              <w:tr2bl w:val="nil"/>
            </w:tcBorders>
            <w:shd w:val="clear" w:color="auto" w:fill="FFFFFF"/>
            <w:vAlign w:val="center"/>
          </w:tcPr>
          <w:p w14:paraId="034A889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履职效应</w:t>
            </w:r>
          </w:p>
        </w:tc>
        <w:tc>
          <w:tcPr>
            <w:tcW w:w="855" w:type="dxa"/>
            <w:gridSpan w:val="2"/>
            <w:tcBorders>
              <w:tl2br w:val="nil"/>
              <w:tr2bl w:val="nil"/>
            </w:tcBorders>
            <w:shd w:val="clear" w:color="auto" w:fill="FFFFFF"/>
            <w:vAlign w:val="center"/>
          </w:tcPr>
          <w:p w14:paraId="2E0ABAA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可持续发展</w:t>
            </w:r>
          </w:p>
        </w:tc>
        <w:tc>
          <w:tcPr>
            <w:tcW w:w="795" w:type="dxa"/>
            <w:tcBorders>
              <w:tl2br w:val="nil"/>
              <w:tr2bl w:val="nil"/>
            </w:tcBorders>
            <w:shd w:val="clear" w:color="auto" w:fill="FFFFFF"/>
            <w:vAlign w:val="center"/>
          </w:tcPr>
          <w:p w14:paraId="3261AA9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满意度</w:t>
            </w:r>
          </w:p>
        </w:tc>
        <w:tc>
          <w:tcPr>
            <w:tcW w:w="1009" w:type="dxa"/>
            <w:tcBorders>
              <w:tl2br w:val="nil"/>
              <w:tr2bl w:val="nil"/>
            </w:tcBorders>
            <w:shd w:val="clear" w:color="auto" w:fill="FFFFFF"/>
            <w:vAlign w:val="center"/>
          </w:tcPr>
          <w:p w14:paraId="3E163FA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14:paraId="77C02FF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086807F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40499D0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93" w:type="dxa"/>
            <w:gridSpan w:val="2"/>
            <w:tcBorders>
              <w:tl2br w:val="nil"/>
              <w:tr2bl w:val="nil"/>
            </w:tcBorders>
            <w:shd w:val="clear" w:color="auto" w:fill="FFFFFF"/>
            <w:vAlign w:val="center"/>
          </w:tcPr>
          <w:p w14:paraId="70F50A7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w:t>
            </w:r>
          </w:p>
        </w:tc>
        <w:tc>
          <w:tcPr>
            <w:tcW w:w="765" w:type="dxa"/>
            <w:tcBorders>
              <w:tl2br w:val="nil"/>
              <w:tr2bl w:val="nil"/>
            </w:tcBorders>
            <w:shd w:val="clear" w:color="auto" w:fill="FFFFFF"/>
            <w:vAlign w:val="center"/>
          </w:tcPr>
          <w:p w14:paraId="1D75651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w:t>
            </w:r>
          </w:p>
        </w:tc>
        <w:tc>
          <w:tcPr>
            <w:tcW w:w="945" w:type="dxa"/>
            <w:tcBorders>
              <w:tl2br w:val="nil"/>
              <w:tr2bl w:val="nil"/>
            </w:tcBorders>
            <w:shd w:val="clear" w:color="auto" w:fill="FFFFFF"/>
            <w:vAlign w:val="center"/>
          </w:tcPr>
          <w:p w14:paraId="0811F31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21.5</w:t>
            </w:r>
          </w:p>
        </w:tc>
        <w:tc>
          <w:tcPr>
            <w:tcW w:w="885" w:type="dxa"/>
            <w:tcBorders>
              <w:tl2br w:val="nil"/>
              <w:tr2bl w:val="nil"/>
            </w:tcBorders>
            <w:shd w:val="clear" w:color="auto" w:fill="FFFFFF"/>
            <w:vAlign w:val="center"/>
          </w:tcPr>
          <w:p w14:paraId="5F0D6ED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33</w:t>
            </w:r>
          </w:p>
        </w:tc>
        <w:tc>
          <w:tcPr>
            <w:tcW w:w="705" w:type="dxa"/>
            <w:tcBorders>
              <w:tl2br w:val="nil"/>
              <w:tr2bl w:val="nil"/>
            </w:tcBorders>
            <w:shd w:val="clear" w:color="auto" w:fill="FFFFFF"/>
            <w:vAlign w:val="center"/>
          </w:tcPr>
          <w:p w14:paraId="6C0A300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w:t>
            </w:r>
          </w:p>
        </w:tc>
        <w:tc>
          <w:tcPr>
            <w:tcW w:w="855" w:type="dxa"/>
            <w:gridSpan w:val="2"/>
            <w:tcBorders>
              <w:tl2br w:val="nil"/>
              <w:tr2bl w:val="nil"/>
            </w:tcBorders>
            <w:shd w:val="clear" w:color="auto" w:fill="FFFFFF"/>
            <w:vAlign w:val="center"/>
          </w:tcPr>
          <w:p w14:paraId="000DE3C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p>
        </w:tc>
        <w:tc>
          <w:tcPr>
            <w:tcW w:w="795" w:type="dxa"/>
            <w:tcBorders>
              <w:tl2br w:val="nil"/>
              <w:tr2bl w:val="nil"/>
            </w:tcBorders>
            <w:shd w:val="clear" w:color="auto" w:fill="FFFFFF"/>
            <w:vAlign w:val="center"/>
          </w:tcPr>
          <w:p w14:paraId="50A6400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4.5</w:t>
            </w:r>
          </w:p>
        </w:tc>
        <w:tc>
          <w:tcPr>
            <w:tcW w:w="1009" w:type="dxa"/>
            <w:tcBorders>
              <w:tl2br w:val="nil"/>
              <w:tr2bl w:val="nil"/>
            </w:tcBorders>
            <w:shd w:val="clear" w:color="auto" w:fill="FFFFFF"/>
            <w:vAlign w:val="center"/>
          </w:tcPr>
          <w:p w14:paraId="43804EF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94分</w:t>
            </w:r>
          </w:p>
        </w:tc>
      </w:tr>
      <w:tr w14:paraId="546FA12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2015978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6B09D9C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93" w:type="dxa"/>
            <w:gridSpan w:val="2"/>
            <w:tcBorders>
              <w:tl2br w:val="nil"/>
              <w:tr2bl w:val="nil"/>
            </w:tcBorders>
            <w:shd w:val="clear" w:color="auto" w:fill="FFFFFF"/>
            <w:vAlign w:val="center"/>
          </w:tcPr>
          <w:p w14:paraId="1437641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88.89%</w:t>
            </w:r>
          </w:p>
        </w:tc>
        <w:tc>
          <w:tcPr>
            <w:tcW w:w="765" w:type="dxa"/>
            <w:tcBorders>
              <w:tl2br w:val="nil"/>
              <w:tr2bl w:val="nil"/>
            </w:tcBorders>
            <w:shd w:val="clear" w:color="auto" w:fill="FFFFFF"/>
            <w:vAlign w:val="center"/>
          </w:tcPr>
          <w:p w14:paraId="20C89FA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87.5%</w:t>
            </w:r>
          </w:p>
        </w:tc>
        <w:tc>
          <w:tcPr>
            <w:tcW w:w="945" w:type="dxa"/>
            <w:tcBorders>
              <w:tl2br w:val="nil"/>
              <w:tr2bl w:val="nil"/>
            </w:tcBorders>
            <w:shd w:val="clear" w:color="auto" w:fill="FFFFFF"/>
            <w:vAlign w:val="center"/>
          </w:tcPr>
          <w:p w14:paraId="37ECF3D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96.48%</w:t>
            </w:r>
          </w:p>
        </w:tc>
        <w:tc>
          <w:tcPr>
            <w:tcW w:w="885" w:type="dxa"/>
            <w:tcBorders>
              <w:tl2br w:val="nil"/>
              <w:tr2bl w:val="nil"/>
            </w:tcBorders>
            <w:shd w:val="clear" w:color="auto" w:fill="FFFFFF"/>
            <w:vAlign w:val="center"/>
          </w:tcPr>
          <w:p w14:paraId="25B3934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94.29%</w:t>
            </w:r>
          </w:p>
        </w:tc>
        <w:tc>
          <w:tcPr>
            <w:tcW w:w="705" w:type="dxa"/>
            <w:tcBorders>
              <w:tl2br w:val="nil"/>
              <w:tr2bl w:val="nil"/>
            </w:tcBorders>
            <w:shd w:val="clear" w:color="auto" w:fill="FFFFFF"/>
            <w:vAlign w:val="center"/>
          </w:tcPr>
          <w:p w14:paraId="42AFB23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55" w:type="dxa"/>
            <w:gridSpan w:val="2"/>
            <w:tcBorders>
              <w:tl2br w:val="nil"/>
              <w:tr2bl w:val="nil"/>
            </w:tcBorders>
            <w:shd w:val="clear" w:color="auto" w:fill="FFFFFF"/>
            <w:vAlign w:val="center"/>
          </w:tcPr>
          <w:p w14:paraId="04D388B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795" w:type="dxa"/>
            <w:tcBorders>
              <w:tl2br w:val="nil"/>
              <w:tr2bl w:val="nil"/>
            </w:tcBorders>
            <w:shd w:val="clear" w:color="auto" w:fill="FFFFFF"/>
            <w:vAlign w:val="center"/>
          </w:tcPr>
          <w:p w14:paraId="4CB2BE4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90%</w:t>
            </w:r>
          </w:p>
        </w:tc>
        <w:tc>
          <w:tcPr>
            <w:tcW w:w="1009" w:type="dxa"/>
            <w:tcBorders>
              <w:tl2br w:val="nil"/>
              <w:tr2bl w:val="nil"/>
            </w:tcBorders>
            <w:shd w:val="clear" w:color="auto" w:fill="FFFFFF"/>
            <w:vAlign w:val="center"/>
          </w:tcPr>
          <w:p w14:paraId="57FB0C3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94%</w:t>
            </w:r>
          </w:p>
        </w:tc>
      </w:tr>
      <w:tr w14:paraId="52F48CB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15880EA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14:paraId="094321A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4"/>
            <w:tcBorders>
              <w:tl2br w:val="nil"/>
              <w:tr2bl w:val="nil"/>
            </w:tcBorders>
            <w:shd w:val="clear" w:color="auto" w:fill="FFFFFF"/>
            <w:vAlign w:val="center"/>
          </w:tcPr>
          <w:p w14:paraId="09E9E227">
            <w:pPr>
              <w:pStyle w:val="6"/>
              <w:numPr>
                <w:ilvl w:val="0"/>
                <w:numId w:val="0"/>
              </w:numPr>
              <w:ind w:leftChars="0"/>
              <w:jc w:val="both"/>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1.部门整体支出自评情况中各项指标完成情况分析仅将指标名称进行罗列，未对具体工作完成情况进行阐述，建议补充完善。</w:t>
            </w:r>
          </w:p>
          <w:p w14:paraId="3511D72E">
            <w:pPr>
              <w:pStyle w:val="6"/>
              <w:numPr>
                <w:ilvl w:val="0"/>
                <w:numId w:val="0"/>
              </w:numPr>
              <w:ind w:leftChars="0"/>
              <w:jc w:val="both"/>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2.“项目自评情况”缺少11个项目的项目支出预算执行情况、总体绩效目标完成情况、各项指标完成情况分析、偏离绩效目标的原因及下一步改进措施，建议补充完善。</w:t>
            </w:r>
          </w:p>
          <w:p w14:paraId="20CDFC45">
            <w:pPr>
              <w:pStyle w:val="6"/>
              <w:numPr>
                <w:ilvl w:val="0"/>
                <w:numId w:val="0"/>
              </w:numPr>
              <w:ind w:leftChars="0"/>
              <w:jc w:val="both"/>
              <w:rPr>
                <w:rFonts w:hint="eastAsia" w:ascii="宋体" w:hAnsi="宋体" w:eastAsia="宋体" w:cs="宋体"/>
                <w:b w:val="0"/>
                <w:bCs w:val="0"/>
                <w:kern w:val="2"/>
                <w:sz w:val="24"/>
                <w:szCs w:val="24"/>
                <w:lang w:val="en-US" w:eastAsia="zh-CN" w:bidi="ar-SA"/>
              </w:rPr>
            </w:pPr>
            <w:r>
              <w:rPr>
                <w:rFonts w:hint="eastAsia" w:hAnsi="宋体" w:eastAsia="宋体" w:cs="宋体"/>
                <w:b w:val="0"/>
                <w:bCs w:val="0"/>
                <w:kern w:val="2"/>
                <w:sz w:val="24"/>
                <w:szCs w:val="24"/>
                <w:lang w:val="en-US" w:eastAsia="zh-CN" w:bidi="ar-SA"/>
              </w:rPr>
              <w:t>3.</w:t>
            </w:r>
            <w:r>
              <w:rPr>
                <w:rFonts w:hint="eastAsia" w:ascii="宋体" w:hAnsi="宋体" w:eastAsia="宋体" w:cs="宋体"/>
                <w:b w:val="0"/>
                <w:bCs w:val="0"/>
                <w:kern w:val="2"/>
                <w:sz w:val="24"/>
                <w:szCs w:val="24"/>
                <w:lang w:val="en-US" w:eastAsia="zh-CN" w:bidi="ar-SA"/>
              </w:rPr>
              <w:t>《户外广告监测专项经费》自评表中数量指标“向第三方购买户外广告监测服务项目1项，监测户外广告批次”，年度指标值为“≥1批次”，实际完成值为“7批次”，实际完成值远超年度指标值，未填写“偏差原因分析及改进措施”。</w:t>
            </w:r>
          </w:p>
          <w:p w14:paraId="4BE2502F">
            <w:pPr>
              <w:pStyle w:val="6"/>
              <w:numPr>
                <w:ilvl w:val="0"/>
                <w:numId w:val="0"/>
              </w:numPr>
              <w:ind w:leftChars="0"/>
              <w:jc w:val="both"/>
              <w:rPr>
                <w:rFonts w:hint="default" w:ascii="宋体" w:hAnsi="宋体" w:eastAsia="宋体" w:cs="宋体"/>
                <w:b w:val="0"/>
                <w:bCs w:val="0"/>
                <w:kern w:val="2"/>
                <w:sz w:val="24"/>
                <w:szCs w:val="24"/>
                <w:lang w:val="en-US" w:eastAsia="zh-CN" w:bidi="ar-SA"/>
              </w:rPr>
            </w:pPr>
            <w:r>
              <w:rPr>
                <w:rFonts w:hint="eastAsia" w:hAnsi="宋体" w:eastAsia="宋体" w:cs="宋体"/>
                <w:b w:val="0"/>
                <w:bCs w:val="0"/>
                <w:kern w:val="2"/>
                <w:sz w:val="24"/>
                <w:szCs w:val="24"/>
                <w:lang w:val="en-US" w:eastAsia="zh-CN" w:bidi="ar-SA"/>
              </w:rPr>
              <w:t>4.</w:t>
            </w:r>
            <w:r>
              <w:rPr>
                <w:rFonts w:hint="eastAsia" w:ascii="宋体" w:hAnsi="宋体" w:eastAsia="宋体" w:cs="宋体"/>
                <w:b w:val="0"/>
                <w:bCs w:val="0"/>
                <w:kern w:val="2"/>
                <w:sz w:val="24"/>
                <w:szCs w:val="24"/>
                <w:lang w:val="en-US" w:eastAsia="zh-CN" w:bidi="ar-SA"/>
              </w:rPr>
              <w:t>部门整体支出自评表中“社会效益指标”未细化为具体的三级指标，建议修改。</w:t>
            </w:r>
          </w:p>
          <w:p w14:paraId="3B1D2E89">
            <w:pPr>
              <w:pStyle w:val="6"/>
              <w:numPr>
                <w:ilvl w:val="0"/>
                <w:numId w:val="0"/>
              </w:numPr>
              <w:ind w:leftChars="0"/>
              <w:jc w:val="both"/>
              <w:rPr>
                <w:rFonts w:hint="eastAsia" w:ascii="宋体" w:hAnsi="宋体" w:eastAsia="宋体" w:cs="宋体"/>
                <w:b w:val="0"/>
                <w:bCs w:val="0"/>
                <w:sz w:val="24"/>
                <w:szCs w:val="24"/>
                <w:lang w:val="en-US" w:eastAsia="zh-CN"/>
              </w:rPr>
            </w:pPr>
            <w:r>
              <w:rPr>
                <w:rFonts w:hint="eastAsia" w:hAnsi="宋体" w:eastAsia="宋体" w:cs="宋体"/>
                <w:b w:val="0"/>
                <w:bCs w:val="0"/>
                <w:kern w:val="2"/>
                <w:sz w:val="24"/>
                <w:szCs w:val="24"/>
                <w:lang w:val="en-US" w:eastAsia="zh-CN" w:bidi="ar-SA"/>
              </w:rPr>
              <w:t>5.</w:t>
            </w:r>
            <w:r>
              <w:rPr>
                <w:rFonts w:hint="eastAsia" w:ascii="宋体" w:hAnsi="宋体" w:eastAsia="宋体" w:cs="宋体"/>
                <w:b w:val="0"/>
                <w:bCs w:val="0"/>
                <w:kern w:val="2"/>
                <w:sz w:val="24"/>
                <w:szCs w:val="24"/>
                <w:lang w:val="en-US" w:eastAsia="zh-CN" w:bidi="ar-SA"/>
              </w:rPr>
              <w:t>《疫情防控财力补助资金》《预拨2023年疫情防控资金》自评表中时效指标“拨付资金及时性”建议根据项目实施情况改为“甘肃方剂”配送及时性。</w:t>
            </w:r>
          </w:p>
        </w:tc>
      </w:tr>
      <w:tr w14:paraId="0CC6172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62127FA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14:paraId="7D406EB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4"/>
            <w:tcBorders>
              <w:tl2br w:val="nil"/>
              <w:tr2bl w:val="nil"/>
            </w:tcBorders>
            <w:shd w:val="clear" w:color="auto" w:fill="FFFFFF"/>
            <w:vAlign w:val="center"/>
          </w:tcPr>
          <w:p w14:paraId="6F7B41DC">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1.规范项目实施进度管理，进一步提升履职效能。</w:t>
            </w:r>
            <w:r>
              <w:rPr>
                <w:rFonts w:hint="eastAsia" w:ascii="宋体" w:hAnsi="宋体" w:eastAsia="宋体" w:cs="宋体"/>
                <w:b w:val="0"/>
                <w:bCs w:val="0"/>
                <w:sz w:val="24"/>
                <w:szCs w:val="24"/>
                <w:lang w:val="en-US" w:eastAsia="zh-CN"/>
              </w:rPr>
              <w:t>建议市场监督管理局合理制定项目前期计划和目标，建立有效的项目监督管理机制，建立“立、督、查、评、考”全链条督办工作体系，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14:paraId="5ABB36A2">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2.完善内控管理机制，确保资产管理规范有序。</w:t>
            </w:r>
            <w:r>
              <w:rPr>
                <w:rFonts w:hint="eastAsia" w:ascii="宋体" w:hAnsi="宋体" w:eastAsia="宋体" w:cs="宋体"/>
                <w:b w:val="0"/>
                <w:bCs w:val="0"/>
                <w:sz w:val="24"/>
                <w:szCs w:val="24"/>
                <w:lang w:val="en-US" w:eastAsia="zh-CN"/>
              </w:rPr>
              <w:t>建议市场监督管理局完善内控管理机制，一是建立健全内控管理机制，理顺、优化管理流程，提升部门整体管控水平；二是强化制度执行，加大对固定资产的管理，不断加强制度建设、规范开展固定资产清理盘查工作，提高固定资产管理效率。</w:t>
            </w:r>
          </w:p>
          <w:p w14:paraId="7A89A41F">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3.贯彻全面实施预算绩效管理政策，严格做好各项绩效管理工作。</w:t>
            </w:r>
            <w:r>
              <w:rPr>
                <w:rFonts w:hint="eastAsia" w:ascii="宋体" w:hAnsi="宋体" w:eastAsia="宋体" w:cs="宋体"/>
                <w:b w:val="0"/>
                <w:bCs w:val="0"/>
                <w:sz w:val="24"/>
                <w:szCs w:val="24"/>
                <w:lang w:val="en-US" w:eastAsia="zh-CN"/>
              </w:rPr>
              <w:t>建议市场监督管理局严格按照“谁支出、谁负责”的原则，完善全面预算绩效管理，单位财务部门是本单位预算绩效管理的牵头部门，业务部门是本单位预算绩效管理的具体实施部门，承担编报绩效目标、实施绩效跟踪、开展绩效评价等预算绩效管理职责，确保各项要求落到实处，建立健全本单位预算绩效管理工作机制，确保各部门年初设置明确绩效目标，并对绩效目标实现程度和预算执行进度实行“双监控”，以便发现问题、分析原因并及时纠正；同时有效实现项目绩效自评全覆盖，如实反映绩效目标实现结果，对绩效目标未达成或目标制定明显不合理的，及时作出说明并提出改进措施，提高部门履职效能和公共服务供给质量。</w:t>
            </w:r>
          </w:p>
        </w:tc>
      </w:tr>
      <w:tr w14:paraId="0FB1AB4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4"/>
            <w:tcBorders>
              <w:tl2br w:val="nil"/>
              <w:tr2bl w:val="nil"/>
            </w:tcBorders>
            <w:shd w:val="clear" w:color="auto" w:fill="FFFFFF"/>
            <w:vAlign w:val="center"/>
          </w:tcPr>
          <w:p w14:paraId="2C4A7C6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14:paraId="61B9B89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4"/>
            <w:tcBorders>
              <w:tl2br w:val="nil"/>
              <w:tr2bl w:val="nil"/>
            </w:tcBorders>
            <w:shd w:val="clear" w:color="auto" w:fill="FFFFFF"/>
            <w:vAlign w:val="center"/>
          </w:tcPr>
          <w:p w14:paraId="3724260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14:paraId="0BE340AA">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ED0B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662D61">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662D61">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FDCC39"/>
    <w:multiLevelType w:val="singleLevel"/>
    <w:tmpl w:val="DBFDCC3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hOTE4NzU0ODgyYzBhNjMyMzUyZjRlMmFiYzJmZTAifQ=="/>
  </w:docVars>
  <w:rsids>
    <w:rsidRoot w:val="50362AE6"/>
    <w:rsid w:val="00D76A86"/>
    <w:rsid w:val="0132530D"/>
    <w:rsid w:val="015D1599"/>
    <w:rsid w:val="01D874CD"/>
    <w:rsid w:val="036E0F6F"/>
    <w:rsid w:val="03973FA9"/>
    <w:rsid w:val="06E033E4"/>
    <w:rsid w:val="06EB3426"/>
    <w:rsid w:val="07C81D7B"/>
    <w:rsid w:val="08E12275"/>
    <w:rsid w:val="0A2A723E"/>
    <w:rsid w:val="0A3F5E74"/>
    <w:rsid w:val="0ADF27E4"/>
    <w:rsid w:val="112F6356"/>
    <w:rsid w:val="13750B42"/>
    <w:rsid w:val="19A15478"/>
    <w:rsid w:val="1B526ADD"/>
    <w:rsid w:val="1BC01759"/>
    <w:rsid w:val="1BD82927"/>
    <w:rsid w:val="1C7D48CD"/>
    <w:rsid w:val="1D01233B"/>
    <w:rsid w:val="1E4A5D6E"/>
    <w:rsid w:val="20176124"/>
    <w:rsid w:val="24D55C78"/>
    <w:rsid w:val="266B6E4E"/>
    <w:rsid w:val="26BE4453"/>
    <w:rsid w:val="272D2898"/>
    <w:rsid w:val="27F03E2A"/>
    <w:rsid w:val="28EA6A6E"/>
    <w:rsid w:val="28EF2E48"/>
    <w:rsid w:val="2A805ED8"/>
    <w:rsid w:val="2CB76567"/>
    <w:rsid w:val="2F061C46"/>
    <w:rsid w:val="3023701C"/>
    <w:rsid w:val="31CE4510"/>
    <w:rsid w:val="3246394F"/>
    <w:rsid w:val="32A76310"/>
    <w:rsid w:val="332736B7"/>
    <w:rsid w:val="35977693"/>
    <w:rsid w:val="399649CA"/>
    <w:rsid w:val="39D03040"/>
    <w:rsid w:val="3C384D7A"/>
    <w:rsid w:val="41055F0D"/>
    <w:rsid w:val="417C1E8F"/>
    <w:rsid w:val="48054931"/>
    <w:rsid w:val="485D55BF"/>
    <w:rsid w:val="4BA61945"/>
    <w:rsid w:val="4D73233C"/>
    <w:rsid w:val="4F310B23"/>
    <w:rsid w:val="50362AE6"/>
    <w:rsid w:val="50447C2B"/>
    <w:rsid w:val="520608A1"/>
    <w:rsid w:val="52555572"/>
    <w:rsid w:val="533D715B"/>
    <w:rsid w:val="54C310C9"/>
    <w:rsid w:val="54E92EBD"/>
    <w:rsid w:val="55F56D34"/>
    <w:rsid w:val="573F7050"/>
    <w:rsid w:val="5915699E"/>
    <w:rsid w:val="5C641B24"/>
    <w:rsid w:val="5F851FA3"/>
    <w:rsid w:val="5FEE39B7"/>
    <w:rsid w:val="619736C1"/>
    <w:rsid w:val="62564F40"/>
    <w:rsid w:val="65CD64C7"/>
    <w:rsid w:val="680C3C00"/>
    <w:rsid w:val="6C951E77"/>
    <w:rsid w:val="6FF269CE"/>
    <w:rsid w:val="70721B59"/>
    <w:rsid w:val="726448F9"/>
    <w:rsid w:val="74030452"/>
    <w:rsid w:val="76EF360E"/>
    <w:rsid w:val="775D21EC"/>
    <w:rsid w:val="77B04009"/>
    <w:rsid w:val="77B82F42"/>
    <w:rsid w:val="781E54A5"/>
    <w:rsid w:val="788C2381"/>
    <w:rsid w:val="79A378BF"/>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3"/>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autoRedefine/>
    <w:semiHidden/>
    <w:unhideWhenUsed/>
    <w:qFormat/>
    <w:uiPriority w:val="0"/>
    <w:pPr>
      <w:keepNext/>
      <w:keepLines/>
      <w:spacing w:beforeLines="0" w:beforeAutospacing="0" w:afterLines="0" w:afterAutospacing="0" w:line="360" w:lineRule="auto"/>
      <w:outlineLvl w:val="2"/>
    </w:pPr>
    <w:rPr>
      <w:b/>
    </w:rPr>
  </w:style>
  <w:style w:type="paragraph" w:styleId="2">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6">
    <w:name w:val="Plain Text"/>
    <w:basedOn w:val="1"/>
    <w:qFormat/>
    <w:uiPriority w:val="0"/>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index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2945</Words>
  <Characters>3108</Characters>
  <Lines>0</Lines>
  <Paragraphs>0</Paragraphs>
  <TotalTime>10</TotalTime>
  <ScaleCrop>false</ScaleCrop>
  <LinksUpToDate>false</LinksUpToDate>
  <CharactersWithSpaces>3110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Administrator</cp:lastModifiedBy>
  <dcterms:modified xsi:type="dcterms:W3CDTF">2024-09-19T09:56:29Z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82FE9DB9AEB346D193C48291F228D98A_13</vt:lpwstr>
  </property>
</Properties>
</file>