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center"/>
        <w:rPr>
          <w:rFonts w:hint="eastAsia" w:ascii="方正小标宋简体" w:hAnsi="华文中宋" w:eastAsia="方正小标宋简体" w:cs="华文中宋"/>
          <w:b/>
          <w:color w:val="auto"/>
          <w:sz w:val="36"/>
          <w:szCs w:val="36"/>
          <w:lang w:val="en-US" w:eastAsia="zh-CN"/>
        </w:rPr>
      </w:pPr>
      <w:r>
        <w:rPr>
          <w:rFonts w:hint="eastAsia" w:ascii="方正小标宋简体" w:hAnsi="华文中宋" w:eastAsia="方正小标宋简体" w:cs="华文中宋"/>
          <w:b/>
          <w:color w:val="auto"/>
          <w:sz w:val="36"/>
          <w:szCs w:val="36"/>
          <w:lang w:val="en-US" w:eastAsia="zh-CN"/>
        </w:rPr>
        <w:t>兰州新区地下综合管廊一期工程25条管廊PPP项目运营期（2023年度）绩效评价报告</w:t>
      </w:r>
    </w:p>
    <w:p>
      <w:pPr>
        <w:bidi w:val="0"/>
        <w:rPr>
          <w:rFonts w:hint="eastAsia"/>
          <w:lang w:val="en-US" w:eastAsia="zh-CN"/>
        </w:rPr>
      </w:pPr>
    </w:p>
    <w:tbl>
      <w:tblPr>
        <w:tblStyle w:val="10"/>
        <w:tblW w:w="8814" w:type="dxa"/>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98"/>
        <w:gridCol w:w="319"/>
        <w:gridCol w:w="675"/>
        <w:gridCol w:w="606"/>
        <w:gridCol w:w="297"/>
        <w:gridCol w:w="984"/>
        <w:gridCol w:w="858"/>
        <w:gridCol w:w="423"/>
        <w:gridCol w:w="1282"/>
        <w:gridCol w:w="155"/>
        <w:gridCol w:w="1213"/>
        <w:gridCol w:w="1304"/>
      </w:tblGrid>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28" w:hRule="atLeast"/>
          <w:jc w:val="center"/>
        </w:trPr>
        <w:tc>
          <w:tcPr>
            <w:tcW w:w="8814" w:type="dxa"/>
            <w:gridSpan w:val="12"/>
            <w:tcBorders>
              <w:tl2br w:val="nil"/>
              <w:tr2bl w:val="nil"/>
            </w:tcBorders>
            <w:shd w:val="clear" w:color="auto" w:fill="FFFFFF"/>
            <w:vAlign w:val="center"/>
          </w:tcPr>
          <w:p>
            <w:pPr>
              <w:bidi w:val="0"/>
              <w:ind w:left="0" w:leftChars="0" w:firstLine="0" w:firstLineChars="0"/>
              <w:jc w:val="center"/>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bCs/>
                <w:sz w:val="24"/>
                <w:szCs w:val="24"/>
                <w:lang w:val="en-US" w:eastAsia="zh-CN"/>
              </w:rPr>
              <w:t>一、部门整体基本情况</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restar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基本情况</w:t>
            </w: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项目名称</w:t>
            </w:r>
          </w:p>
        </w:tc>
        <w:tc>
          <w:tcPr>
            <w:tcW w:w="6219" w:type="dxa"/>
            <w:gridSpan w:val="7"/>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兰州新区地下综合管廊一期工程25条管廊PPP项目运营期（2023年度）绩效评价</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评价年度</w:t>
            </w:r>
          </w:p>
        </w:tc>
        <w:tc>
          <w:tcPr>
            <w:tcW w:w="1842"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2023年度</w:t>
            </w:r>
          </w:p>
        </w:tc>
        <w:tc>
          <w:tcPr>
            <w:tcW w:w="1860"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评价类型</w:t>
            </w:r>
          </w:p>
        </w:tc>
        <w:tc>
          <w:tcPr>
            <w:tcW w:w="251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财政评价</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委托评价单位</w:t>
            </w:r>
          </w:p>
        </w:tc>
        <w:tc>
          <w:tcPr>
            <w:tcW w:w="1842"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兰州新区城乡建设和交通管理局</w:t>
            </w:r>
          </w:p>
        </w:tc>
        <w:tc>
          <w:tcPr>
            <w:tcW w:w="1860"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评价机构名称</w:t>
            </w:r>
          </w:p>
        </w:tc>
        <w:tc>
          <w:tcPr>
            <w:tcW w:w="251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甘肃金益通绩效评价咨询服务有限公司</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评价对象名称</w:t>
            </w:r>
          </w:p>
        </w:tc>
        <w:tc>
          <w:tcPr>
            <w:tcW w:w="6219" w:type="dxa"/>
            <w:gridSpan w:val="7"/>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兰州新区地下综合管廊一期工程25条管廊PPP项目</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98"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实施目的</w:t>
            </w:r>
          </w:p>
        </w:tc>
        <w:tc>
          <w:tcPr>
            <w:tcW w:w="8116" w:type="dxa"/>
            <w:gridSpan w:val="11"/>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val="0"/>
                <w:color w:val="000000"/>
                <w:sz w:val="24"/>
                <w:szCs w:val="24"/>
                <w:vertAlign w:val="baseline"/>
                <w:lang w:val="en-US" w:eastAsia="zh-CN"/>
              </w:rPr>
              <w:t>本次绩效评价通过运用规范的绩效评价指标体系和科学的绩效评价方法，全面、客观地评价兰州新区地下综合管廊一期工程25条管廊PPP项目运营期2023年度的运营情况，协议内容执行情况以及监管考核情况。通过此次绩效评价发现项目运营过程中存在的问题，针对存在的问题提出合理的改进意见和建议，从而促进以后年度项目运营管理工作的不断提升，同时为本年度运营补贴资金的支付提供参考依据。</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restar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vertAlign w:val="baseline"/>
                <w:lang w:val="en-US" w:eastAsia="zh-CN"/>
              </w:rPr>
            </w:pPr>
            <w:r>
              <w:rPr>
                <w:rFonts w:hint="eastAsia" w:ascii="宋体" w:hAnsi="宋体" w:eastAsia="宋体" w:cs="宋体"/>
                <w:b/>
                <w:bCs/>
                <w:color w:val="000000"/>
                <w:sz w:val="24"/>
                <w:szCs w:val="24"/>
                <w:vertAlign w:val="baseline"/>
                <w:lang w:val="en-US" w:eastAsia="zh-CN"/>
              </w:rPr>
              <w:t>资金情况（万元）</w:t>
            </w: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highlight w:val="yellow"/>
                <w:vertAlign w:val="baseline"/>
                <w:lang w:val="en-US" w:eastAsia="zh-CN"/>
              </w:rPr>
            </w:pPr>
            <w:r>
              <w:rPr>
                <w:rFonts w:hint="eastAsia" w:ascii="宋体" w:hAnsi="宋体" w:eastAsia="宋体" w:cs="宋体"/>
                <w:b/>
                <w:bCs/>
                <w:color w:val="000000"/>
                <w:sz w:val="24"/>
                <w:szCs w:val="24"/>
                <w:highlight w:val="yellow"/>
                <w:vertAlign w:val="baseline"/>
                <w:lang w:val="en-US" w:eastAsia="zh-CN"/>
              </w:rPr>
              <w:t>预算安排资金</w:t>
            </w:r>
          </w:p>
        </w:tc>
        <w:tc>
          <w:tcPr>
            <w:tcW w:w="1842"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highlight w:val="yellow"/>
                <w:vertAlign w:val="baseline"/>
                <w:lang w:val="en-US" w:eastAsia="zh-CN"/>
              </w:rPr>
            </w:pPr>
            <w:r>
              <w:rPr>
                <w:rFonts w:hint="eastAsia" w:ascii="宋体" w:hAnsi="宋体" w:eastAsia="宋体" w:cs="宋体"/>
                <w:b w:val="0"/>
                <w:color w:val="000000"/>
                <w:sz w:val="24"/>
                <w:szCs w:val="24"/>
                <w:highlight w:val="yellow"/>
                <w:vertAlign w:val="baseline"/>
                <w:lang w:val="en-US" w:eastAsia="zh-CN"/>
              </w:rPr>
              <w:t>13696.23</w:t>
            </w:r>
          </w:p>
        </w:tc>
        <w:tc>
          <w:tcPr>
            <w:tcW w:w="1860"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highlight w:val="yellow"/>
                <w:vertAlign w:val="baseline"/>
                <w:lang w:val="en-US" w:eastAsia="zh-CN"/>
              </w:rPr>
            </w:pPr>
            <w:r>
              <w:rPr>
                <w:rFonts w:hint="eastAsia" w:ascii="宋体" w:hAnsi="宋体" w:eastAsia="宋体" w:cs="宋体"/>
                <w:b/>
                <w:bCs/>
                <w:color w:val="000000"/>
                <w:sz w:val="24"/>
                <w:szCs w:val="24"/>
                <w:highlight w:val="yellow"/>
                <w:vertAlign w:val="baseline"/>
                <w:lang w:val="en-US" w:eastAsia="zh-CN"/>
              </w:rPr>
              <w:t>实际到位资金</w:t>
            </w:r>
          </w:p>
        </w:tc>
        <w:tc>
          <w:tcPr>
            <w:tcW w:w="251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highlight w:val="yellow"/>
                <w:vertAlign w:val="baseline"/>
                <w:lang w:val="en-US" w:eastAsia="zh-CN"/>
              </w:rPr>
            </w:pPr>
            <w:r>
              <w:rPr>
                <w:rFonts w:hint="eastAsia" w:ascii="宋体" w:hAnsi="宋体" w:eastAsia="宋体" w:cs="宋体"/>
                <w:b w:val="0"/>
                <w:color w:val="000000"/>
                <w:sz w:val="24"/>
                <w:szCs w:val="24"/>
                <w:highlight w:val="yellow"/>
                <w:vertAlign w:val="baseline"/>
                <w:lang w:val="en-US" w:eastAsia="zh-CN"/>
              </w:rPr>
              <w:t>13081.34</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highlight w:val="yellow"/>
                <w:vertAlign w:val="baseline"/>
                <w:lang w:val="en-US" w:eastAsia="zh-CN"/>
              </w:rPr>
            </w:pPr>
            <w:r>
              <w:rPr>
                <w:rFonts w:hint="eastAsia" w:ascii="宋体" w:hAnsi="宋体" w:eastAsia="宋体" w:cs="宋体"/>
                <w:b w:val="0"/>
                <w:color w:val="000000"/>
                <w:sz w:val="24"/>
                <w:szCs w:val="24"/>
                <w:highlight w:val="yellow"/>
                <w:vertAlign w:val="baseline"/>
                <w:lang w:val="en-US" w:eastAsia="zh-CN"/>
              </w:rPr>
              <w:t>其中：市级资金</w:t>
            </w:r>
          </w:p>
        </w:tc>
        <w:tc>
          <w:tcPr>
            <w:tcW w:w="1842"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highlight w:val="yellow"/>
                <w:vertAlign w:val="baseline"/>
                <w:lang w:val="en-US" w:eastAsia="zh-CN"/>
              </w:rPr>
            </w:pPr>
            <w:r>
              <w:rPr>
                <w:rFonts w:hint="eastAsia" w:ascii="宋体" w:hAnsi="宋体" w:eastAsia="宋体" w:cs="宋体"/>
                <w:b w:val="0"/>
                <w:color w:val="000000"/>
                <w:sz w:val="24"/>
                <w:szCs w:val="24"/>
                <w:highlight w:val="yellow"/>
                <w:vertAlign w:val="baseline"/>
                <w:lang w:val="en-US" w:eastAsia="zh-CN"/>
              </w:rPr>
              <w:t>13081.34</w:t>
            </w:r>
          </w:p>
        </w:tc>
        <w:tc>
          <w:tcPr>
            <w:tcW w:w="1860"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bCs w:val="0"/>
                <w:color w:val="000000"/>
                <w:kern w:val="2"/>
                <w:sz w:val="24"/>
                <w:szCs w:val="24"/>
                <w:highlight w:val="yellow"/>
                <w:vertAlign w:val="baseline"/>
                <w:lang w:val="en-US" w:eastAsia="zh-CN" w:bidi="ar-SA"/>
              </w:rPr>
            </w:pPr>
            <w:r>
              <w:rPr>
                <w:rFonts w:hint="eastAsia" w:ascii="宋体" w:hAnsi="宋体" w:eastAsia="宋体" w:cs="宋体"/>
                <w:b w:val="0"/>
                <w:bCs w:val="0"/>
                <w:color w:val="000000"/>
                <w:sz w:val="24"/>
                <w:szCs w:val="24"/>
                <w:highlight w:val="yellow"/>
                <w:vertAlign w:val="baseline"/>
                <w:lang w:val="en-US" w:eastAsia="zh-CN"/>
              </w:rPr>
              <w:t>其中：市级资金</w:t>
            </w:r>
          </w:p>
        </w:tc>
        <w:tc>
          <w:tcPr>
            <w:tcW w:w="251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kern w:val="2"/>
                <w:sz w:val="24"/>
                <w:szCs w:val="24"/>
                <w:highlight w:val="yellow"/>
                <w:vertAlign w:val="baseline"/>
                <w:lang w:val="en-US" w:eastAsia="zh-CN" w:bidi="ar-SA"/>
              </w:rPr>
            </w:pPr>
            <w:r>
              <w:rPr>
                <w:rFonts w:hint="eastAsia" w:ascii="宋体" w:hAnsi="宋体" w:eastAsia="宋体" w:cs="宋体"/>
                <w:b w:val="0"/>
                <w:color w:val="000000"/>
                <w:sz w:val="24"/>
                <w:szCs w:val="24"/>
                <w:highlight w:val="yellow"/>
                <w:vertAlign w:val="baseline"/>
                <w:lang w:val="en-US" w:eastAsia="zh-CN"/>
              </w:rPr>
              <w:t>13081.34</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hint="eastAsia" w:ascii="宋体" w:hAnsi="宋体" w:eastAsia="宋体" w:cs="宋体"/>
                <w:b w:val="0"/>
                <w:color w:val="000000"/>
                <w:sz w:val="24"/>
                <w:szCs w:val="24"/>
                <w:highlight w:val="yellow"/>
                <w:vertAlign w:val="baseline"/>
                <w:lang w:val="en-US" w:eastAsia="zh-CN"/>
              </w:rPr>
            </w:pPr>
            <w:r>
              <w:rPr>
                <w:rFonts w:hint="eastAsia" w:ascii="宋体" w:hAnsi="宋体" w:eastAsia="宋体" w:cs="宋体"/>
                <w:b w:val="0"/>
                <w:color w:val="000000"/>
                <w:sz w:val="24"/>
                <w:szCs w:val="24"/>
                <w:highlight w:val="yellow"/>
                <w:vertAlign w:val="baseline"/>
                <w:lang w:val="en-US" w:eastAsia="zh-CN"/>
              </w:rPr>
              <w:t>县级资金</w:t>
            </w:r>
          </w:p>
        </w:tc>
        <w:tc>
          <w:tcPr>
            <w:tcW w:w="1842"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highlight w:val="yellow"/>
                <w:vertAlign w:val="baseline"/>
                <w:lang w:val="en-US" w:eastAsia="zh-CN"/>
              </w:rPr>
            </w:pPr>
          </w:p>
        </w:tc>
        <w:tc>
          <w:tcPr>
            <w:tcW w:w="1860"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hint="eastAsia" w:ascii="宋体" w:hAnsi="宋体" w:eastAsia="宋体" w:cs="宋体"/>
                <w:b w:val="0"/>
                <w:bCs w:val="0"/>
                <w:color w:val="000000"/>
                <w:kern w:val="2"/>
                <w:sz w:val="24"/>
                <w:szCs w:val="24"/>
                <w:highlight w:val="yellow"/>
                <w:vertAlign w:val="baseline"/>
                <w:lang w:val="en-US" w:eastAsia="zh-CN" w:bidi="ar-SA"/>
              </w:rPr>
            </w:pPr>
            <w:r>
              <w:rPr>
                <w:rFonts w:hint="eastAsia" w:ascii="宋体" w:hAnsi="宋体" w:eastAsia="宋体" w:cs="宋体"/>
                <w:b w:val="0"/>
                <w:bCs w:val="0"/>
                <w:color w:val="000000"/>
                <w:sz w:val="24"/>
                <w:szCs w:val="24"/>
                <w:highlight w:val="yellow"/>
                <w:vertAlign w:val="baseline"/>
                <w:lang w:val="en-US" w:eastAsia="zh-CN"/>
              </w:rPr>
              <w:t>县级资金</w:t>
            </w:r>
          </w:p>
        </w:tc>
        <w:tc>
          <w:tcPr>
            <w:tcW w:w="251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kern w:val="2"/>
                <w:sz w:val="24"/>
                <w:szCs w:val="24"/>
                <w:highlight w:val="yellow"/>
                <w:vertAlign w:val="baseline"/>
                <w:lang w:val="en-US" w:eastAsia="zh-CN" w:bidi="ar-SA"/>
              </w:rPr>
            </w:pP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highlight w:val="yellow"/>
                <w:vertAlign w:val="baseline"/>
                <w:lang w:val="en-US" w:eastAsia="zh-CN"/>
              </w:rPr>
            </w:pPr>
            <w:r>
              <w:rPr>
                <w:rFonts w:hint="eastAsia" w:ascii="宋体" w:hAnsi="宋体" w:eastAsia="宋体" w:cs="宋体"/>
                <w:b/>
                <w:bCs/>
                <w:color w:val="000000"/>
                <w:sz w:val="24"/>
                <w:szCs w:val="24"/>
                <w:highlight w:val="yellow"/>
                <w:vertAlign w:val="baseline"/>
                <w:lang w:val="en-US" w:eastAsia="zh-CN"/>
              </w:rPr>
              <w:t>实际支出资金</w:t>
            </w:r>
          </w:p>
        </w:tc>
        <w:tc>
          <w:tcPr>
            <w:tcW w:w="1842"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highlight w:val="yellow"/>
                <w:vertAlign w:val="baseline"/>
                <w:lang w:val="en-US" w:eastAsia="zh-CN"/>
              </w:rPr>
            </w:pPr>
            <w:r>
              <w:rPr>
                <w:rFonts w:hint="eastAsia" w:ascii="宋体" w:hAnsi="宋体" w:eastAsia="宋体" w:cs="宋体"/>
                <w:b w:val="0"/>
                <w:color w:val="000000"/>
                <w:sz w:val="24"/>
                <w:szCs w:val="24"/>
                <w:highlight w:val="yellow"/>
                <w:vertAlign w:val="baseline"/>
                <w:lang w:val="en-US" w:eastAsia="zh-CN"/>
              </w:rPr>
              <w:t>13081.34</w:t>
            </w:r>
          </w:p>
        </w:tc>
        <w:tc>
          <w:tcPr>
            <w:tcW w:w="1860"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highlight w:val="yellow"/>
                <w:vertAlign w:val="baseline"/>
                <w:lang w:val="en-US" w:eastAsia="zh-CN"/>
              </w:rPr>
            </w:pPr>
            <w:r>
              <w:rPr>
                <w:rFonts w:hint="eastAsia" w:ascii="宋体" w:hAnsi="宋体" w:eastAsia="宋体" w:cs="宋体"/>
                <w:b/>
                <w:bCs/>
                <w:color w:val="000000"/>
                <w:sz w:val="24"/>
                <w:szCs w:val="24"/>
                <w:highlight w:val="yellow"/>
                <w:vertAlign w:val="baseline"/>
                <w:lang w:val="en-US" w:eastAsia="zh-CN"/>
              </w:rPr>
              <w:t>结余资金</w:t>
            </w:r>
          </w:p>
        </w:tc>
        <w:tc>
          <w:tcPr>
            <w:tcW w:w="251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highlight w:val="yellow"/>
                <w:vertAlign w:val="baseline"/>
                <w:lang w:val="en-US" w:eastAsia="zh-CN"/>
              </w:rPr>
            </w:pPr>
            <w:r>
              <w:rPr>
                <w:rFonts w:hint="eastAsia" w:ascii="宋体" w:hAnsi="宋体" w:eastAsia="宋体" w:cs="宋体"/>
                <w:b w:val="0"/>
                <w:color w:val="000000"/>
                <w:sz w:val="24"/>
                <w:szCs w:val="24"/>
                <w:highlight w:val="yellow"/>
                <w:vertAlign w:val="baseline"/>
                <w:lang w:val="en-US" w:eastAsia="zh-CN"/>
              </w:rPr>
              <w:t>614.89</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698" w:type="dxa"/>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p>
        </w:tc>
        <w:tc>
          <w:tcPr>
            <w:tcW w:w="1897" w:type="dxa"/>
            <w:gridSpan w:val="4"/>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color w:val="000000"/>
                <w:sz w:val="24"/>
                <w:szCs w:val="24"/>
                <w:highlight w:val="yellow"/>
                <w:vertAlign w:val="baseline"/>
                <w:lang w:val="en-US" w:eastAsia="zh-CN"/>
              </w:rPr>
            </w:pPr>
            <w:r>
              <w:rPr>
                <w:rFonts w:hint="eastAsia" w:ascii="宋体" w:hAnsi="宋体" w:eastAsia="宋体" w:cs="宋体"/>
                <w:b/>
                <w:bCs/>
                <w:color w:val="000000"/>
                <w:sz w:val="24"/>
                <w:szCs w:val="24"/>
                <w:highlight w:val="yellow"/>
                <w:vertAlign w:val="baseline"/>
                <w:lang w:val="en-US" w:eastAsia="zh-CN"/>
              </w:rPr>
              <w:t>预算执行率</w:t>
            </w:r>
          </w:p>
        </w:tc>
        <w:tc>
          <w:tcPr>
            <w:tcW w:w="6219" w:type="dxa"/>
            <w:gridSpan w:val="7"/>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宋体" w:hAnsi="宋体" w:eastAsia="宋体" w:cs="宋体"/>
                <w:b w:val="0"/>
                <w:color w:val="000000"/>
                <w:sz w:val="24"/>
                <w:szCs w:val="24"/>
                <w:highlight w:val="yellow"/>
                <w:vertAlign w:val="baseline"/>
                <w:lang w:val="en-US" w:eastAsia="zh-CN"/>
              </w:rPr>
            </w:pPr>
            <w:r>
              <w:rPr>
                <w:rFonts w:hint="eastAsia" w:ascii="宋体" w:hAnsi="宋体" w:eastAsia="宋体" w:cs="宋体"/>
                <w:b w:val="0"/>
                <w:color w:val="000000"/>
                <w:sz w:val="24"/>
                <w:szCs w:val="24"/>
                <w:highlight w:val="yellow"/>
                <w:vertAlign w:val="baseline"/>
                <w:lang w:val="en-US" w:eastAsia="zh-CN"/>
              </w:rPr>
              <w:t>95.51%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54" w:hRule="atLeast"/>
          <w:jc w:val="center"/>
        </w:trPr>
        <w:tc>
          <w:tcPr>
            <w:tcW w:w="8814" w:type="dxa"/>
            <w:gridSpan w:val="1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val="0"/>
                <w:color w:val="000000"/>
                <w:sz w:val="24"/>
                <w:szCs w:val="24"/>
                <w:vertAlign w:val="baseline"/>
                <w:lang w:val="en-US" w:eastAsia="zh-CN"/>
              </w:rPr>
            </w:pPr>
            <w:r>
              <w:rPr>
                <w:rFonts w:hint="eastAsia" w:ascii="宋体" w:hAnsi="宋体" w:eastAsia="宋体" w:cs="宋体"/>
                <w:b/>
                <w:bCs/>
                <w:sz w:val="24"/>
                <w:szCs w:val="24"/>
                <w:highlight w:val="none"/>
                <w:lang w:val="en-US" w:eastAsia="zh-CN"/>
              </w:rPr>
              <w:t>二、部门整体绩效目标</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年度绩效目标</w:t>
            </w:r>
          </w:p>
        </w:tc>
        <w:tc>
          <w:tcPr>
            <w:tcW w:w="7122" w:type="dxa"/>
            <w:gridSpan w:val="9"/>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bCs/>
                <w:sz w:val="24"/>
                <w:szCs w:val="24"/>
                <w:lang w:val="en-US" w:eastAsia="zh-CN"/>
              </w:rPr>
            </w:pPr>
            <w:r>
              <w:rPr>
                <w:rFonts w:hint="eastAsia" w:ascii="宋体" w:hAnsi="宋体" w:eastAsia="宋体" w:cs="宋体"/>
                <w:b w:val="0"/>
                <w:bCs w:val="0"/>
                <w:sz w:val="24"/>
                <w:szCs w:val="24"/>
                <w:lang w:val="en-US" w:eastAsia="zh-CN"/>
              </w:rPr>
              <w:t>完成综合服务组团管廊工程建设。同时，在项目建成后，保持管廊处于良好的技术状态，排除设施设备故障，包括检查检测、定期保养、维修更换、备品管理、环境维护，为入廊管线提供安全、清洁、稳定的工作环境，以保持电力、通讯、燃气稳定安全地供应，适应高速发展的经济社会，为兰州新区创造可持续发展的条件。</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三、评价基本情况</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81"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评价范围</w:t>
            </w:r>
          </w:p>
        </w:tc>
        <w:tc>
          <w:tcPr>
            <w:tcW w:w="7122" w:type="dxa"/>
            <w:gridSpan w:val="9"/>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主要包括项目运营期间产出、效果与管理等方面。</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评价依据</w:t>
            </w:r>
          </w:p>
        </w:tc>
        <w:tc>
          <w:tcPr>
            <w:tcW w:w="7122" w:type="dxa"/>
            <w:gridSpan w:val="9"/>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1.《关于推广运用政府和社会资本合作模式有关问题的通知》(财金〔2014〕76号);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2.《国务院办公厅转发财政部发展改革委人民银行关于在公共服务领域推广政府和社会资本合作模式指导意见的通知》(国办发〔2015〕42号);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3.《关于印发政府和社会资本合作项目财政管理暂行办法的通知》(财金</w:t>
            </w:r>
            <w:bookmarkStart w:id="0" w:name="_GoBack"/>
            <w:bookmarkEnd w:id="0"/>
            <w:r>
              <w:rPr>
                <w:rFonts w:hint="eastAsia" w:ascii="宋体" w:hAnsi="宋体" w:eastAsia="宋体" w:cs="宋体"/>
                <w:b w:val="0"/>
                <w:bCs w:val="0"/>
                <w:sz w:val="24"/>
                <w:szCs w:val="24"/>
                <w:lang w:val="en-US" w:eastAsia="zh-CN"/>
              </w:rPr>
              <w:t>〔2016〕92号);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4.《财政部关于推进政府和社会资本合作规范发展的实施意见》(财金〔2019〕10号);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5.《政府和社会资本合作(PPP)项目绩效管理操作指引》的通知(财金〔2020〕13号);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6.《甘肃省人民政府办公厅关于印发甘肃省政府和社会资本合作(PPP)项目工作导则的通知》(甘政办发〔2017〕37号);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7.《甘肃省政府和社会资本合作(PPP)项目全生命周期绩效管理实施细则(试行)》(甘财建〔2022〕134号);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8.《关于建设兰州新区地下综合管廊一期工程的通知》(新城建发〔2016〕23号);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9.《关于兰州新区地下综合管廊一期工程PPP项目财政承受能力论证会结论反馈意见的函》(兰新财函〔2016〕11号);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10.《关于兰州新区地下综合管廊一期工程PPP项目物有所值论证结论反馈意见的函》(兰新财函〔2016〕12号);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11.《关于同意兰州新区地下综合管廊一期工程25条综合管廊PPP项目实施方案的批复》(新政函〔2016〕31号);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12.《关于兰州新区地下综合管廊一期工程25条管廊项目可行性研究报告的批复》(新经发投资〔2016〕150号);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13.《关于兰州新区铁路建设投资有限责任公司兰州新区地下综合管廊一期工程项目节能评估报告表的审查意见》(新经发能源函〔2016〕72号);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14.《关于兰州新区地下综合管廊一期工程项目环境影响报告表的批复》(新环审发〔2016〕56号);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15.《关于建设兰州新区地下综合管廊一期工程的通知》(新城建发〔2016〕23号);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16.《兰州新区城乡建设管理局关于停止兰州新区地下综合管廊和有轨电车项目实施的通知》(新城建发〔2016〕509号);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17.《兰州新区城乡建设管理局关于兰州新区地下综合管廊建设相关事宜的复函》(新城建函〔2017〕33号);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18.《兰州新区地下综合管廊一期工程招标文件》;</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19.《兰州新区地下综合管廊一期工程25条管廊项目PPP合同》;</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20.《关于&lt;兰州新区地下综合管廊一期工程25条管廊项目PPP项目合同〉的变更协议》;</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21.《兰州新区地下综合管廊一期工程25条管廊PPP项目综合服务组团管廊经十路、纬七路、(站前广场一经七路)、纬七路(经七路一经十路)3条竣工管廊和监控中心工程结算审核报告》等。</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绩效评价</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指标体系</w:t>
            </w:r>
          </w:p>
        </w:tc>
        <w:tc>
          <w:tcPr>
            <w:tcW w:w="7122" w:type="dxa"/>
            <w:gridSpan w:val="9"/>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(一)绩效评价指标体系设计原则</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此次绩效评价指标体系根据《政府和社会资本合作(PPP)项目绩效管理操作指引》(财金〔2020〕13号)以及《甘肃省政府和社会资本合作(PPP)项目全生命周期绩效管理实施细则(试行)》(甘财建〔2022〕134号)文件制定。根据(甘财建〔2022〕134号)第三条“本实施细则施行前已发布中标通知书的项目，沿用采购文件或项目合同中约定的绩效评价指标及结果应用等条款，按照本实施细则开展绩效监控、绩效评价相关工作，绩效目标与绩效指标体系不完善的，可参照本实施细则进行补充完善。”</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本项目运营绩效评价沿用《兰州新区地下综合管廊一期工程25条管廊项目PPP项目合同》《关于〈兰州新区地下综合管廊一期工程25条管廊项目PPP项目合同&gt;的变更协议》绩效评价指标及结果应用等条款，本次绩效评价在参照(甘财建〔2022〕134号)共性指标框架基础上，结合项目的实际情况，按照绩效指标设计的相关性、重要性、可比性、系统性、经济性、科学性等原则，对本项目运营期的绩效评价指标体系进行优化调整，就管理、产出、效果三个方面合理设定本项目的指标体系。-级指标和二级指标基本参照共性框架指标，三级指标则是结合项目特点进行设置，做到指标内涵明确、具体、可衡量，数据及佐证资料可采集、可获得。</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(二)绩效评价指标体系说明</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本次为项目运营期第六年绩效评价，因前期绩效评价指标体系已经专家评审并通过，本次绩效评价继续使用其对缺项指标的设置。①“成本控制”:以经审计确定的当年度运营维护成本或年初政府相关部门批复的预算金额为控制上限，核实实际发生运营维护成本是否超出控制上限;②“入廊费用收取率”:对项目运营期间的收取的实际入廊费和运营管理费进行评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上述无法评价的指标作为缺项处理(不做评分)。缺项处理后指标得分具体计算方法为:按照实际评价内容的得分率折算成百分制确定最终的绩效评价得分。</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95"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评价方法</w:t>
            </w:r>
          </w:p>
        </w:tc>
        <w:tc>
          <w:tcPr>
            <w:tcW w:w="7122" w:type="dxa"/>
            <w:gridSpan w:val="9"/>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比较法、公众评判法。</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726"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数据采集及</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处理方法</w:t>
            </w:r>
          </w:p>
        </w:tc>
        <w:tc>
          <w:tcPr>
            <w:tcW w:w="7122" w:type="dxa"/>
            <w:gridSpan w:val="9"/>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(1)比较法:通过对实际运营服务内容、质量与协议.约定服务内容、质量标准进行对比，采取定量分析与定性分析相结合的方法综合分析，最后依据分析结果进行绩效评价。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(2)公众评判法:通过发放调查问卷及现场调研访谈，了解项目实施效果及项目服务对象、主管部门对该项目运营的认可和满意度，最终总结分析服务对象及主管部门的满意程度和项目实施效果。</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41" w:hRule="atLeast"/>
          <w:jc w:val="center"/>
        </w:trPr>
        <w:tc>
          <w:tcPr>
            <w:tcW w:w="169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绩效评价</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工作过程</w:t>
            </w:r>
          </w:p>
        </w:tc>
        <w:tc>
          <w:tcPr>
            <w:tcW w:w="7122" w:type="dxa"/>
            <w:gridSpan w:val="9"/>
            <w:tcBorders>
              <w:tl2br w:val="nil"/>
              <w:tr2bl w:val="nil"/>
            </w:tcBorders>
            <w:shd w:val="clear" w:color="auto" w:fill="FFFFFF"/>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1.编制绩效评价工作方案</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项目评价组根据评价需求及初步调查了解，组织编制《兰州新区地下综合管廊一期工程25条管廊PPP项目运营期绩效评价工作方案》，内容包括项目基本情况、绩效目标和指标体系、评价目的和依据、评价对象和范围、评价方法、组织与实施计划、资料收集与调查等。</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2.前期准备</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(1)资料收集</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一是根据PPP项目特点，结合项目实际情况及此次绩效评价工作的需要，梳理并列出本次绩效评价所需项目准备、项目采购、项目执行、运营期等佐证资料清单，并将资料清单发送至项目公司开展线.上资料收集工作。二是评价组与项目公司相关负责人员进行电话访谈，进一步了解项目运营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(2)召开项目内部分析会</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评价组在获取项目基本资料后，召开内部项目分析会，就项目情况进行分析了解，明确绩效评价对象及内容，确定项目评价关注点。</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(3)设计调查问卷及访谈提纲</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根据项目特点，选取项目主管部门和入廊企业为调查对象。同时依据项目主管部门监督管理职责和项目公司提供服务等具体情况合理设定调查问卷，针对项目公司2023年度运营情况设置相应的访谈提纲。</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3.实地调研</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(1)项目座谈会:评价组与项目公司相关负责人开展项目座谈会，进一步了解项目运营和维护情况，对前期资料分析中存在的问题进行现场征询，并说明现场工作方式和实地调研安排。</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(2)补充收集项目资料:评价组对照项目资料清单，补充收集项目资料，对资料进行现场梳理。</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(3)项目实地访谈:通过访谈了解项目运营维护、安全管理、监督考核等情况，发现项目2023年度存在的实际问题。</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现场调研:评价组会同项目公司有关负责人前往.燃气舱及纬七路西段综合舱对本项目管廊主体及附属设施进行现场调研。通过询问、勘察等方式对管廊主体结构，项目的排水系统、通风系统、照明系统、消防系统、标识牌等其他附属设施进行调查，对了解到的项目信息进行进一步查证核实。</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4.数据分析</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评价组根据评价需要，对收集到的项目各环节资料及数据进行整理分析，具体工作内容如下:一是评价组就项目评价实施阶段收集的项目运营资料、财务资料、调查问卷及访谈结果等资料进行分类整理，并对所收集调查问卷的各项问题进行统计汇总，形成入廊企业满意度调查问卷分析。二是在前期整理资料的基础上，项目评价组采用科学合理的方法，对评价过程中需要的资料进行数据提取和筛选，并对选取的有效数据进行分析。三是将项目指标体系与所提取数据相结合，按照评分标准对各指标予以绩效打分。</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5.撰写报告</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拟定报告提纲:按照《政府和社会资本合作(PPP)项目绩效管理操作指引》(财金〔2020〕13号)以及《甘肃省政府和社会资本合作(PPP)项目全生命周期绩效管理实施细则(试行)》(甘财建〔2022〕134号)相关要求，拟定评价报告各部分内容，初步确定报告提纲:项目基本情况、绩效评价工作情况、绩效分析及评价结论、存在问题、相关建议、其他需要说明的问题。</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撰写报告初稿:评价组根据数据收集、现场勘查、问卷调查、访谈等工作开展情况，找出存在的问题，并提出改进的意见或建议，按照财政项目绩效评价要求和规定的文本格式撰写评价报告，在要求的时间范围内提交内容完整、结论明确的报告初稿。</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(3)提交报告样稿:项目绩效评价报告进行内部审核后提交至兰州新区城乡建设和交通管理局，根据沟通反馈后的相关意见，修订绩效评价报告，最终定稿。</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(4)档案归集:评价组按照资料清单内容，将项目开展过程中所收集的全部有效资料，包括PPP合同、补充协议、访谈记录、调查问卷等相关工作资料及项目最终绩效评价报告，进行电子归档并提交。</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四、评价结论和绩效分析</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017"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综合评价结论</w:t>
            </w:r>
          </w:p>
        </w:tc>
        <w:tc>
          <w:tcPr>
            <w:tcW w:w="1281"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评价得分</w:t>
            </w:r>
          </w:p>
        </w:tc>
        <w:tc>
          <w:tcPr>
            <w:tcW w:w="3844" w:type="dxa"/>
            <w:gridSpan w:val="5"/>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95.21分</w:t>
            </w:r>
          </w:p>
        </w:tc>
        <w:tc>
          <w:tcPr>
            <w:tcW w:w="1368"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评价等级</w:t>
            </w:r>
          </w:p>
        </w:tc>
        <w:tc>
          <w:tcPr>
            <w:tcW w:w="1304"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优</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57" w:hRule="atLeast"/>
          <w:jc w:val="center"/>
        </w:trPr>
        <w:tc>
          <w:tcPr>
            <w:tcW w:w="1017" w:type="dxa"/>
            <w:gridSpan w:val="2"/>
            <w:vMerge w:val="restar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绩效</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分析</w:t>
            </w:r>
          </w:p>
        </w:tc>
        <w:tc>
          <w:tcPr>
            <w:tcW w:w="1281"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指标</w:t>
            </w:r>
          </w:p>
        </w:tc>
        <w:tc>
          <w:tcPr>
            <w:tcW w:w="1281"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产出</w:t>
            </w:r>
          </w:p>
        </w:tc>
        <w:tc>
          <w:tcPr>
            <w:tcW w:w="1281"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效果</w:t>
            </w:r>
          </w:p>
        </w:tc>
        <w:tc>
          <w:tcPr>
            <w:tcW w:w="1282"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管理</w:t>
            </w:r>
          </w:p>
        </w:tc>
        <w:tc>
          <w:tcPr>
            <w:tcW w:w="267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合计</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57" w:hRule="atLeast"/>
          <w:jc w:val="center"/>
        </w:trPr>
        <w:tc>
          <w:tcPr>
            <w:tcW w:w="1017" w:type="dxa"/>
            <w:gridSpan w:val="2"/>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p>
        </w:tc>
        <w:tc>
          <w:tcPr>
            <w:tcW w:w="1281"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得分</w:t>
            </w:r>
          </w:p>
        </w:tc>
        <w:tc>
          <w:tcPr>
            <w:tcW w:w="1281"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74</w:t>
            </w:r>
          </w:p>
        </w:tc>
        <w:tc>
          <w:tcPr>
            <w:tcW w:w="1281"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6.5</w:t>
            </w:r>
          </w:p>
        </w:tc>
        <w:tc>
          <w:tcPr>
            <w:tcW w:w="1282"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w:t>
            </w:r>
          </w:p>
        </w:tc>
        <w:tc>
          <w:tcPr>
            <w:tcW w:w="267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89.5分</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57" w:hRule="atLeast"/>
          <w:jc w:val="center"/>
        </w:trPr>
        <w:tc>
          <w:tcPr>
            <w:tcW w:w="1017" w:type="dxa"/>
            <w:gridSpan w:val="2"/>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宋体" w:hAnsi="宋体" w:eastAsia="宋体" w:cs="宋体"/>
                <w:b/>
                <w:bCs/>
                <w:sz w:val="24"/>
                <w:szCs w:val="24"/>
                <w:lang w:val="en-US" w:eastAsia="zh-CN"/>
              </w:rPr>
            </w:pPr>
          </w:p>
        </w:tc>
        <w:tc>
          <w:tcPr>
            <w:tcW w:w="1281"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得分率</w:t>
            </w:r>
          </w:p>
        </w:tc>
        <w:tc>
          <w:tcPr>
            <w:tcW w:w="1281"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92.5%</w:t>
            </w:r>
          </w:p>
        </w:tc>
        <w:tc>
          <w:tcPr>
            <w:tcW w:w="1281" w:type="dxa"/>
            <w:gridSpan w:val="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65%</w:t>
            </w:r>
          </w:p>
        </w:tc>
        <w:tc>
          <w:tcPr>
            <w:tcW w:w="1282"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90%</w:t>
            </w:r>
          </w:p>
        </w:tc>
        <w:tc>
          <w:tcPr>
            <w:tcW w:w="2672" w:type="dxa"/>
            <w:gridSpan w:val="3"/>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89.5%</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缺项处理后折算成百分制得分95.21</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五、存在问题</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174" w:hRule="atLeast"/>
          <w:jc w:val="center"/>
        </w:trPr>
        <w:tc>
          <w:tcPr>
            <w:tcW w:w="8814" w:type="dxa"/>
            <w:gridSpan w:val="1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(一)管廊内个别设备标识缺失</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据项目公司《管廊巡检运维作业指导书》中有关标识系统的规定，管廊标识系统包括简介牌、管线标识铭牌、设备铭牌、警告标识、设施标识、里程桩号牌标识、标牌，主要功能为标明管廊内的公用管线、设施名称、定位及警告标识。</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根据评价组实地调研过程中随机抽查，发现纬七路西段综合舱内，有消防设备(灭火器箱)相关标识缺失2处。</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(二)公司制度执行有效性待加强</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项目公司分部门、分职责、分项制定了具有针对性、可操作性强的管理制度。但在实地调研中发现，在2023年运营期间，监控中心值班室存在多次同一值班人员连值白班、夜班的情况。一是不符合《管廊运行值班管理制度》交接班管理5.5“非应急突发状况值班人员不得连值两个班”的相关规定;二是不符合《组织机构设置及人员配置管理制度》附件2岗位定员管理“监控中心值班四班两倒制”的相关规定。因此，以上两项制度在实际工作中未得到有效执行。</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8814" w:type="dxa"/>
            <w:gridSpan w:val="1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六、相关建议</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85" w:hRule="atLeast"/>
          <w:jc w:val="center"/>
        </w:trPr>
        <w:tc>
          <w:tcPr>
            <w:tcW w:w="8814" w:type="dxa"/>
            <w:gridSpan w:val="1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(一)加强日常巡检，完善管廊内标识系统</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巡检人员虽每日对管廊内进行巡查，但仍有个别消防设备铭牌缺失，未及时发现和补充。建议项目公司加强日常巡检工作，避免再次出现包括简介牌、管线标识铭牌、设备铭牌、警告标识、设施标识、里程桩号牌标识、标牌等标识不清晰或者缺失的情况。</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(二)加强日常工作管理，保障制度有效执行</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在保障制度科学的前提下，加强对制度执行的监督落实，及时跟踪制度的执行情况。同时，在公司后续运营过程中要加强日常工作管理，对制度执行过程中存在的问题认真分析并及时解决</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0" w:hRule="atLeast"/>
          <w:jc w:val="center"/>
        </w:trPr>
        <w:tc>
          <w:tcPr>
            <w:tcW w:w="8814" w:type="dxa"/>
            <w:gridSpan w:val="1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七、其他需要说明的事项</w:t>
            </w:r>
          </w:p>
        </w:tc>
      </w:tr>
      <w:tr>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60" w:hRule="atLeast"/>
          <w:jc w:val="center"/>
        </w:trPr>
        <w:tc>
          <w:tcPr>
            <w:tcW w:w="8814" w:type="dxa"/>
            <w:gridSpan w:val="12"/>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PPP项目绩效评价的可靠性基于实施机构及项目公司提供资料真实性、完整性，评价工作组尽可能地核实相关数据的准确性和真实性，但由于客观因素的限制，其资料真实性和完整性最终由项目公司及实施机构负责。</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2.本项目运营期2023年度绩效评价报告结论仅限于评价时段期间的评价结果。</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3.本次绩效评价工作结束后，第三方机构将严格遵守项目资料的保密性原则，不留存项目公司相关政策、财务、运营等方面的资料，若在报告中出现描述有争议的情况时，将及时进行沟通完善。</w:t>
            </w:r>
          </w:p>
        </w:tc>
      </w:tr>
    </w:tbl>
    <w:p>
      <w:pPr>
        <w:bidi w:val="0"/>
      </w:pPr>
    </w:p>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7A"/>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t>—</w:t>
                          </w:r>
                          <w:r>
                            <w:fldChar w:fldCharType="begin"/>
                          </w:r>
                          <w:r>
                            <w:instrText xml:space="preserve"> PAGE  \* MERGEFORMAT </w:instrText>
                          </w:r>
                          <w:r>
                            <w:fldChar w:fldCharType="separate"/>
                          </w:r>
                          <w:r>
                            <w:t>1</w:t>
                          </w:r>
                          <w:r>
                            <w:fldChar w:fldCharType="end"/>
                          </w:r>
                          <w:r>
                            <w:t>—</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6"/>
                    </w:pPr>
                    <w:r>
                      <w:t>—</w:t>
                    </w:r>
                    <w:r>
                      <w:fldChar w:fldCharType="begin"/>
                    </w:r>
                    <w:r>
                      <w:instrText xml:space="preserve"> PAGE  \* MERGEFORMAT </w:instrText>
                    </w:r>
                    <w:r>
                      <w:fldChar w:fldCharType="separate"/>
                    </w:r>
                    <w:r>
                      <w:t>1</w:t>
                    </w:r>
                    <w:r>
                      <w:fldChar w:fldCharType="end"/>
                    </w:r>
                    <w: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iMzY3MzMwN2FkYWFhMjZlMTU2ZTQ1Y2FjYmY4M2IifQ=="/>
  </w:docVars>
  <w:rsids>
    <w:rsidRoot w:val="50362AE6"/>
    <w:rsid w:val="00610597"/>
    <w:rsid w:val="00D76A86"/>
    <w:rsid w:val="011D2710"/>
    <w:rsid w:val="01B5197C"/>
    <w:rsid w:val="01D874CD"/>
    <w:rsid w:val="036E0F6F"/>
    <w:rsid w:val="03973FA9"/>
    <w:rsid w:val="06EB3426"/>
    <w:rsid w:val="0737795B"/>
    <w:rsid w:val="07C81D7B"/>
    <w:rsid w:val="083640B7"/>
    <w:rsid w:val="0A2A723E"/>
    <w:rsid w:val="0A3F5E74"/>
    <w:rsid w:val="0BCB720C"/>
    <w:rsid w:val="0CAD246E"/>
    <w:rsid w:val="0CD81BE1"/>
    <w:rsid w:val="0E511C4A"/>
    <w:rsid w:val="10AB4F16"/>
    <w:rsid w:val="11286567"/>
    <w:rsid w:val="112F6356"/>
    <w:rsid w:val="11F254F3"/>
    <w:rsid w:val="11FD2573"/>
    <w:rsid w:val="12BC340B"/>
    <w:rsid w:val="13750B42"/>
    <w:rsid w:val="14445DAD"/>
    <w:rsid w:val="15976CBD"/>
    <w:rsid w:val="196640D0"/>
    <w:rsid w:val="19BB08C0"/>
    <w:rsid w:val="1BC01759"/>
    <w:rsid w:val="1BD82927"/>
    <w:rsid w:val="1C7D48CD"/>
    <w:rsid w:val="1D01233B"/>
    <w:rsid w:val="1E4A5D6E"/>
    <w:rsid w:val="20176124"/>
    <w:rsid w:val="219F1B28"/>
    <w:rsid w:val="23F12702"/>
    <w:rsid w:val="24D55C78"/>
    <w:rsid w:val="24E76A0D"/>
    <w:rsid w:val="25512F23"/>
    <w:rsid w:val="266B6E4E"/>
    <w:rsid w:val="26BE4453"/>
    <w:rsid w:val="272D2898"/>
    <w:rsid w:val="27F03E2A"/>
    <w:rsid w:val="28EA6A6E"/>
    <w:rsid w:val="28EF2E48"/>
    <w:rsid w:val="2A805ED8"/>
    <w:rsid w:val="2CB76567"/>
    <w:rsid w:val="2F215261"/>
    <w:rsid w:val="3246394F"/>
    <w:rsid w:val="32A76310"/>
    <w:rsid w:val="332736B7"/>
    <w:rsid w:val="354B6B44"/>
    <w:rsid w:val="36034D29"/>
    <w:rsid w:val="384D2BD3"/>
    <w:rsid w:val="399649CA"/>
    <w:rsid w:val="39D03040"/>
    <w:rsid w:val="3F4A7E6C"/>
    <w:rsid w:val="41055F0D"/>
    <w:rsid w:val="41456B3D"/>
    <w:rsid w:val="417C1E8F"/>
    <w:rsid w:val="42E63A08"/>
    <w:rsid w:val="45051BDF"/>
    <w:rsid w:val="45964673"/>
    <w:rsid w:val="47392CA0"/>
    <w:rsid w:val="48054931"/>
    <w:rsid w:val="485D55BF"/>
    <w:rsid w:val="4BA61945"/>
    <w:rsid w:val="4C5365B2"/>
    <w:rsid w:val="4D537EEC"/>
    <w:rsid w:val="50362AE6"/>
    <w:rsid w:val="50447C2B"/>
    <w:rsid w:val="51730B5D"/>
    <w:rsid w:val="51DC51D1"/>
    <w:rsid w:val="52555572"/>
    <w:rsid w:val="533D715B"/>
    <w:rsid w:val="54C310C9"/>
    <w:rsid w:val="54E92EBD"/>
    <w:rsid w:val="55F56D34"/>
    <w:rsid w:val="573F7050"/>
    <w:rsid w:val="57812193"/>
    <w:rsid w:val="57877110"/>
    <w:rsid w:val="57AB6F00"/>
    <w:rsid w:val="5915699E"/>
    <w:rsid w:val="5A6C4CE3"/>
    <w:rsid w:val="5BD963A8"/>
    <w:rsid w:val="5C3E7FB9"/>
    <w:rsid w:val="5C641B24"/>
    <w:rsid w:val="5CD54DC2"/>
    <w:rsid w:val="5E8C5954"/>
    <w:rsid w:val="5F851FA3"/>
    <w:rsid w:val="5FEE39B7"/>
    <w:rsid w:val="60457B68"/>
    <w:rsid w:val="619736C1"/>
    <w:rsid w:val="62564F40"/>
    <w:rsid w:val="643028DD"/>
    <w:rsid w:val="646555CD"/>
    <w:rsid w:val="65CD64C7"/>
    <w:rsid w:val="66882EA5"/>
    <w:rsid w:val="66CA7430"/>
    <w:rsid w:val="680C3C00"/>
    <w:rsid w:val="696077C1"/>
    <w:rsid w:val="6FF269CE"/>
    <w:rsid w:val="70721B59"/>
    <w:rsid w:val="70DF36C1"/>
    <w:rsid w:val="71F31B1A"/>
    <w:rsid w:val="7258372B"/>
    <w:rsid w:val="726448F9"/>
    <w:rsid w:val="72850298"/>
    <w:rsid w:val="74030452"/>
    <w:rsid w:val="74D8759C"/>
    <w:rsid w:val="76BE27BD"/>
    <w:rsid w:val="76EF360E"/>
    <w:rsid w:val="775D21EC"/>
    <w:rsid w:val="7769462C"/>
    <w:rsid w:val="77B04009"/>
    <w:rsid w:val="77B82F42"/>
    <w:rsid w:val="781E54A5"/>
    <w:rsid w:val="7AE07C8F"/>
    <w:rsid w:val="7BCC0CE6"/>
    <w:rsid w:val="7C0B180E"/>
    <w:rsid w:val="7D1828E9"/>
    <w:rsid w:val="7D8108DE"/>
    <w:rsid w:val="7DD37DFE"/>
    <w:rsid w:val="7FA06711"/>
    <w:rsid w:val="DEFE32DF"/>
    <w:rsid w:val="F6FD7F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640" w:firstLineChars="200"/>
      <w:jc w:val="both"/>
    </w:pPr>
    <w:rPr>
      <w:rFonts w:ascii="仿宋_GB2312" w:hAnsi="仿宋_GB2312" w:eastAsia="仿宋_GB2312" w:cs="仿宋_GB2312"/>
      <w:kern w:val="2"/>
      <w:sz w:val="32"/>
      <w:szCs w:val="32"/>
      <w:lang w:val="en-US" w:eastAsia="zh-CN" w:bidi="ar-SA"/>
    </w:rPr>
  </w:style>
  <w:style w:type="paragraph" w:styleId="3">
    <w:name w:val="heading 1"/>
    <w:basedOn w:val="1"/>
    <w:next w:val="1"/>
    <w:link w:val="12"/>
    <w:qFormat/>
    <w:uiPriority w:val="0"/>
    <w:pPr>
      <w:keepNext/>
      <w:keepLines/>
      <w:spacing w:line="360" w:lineRule="auto"/>
      <w:ind w:firstLine="480" w:firstLineChars="200"/>
      <w:jc w:val="both"/>
      <w:outlineLvl w:val="0"/>
    </w:pPr>
    <w:rPr>
      <w:rFonts w:ascii="黑体" w:hAnsi="黑体" w:eastAsia="黑体" w:cs="黑体"/>
      <w:kern w:val="44"/>
      <w:szCs w:val="32"/>
    </w:rPr>
  </w:style>
  <w:style w:type="paragraph" w:styleId="4">
    <w:name w:val="heading 2"/>
    <w:basedOn w:val="1"/>
    <w:next w:val="1"/>
    <w:semiHidden/>
    <w:unhideWhenUsed/>
    <w:qFormat/>
    <w:uiPriority w:val="0"/>
    <w:pPr>
      <w:topLinePunct/>
      <w:spacing w:before="0" w:beforeAutospacing="0" w:after="0" w:afterAutospacing="0"/>
      <w:jc w:val="left"/>
      <w:outlineLvl w:val="1"/>
    </w:pPr>
    <w:rPr>
      <w:rFonts w:hint="eastAsia" w:ascii="楷体" w:hAnsi="楷体" w:eastAsia="楷体" w:cs="楷体"/>
      <w:b/>
      <w:bCs/>
      <w:kern w:val="0"/>
      <w:lang w:bidi="ar"/>
    </w:rPr>
  </w:style>
  <w:style w:type="paragraph" w:styleId="5">
    <w:name w:val="heading 3"/>
    <w:basedOn w:val="1"/>
    <w:next w:val="1"/>
    <w:semiHidden/>
    <w:unhideWhenUsed/>
    <w:qFormat/>
    <w:uiPriority w:val="0"/>
    <w:pPr>
      <w:keepNext/>
      <w:keepLines/>
      <w:spacing w:beforeLines="0" w:beforeAutospacing="0" w:afterLines="0" w:afterAutospacing="0" w:line="360" w:lineRule="auto"/>
      <w:outlineLvl w:val="2"/>
    </w:pPr>
    <w:rPr>
      <w:b/>
    </w:rPr>
  </w:style>
  <w:style w:type="paragraph" w:styleId="2">
    <w:name w:val="heading 6"/>
    <w:basedOn w:val="1"/>
    <w:next w:val="1"/>
    <w:semiHidden/>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index 1"/>
    <w:basedOn w:val="1"/>
    <w:next w:val="1"/>
    <w:qFormat/>
    <w:uiPriority w:val="0"/>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标题 1 Char"/>
    <w:link w:val="3"/>
    <w:qFormat/>
    <w:uiPriority w:val="0"/>
    <w:rPr>
      <w:rFonts w:ascii="黑体" w:hAnsi="黑体" w:eastAsia="黑体" w:cs="黑体"/>
      <w:kern w:val="44"/>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4043</Words>
  <Characters>4243</Characters>
  <Lines>0</Lines>
  <Paragraphs>0</Paragraphs>
  <TotalTime>3</TotalTime>
  <ScaleCrop>false</ScaleCrop>
  <LinksUpToDate>false</LinksUpToDate>
  <CharactersWithSpaces>4245</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2023-10-27T22:19:00Z</dcterms:created>
  <dc:creator>阁下。</dc:creator>
  <cp:lastModifiedBy>lzxq</cp:lastModifiedBy>
  <dcterms:modified xsi:type="dcterms:W3CDTF">2024-09-19T10:04:50Z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A0A14EB56EAA44CBABEA9A1BD91E03FD_13</vt:lpwstr>
  </property>
</Properties>
</file>