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新建铁路朱家窑至中川线PPP项目运营期第四年(2023年度)绩效评价报告绩效评价报告</w:t>
      </w:r>
    </w:p>
    <w:p>
      <w:pPr>
        <w:bidi w:val="0"/>
        <w:rPr>
          <w:rFonts w:hint="eastAsia"/>
          <w:lang w:val="en-US" w:eastAsia="zh-CN"/>
        </w:rPr>
      </w:pPr>
    </w:p>
    <w:tbl>
      <w:tblPr>
        <w:tblStyle w:val="10"/>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2"/>
        <w:gridCol w:w="867"/>
        <w:gridCol w:w="714"/>
        <w:gridCol w:w="153"/>
        <w:gridCol w:w="867"/>
        <w:gridCol w:w="867"/>
        <w:gridCol w:w="873"/>
        <w:gridCol w:w="867"/>
        <w:gridCol w:w="77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5"/>
            <w:tcBorders>
              <w:tl2br w:val="nil"/>
              <w:tr2bl w:val="nil"/>
            </w:tcBorders>
            <w:shd w:val="clear" w:color="auto" w:fill="FFFFFF"/>
            <w:vAlign w:val="center"/>
          </w:tcPr>
          <w:p>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新建铁路朱家窑至中川线PPP项目运营期第四年(2023年度)绩效评价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15"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8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委托评价单位</w:t>
            </w:r>
          </w:p>
        </w:tc>
        <w:tc>
          <w:tcPr>
            <w:tcW w:w="1815"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兰州新区城乡建设和交通管理局</w:t>
            </w:r>
          </w:p>
        </w:tc>
        <w:tc>
          <w:tcPr>
            <w:tcW w:w="188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评价机构名称</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甘肃金益通绩效评价咨询服务有限公司</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新建铁路朱家窑至中川线PPP项目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本次绩效评价通过运用规范的绩效评价指标体系和科学的绩效评价方法,全面、客观地评价新建铁路朱家窑至中川线PPP项目运营期第四年(2023年度)的运营情况,协议内容执行情况以及监管考核情况。通过此次绩效评价总结甘肃朱中铁路有限责任公司在运营过程中好的经验和做法、发现项目运营过程中存在的问题,针对存在的问题提出合理的改进意见和建议,从而促进以后年度项目运营管理工作的不断提升,同时为本年度运营补贴资金的支付提供参考依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15"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19070</w:t>
            </w:r>
          </w:p>
        </w:tc>
        <w:tc>
          <w:tcPr>
            <w:tcW w:w="188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13770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15"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19070</w:t>
            </w:r>
          </w:p>
        </w:tc>
        <w:tc>
          <w:tcPr>
            <w:tcW w:w="188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13770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15"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8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15"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13770</w:t>
            </w:r>
          </w:p>
        </w:tc>
        <w:tc>
          <w:tcPr>
            <w:tcW w:w="188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5300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bookmarkStart w:id="0" w:name="_GoBack"/>
            <w:bookmarkEnd w:id="0"/>
            <w:r>
              <w:rPr>
                <w:rFonts w:hint="eastAsia" w:ascii="宋体" w:hAnsi="宋体" w:eastAsia="宋体" w:cs="宋体"/>
                <w:b w:val="0"/>
                <w:color w:val="000000"/>
                <w:sz w:val="24"/>
                <w:szCs w:val="24"/>
                <w:vertAlign w:val="baseline"/>
                <w:lang w:val="en-US" w:eastAsia="zh-CN"/>
              </w:rPr>
              <w:t>72.21%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根据《新建铁路朱家窑至中川线PPP项目实施方案》《新建铁路朱家窑至中川线PPP合同》,评价组将本项目绩效目标梳理如下:</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1.总体绩效目标</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实施新建铁路朱家窑至中川线项目,形成兰州新区对外货运的主通道,实现新区货物东西进出的灵活运输。一是有效解决新区聚集产业货物运输需求,促进新区经济快速发展。二是落实国家级新区以及甘肃省发展战略的要求,促进兰州白银都市经济圈的建设,完善区域路网结构,强化兰州新区作为区域重要交通枢纽地位。</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2.年度绩效目标</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color w:val="000000"/>
                <w:sz w:val="24"/>
                <w:szCs w:val="24"/>
                <w:vertAlign w:val="baseline"/>
                <w:lang w:val="en-US" w:eastAsia="zh-CN"/>
              </w:rPr>
              <w:t>项目公司按照项目合作协议在运营期履行相关职责,一是加强项目管理。建立健全组织管理、制度管理、财务管理、档案管理制度,并有效执行,及时完整公开项目实施有关信息数据;二是规范项目运营,按照合同约定的运营量完成项目运营。规范行车组织安排,严格执行消防安全措施,配置充足消防安保设备,预留消防通道、设置安全标识;及时结算运输费用、支出委托运维费用;制订委托运营考核方案,按时实施考核;三是完成项目实施地维护,根据行业相关规定,对项目设施进行维修、维护、更新、改造。制定年度维护计划,做好维护巡查与记录归档;按时对线路进行静态与动态检查;定期检查铁路设备并记录归档。进而达到系统发生故障较少,及时准确处理,故障处理率达100%、日常修复及时率100%的目标;四是有效控制运营成本。通过制定合理的成本控制、成本风险预警制度以及应对措施,成本控制在100%以下。五是建立健全沟通协调机制,对监督检查及日常管理与相关部门积极沟通,对整改事项及日常配合进行积极响应。</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主要包括项目运营期间产出、效果与管理等方面。</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1.《关于推广运用政府和社会资本合作模式有关问题的通知》(财金〔2014〕76号);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2.《国务院办公厅转发财政部发展改革委人民银行关于在公共服务领域推广政府和社会资本合作模式指导意见的通知》(国办发〔2015〕42号);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3.《关于印发政府和社会资本合作项目财政管理暂行办法的通知》(财金〔2016〕92号);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4.《关于规范政府和社会资本合作(PPP)综合信息平台项目库管理的通知》(财办金〔2017〕92号)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5.《财政部关于推进政府和社会资本合作规范发展的实施意见》(财金〔2019〕10号);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6.《政府和社会资本合作(PPP)项目绩效管理操作指引》的通知(财金〔2020〕13号);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7.《甘肃省人民政府办公厅关于印发甘肃省政府和社会资本合作(PPP)项目工作导则的通知》(甘政办发〔2017〕37号);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8.《甘肃省政府和社会资本合作(PPP)项目全生命周期绩效管理实施细则(试行)》;</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9.《铁路线路修理规则》(铁运〔2006〕146号);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10.《铁路安全管理条例》(中华人民共和国国务院令第639号);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11.《铁路信号集中监测系统维护管理办法》(铁总运〔2014〕227号);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12.《铁路运输安全保护条例》(国务院令第430号);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13.《新建铁路朱家窑至中川线PPP项目合同》;</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14.《新建铁路朱家窑至中川线PPP项目绩效评价补充协议》;</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15.《朱中铁路运营维护管理及考核办法》;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16.其他项目相关资料。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此次绩效评价指标体系根据《甘肃省政府和社会资本合作(PPP)项目全生命周期绩效管理实施细则(试行)》制定,围绕项目产出、效果及管理三个方面,根据项目运营期实际选取最具代表性、最能直接反映产出和效益的核心指标,做到指标内涵明确、具体、可衡量,数据及佐证资料可采集、可获得。</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1.案卷研究。</w:t>
            </w:r>
            <w:r>
              <w:rPr>
                <w:rFonts w:hint="eastAsia" w:ascii="宋体" w:hAnsi="宋体" w:eastAsia="宋体" w:cs="宋体"/>
                <w:b w:val="0"/>
                <w:bCs w:val="0"/>
                <w:sz w:val="24"/>
                <w:szCs w:val="24"/>
                <w:lang w:val="en-US" w:eastAsia="zh-CN"/>
              </w:rPr>
              <w:t>案卷研究应结合多种数据来源。例如在评价管理目标中的“制度管理”指标时,可以从以下方面核查制度管理的情况。首先是查看项目公司提供的制度手册内容是否完备;其次需要查看项目公司发文记录中时间、签字记录、公章等,避免项目公司为了应付绩效考核临时伪造文件,最后应查看公司工作日志、台账等记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2.实地调研。</w:t>
            </w:r>
            <w:r>
              <w:rPr>
                <w:rFonts w:hint="eastAsia" w:ascii="宋体" w:hAnsi="宋体" w:eastAsia="宋体" w:cs="宋体"/>
                <w:b w:val="0"/>
                <w:bCs w:val="0"/>
                <w:sz w:val="24"/>
                <w:szCs w:val="24"/>
                <w:lang w:val="en-US" w:eastAsia="zh-CN"/>
              </w:rPr>
              <w:t>对铁路运维和项目公司开展实地调研工作,并做好证据留存。例如在评价“项目维护”指标时,除查看项目运维记录,同时对车站和铁路设施现状进行现场勘查和影像资料留存。</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3.问卷调查。</w:t>
            </w:r>
            <w:r>
              <w:rPr>
                <w:rFonts w:hint="eastAsia" w:ascii="宋体" w:hAnsi="宋体" w:eastAsia="宋体" w:cs="宋体"/>
                <w:b w:val="0"/>
                <w:bCs w:val="0"/>
                <w:sz w:val="24"/>
                <w:szCs w:val="24"/>
                <w:lang w:val="en-US" w:eastAsia="zh-CN"/>
              </w:rPr>
              <w:t>为提高问卷调查的效率性、客观性及公平性。评价组采用电子问卷的方式,依托“问卷星”平台对项目主管部门(兰州新区城乡建设和交通管理局)及服务企业(兰鑫钢铁集团有限公司、兰州新区路港物流有限责任公司)进行满意度问卷调查。</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2"/>
            <w:tcBorders>
              <w:tl2br w:val="nil"/>
              <w:tr2bl w:val="nil"/>
            </w:tcBorders>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1.前期准备</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线上资料收集。一是根据PPP项目特点,结合项目实际情况及此次绩效评价工作的需要,梳理并列出本次绩效评价所需项目准备、项目采购、项目执行、运营期等佐证资料清单,并将资料清单发送至项目公司开展线上资料收集工作。二是评价组与项目公司相关负责人员进行电话访谈,进一步了解项目运营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(2)召开项目内部分析会。评价组在获取项目基本资料后,召开内部项目分析会,就项目情况进行分析了解,明确绩效评价对象及内容,确定项目评价关注点。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制定绩效评价指标体系。此次绩效评价指标体系根据《甘肃省政府和社会资本合作(PPP)项目全生命周期绩效管理实施细则(试行)》制定,围绕项目产出、效果及管理三个方面,根据项目运营期实际选取最具代表性、最能直接反映产出和效益的核心指标,做到指标内涵明确、具体、可衡量,数据及佐证资料可采集、可获得。</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设计调查问卷及访谈提纲。根据项目特点,选取项目主管部门和服务企业为调查对象。同时依据项目主管部门监督管理职责和项目公司提供货运服务等具体情况合理设定调查问卷,针对项目公司第三年度运营情况设置相应的访谈提纲。</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2.实地调研</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(1)项目座谈会:评价组与项目公司相关负责人开展项目座谈会,进一步了解项目运营和维护情况,对前期资料分析中存在的问题进行现场征询,并说明现场工作方式和实地调研安排。</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(2)补充收集项目资料:评价组对照项目资料清单,补充收集项目资料,对资料进行现场梳理。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(3)项目实地访谈:通过访谈了解项目运营维护、信息公开、监督考核等情况,发现项目运营期第四年(2023年度)存在的实际问题,总结项目运营过程中好的经验做法。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现场调研:评价组会同项目公司有关负责人前往红柳川车站,对项目铁路及站台进行现场调研,通过询问、勘察等方式对本项目路段的站牌、监控、消防等其他附属设施以及现场资料进行调查,对了解到的项目信息进行进一步查证核实。</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3.数据分析</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组根据评价需要,对收集到的项目各环节资料及数据进行整理分析,具体工作内容如下:一是项目评价组就项目评价实施阶段收集的项目运营资料、财务资料、调查问卷及访谈结果等资料进行分类整理,并对所收集调查问卷的各项问题进行统计汇总,最终形成主管部门和服务企业满意度汇总表。二是在前期整理资料的基础上,项目评价组采用科学合理的方法,对评价过程中需要的资料进行数据提取和筛选,并对选取的有效数据进行分析。三是将项目指标体系与所提取数据相结合,按照评分标准对各指标予以绩效打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4.撰写报告</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拟定报告提纲:按照(财金〔2020〕13号)的相关要求,拟定评价报告各部分内容,初步确定报告提纲:项目基本情况、绩效评价工作情况、绩效分析及评价结论、主要经验及做法、存在问题及原因分析、相关工作建议、其他需要说明的问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撰写报告初稿:评价组根据数据收集、现场勘查、问卷调查、访谈等工作开展情况,提炼项目亮点,找出存在的问题对其原因进行分析,并提出改进的意见或建议,按照财政项目绩效评价要求和规定的文本格式撰写评价报告,在要求的时间范围内提交内容完整、结论明确的报告初稿。</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(3)提交报告样稿:项目绩效评价报告进行内部审核后提交至兰州新区城乡建设和交通管理局,根据沟通反馈后的相关意见,修订绩效评价报告,最终定稿。</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(4)档案归集:评价组按照资料清单内容,将项目开展过程中所收集的全部有效资料,包括PPP合同、绩效评价补充协议、座谈会记录、调查问卷等相关工作资料及项目最终绩效评价报告,进行电子归档并提交。</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2603" w:type="dxa"/>
            <w:gridSpan w:val="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89.71分</w:t>
            </w:r>
          </w:p>
        </w:tc>
        <w:tc>
          <w:tcPr>
            <w:tcW w:w="260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77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017" w:type="dxa"/>
            <w:gridSpan w:val="2"/>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项目</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运营</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项目</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18"/>
                <w:szCs w:val="18"/>
                <w:lang w:val="en-US" w:eastAsia="zh-CN"/>
              </w:rPr>
              <w:t>维护</w:t>
            </w:r>
          </w:p>
        </w:tc>
        <w:tc>
          <w:tcPr>
            <w:tcW w:w="86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成本</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效益</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安全</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保障</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经济</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效益</w:t>
            </w:r>
          </w:p>
        </w:tc>
        <w:tc>
          <w:tcPr>
            <w:tcW w:w="87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社会</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效益</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生态</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效益</w:t>
            </w:r>
          </w:p>
        </w:tc>
        <w:tc>
          <w:tcPr>
            <w:tcW w:w="77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18"/>
                <w:szCs w:val="18"/>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8"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bCs/>
                <w:sz w:val="18"/>
                <w:szCs w:val="18"/>
                <w:lang w:val="en-US" w:eastAsia="zh-CN"/>
              </w:rPr>
            </w:pPr>
            <w:r>
              <w:rPr>
                <w:rFonts w:hint="eastAsia" w:asciiTheme="minorEastAsia" w:hAnsiTheme="minorEastAsia" w:eastAsiaTheme="minorEastAsia" w:cstheme="minorEastAsia"/>
                <w:b w:val="0"/>
                <w:bCs w:val="0"/>
                <w:sz w:val="18"/>
                <w:szCs w:val="18"/>
                <w:lang w:val="en-US" w:eastAsia="zh-CN"/>
              </w:rPr>
              <w:t>25.71</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28</w:t>
            </w:r>
          </w:p>
        </w:tc>
        <w:tc>
          <w:tcPr>
            <w:tcW w:w="86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5</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13</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w:t>
            </w:r>
          </w:p>
        </w:tc>
        <w:tc>
          <w:tcPr>
            <w:tcW w:w="87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w:t>
            </w:r>
          </w:p>
        </w:tc>
        <w:tc>
          <w:tcPr>
            <w:tcW w:w="777"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89.71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8"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88.66%</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87.5%</w:t>
            </w:r>
          </w:p>
        </w:tc>
        <w:tc>
          <w:tcPr>
            <w:tcW w:w="86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92.86%</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87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50%</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777"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8"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可持续影响</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满意度</w:t>
            </w:r>
          </w:p>
        </w:tc>
        <w:tc>
          <w:tcPr>
            <w:tcW w:w="86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组织</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管理</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财务</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管理</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制度</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管理</w:t>
            </w:r>
          </w:p>
        </w:tc>
        <w:tc>
          <w:tcPr>
            <w:tcW w:w="87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档案</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管理</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信息</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公开</w:t>
            </w:r>
          </w:p>
        </w:tc>
        <w:tc>
          <w:tcPr>
            <w:tcW w:w="777"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bCs/>
                <w:sz w:val="18"/>
                <w:szCs w:val="18"/>
                <w:lang w:val="en-US" w:eastAsia="zh-CN"/>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8"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5</w:t>
            </w:r>
          </w:p>
        </w:tc>
        <w:tc>
          <w:tcPr>
            <w:tcW w:w="86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2.5</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2.5</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w:t>
            </w:r>
          </w:p>
        </w:tc>
        <w:tc>
          <w:tcPr>
            <w:tcW w:w="87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w:t>
            </w:r>
          </w:p>
        </w:tc>
        <w:tc>
          <w:tcPr>
            <w:tcW w:w="777"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8"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86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83.33%</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83.33%</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87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86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100%</w:t>
            </w:r>
          </w:p>
        </w:tc>
        <w:tc>
          <w:tcPr>
            <w:tcW w:w="777"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heme="minorEastAsia" w:hAnsiTheme="minorEastAsia" w:eastAsiaTheme="minorEastAsia" w:cstheme="minorEastAsia"/>
                <w:b w:val="0"/>
                <w:bCs w:val="0"/>
                <w:sz w:val="18"/>
                <w:szCs w:val="18"/>
                <w:lang w:val="en-US" w:eastAsia="zh-CN"/>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(一)行车日志个别信息填报不准确,行车组织管理水平有待加强。</w:t>
            </w:r>
            <w:r>
              <w:rPr>
                <w:rFonts w:hint="eastAsia" w:ascii="宋体" w:hAnsi="宋体" w:eastAsia="宋体" w:cs="宋体"/>
                <w:b w:val="0"/>
                <w:bCs w:val="0"/>
                <w:sz w:val="24"/>
                <w:szCs w:val="24"/>
                <w:lang w:val="en-US" w:eastAsia="zh-CN"/>
              </w:rPr>
              <w:t>列车行车日志是车辆运行全过程的原始记录,是行车组织管理的文件之一,必须及时、准确、认真记录。行车日志应依据时间顺序连续记载,不得间断,内容反映车辆行驶、停靠等基本情况。评价组通过查看红柳川站、高家庄站行车日志,发现存在接发列车记录填报不准确的现象。接发列车记录不准确,不利于提供全面的信息检索和数据分析功能,行车组织管理水平仍有待加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(二)年度运营收入完成率低,与预期收入偏差较大。</w:t>
            </w:r>
            <w:r>
              <w:rPr>
                <w:rFonts w:hint="eastAsia" w:ascii="宋体" w:hAnsi="宋体" w:eastAsia="宋体" w:cs="宋体"/>
                <w:b w:val="0"/>
                <w:bCs w:val="0"/>
                <w:sz w:val="24"/>
                <w:szCs w:val="24"/>
                <w:lang w:val="en-US" w:eastAsia="zh-CN"/>
              </w:rPr>
              <w:t>2019年10月17日,朱中铁路红柳川站至中川北站间采用调车作业方式开通试运营,截止2023年底累计确认不含税运营收入(使用者付费)1310.29万元,其中:2020年运营收入311万元,2021年运营收入291万元,2022年217万元,2023年491.29万元。2023年和前三年相比运输收入增加,但根据查看本项目《物有所值评价报告》,本项目第2年至第4年预期收入为3206万元、6413万元、6944万元。以上,项目年度运营收入完成率低,其中项目运营期第四年(2023年)运营收入完成率仅为7.07%,与预期收入偏差较大。</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(三)应急预案未按规定及时进行修订,预案时效存在滞后性。</w:t>
            </w:r>
            <w:r>
              <w:rPr>
                <w:rFonts w:hint="eastAsia" w:ascii="宋体" w:hAnsi="宋体" w:eastAsia="宋体" w:cs="宋体"/>
                <w:b w:val="0"/>
                <w:bCs w:val="0"/>
                <w:sz w:val="24"/>
                <w:szCs w:val="24"/>
                <w:lang w:val="en-US" w:eastAsia="zh-CN"/>
              </w:rPr>
              <w:t>2019年10月,项目公司编制《朱中铁路运营应急预案》,其中包括非正常情况下行车作业应急预案、恶劣天气应急预案、防洪应急预案、行车事故组织应急预案、火灾事故应急预案等。根据《生产安全事故应急预案管理办法》第三十五条规定:生产经营单位应急预案应当每三年进行一次应急预案评估。对预案内容的针对性和实用性进行分析,并对应急预案是否需要修订作出结论。截止2023年2月,《朱中铁路应急预案》已沿用4年 2个月,项目公司未及时评估和修订新的应急预案。</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(四)部分检查记录不规范,无法核实问题整改结果。</w:t>
            </w:r>
            <w:r>
              <w:rPr>
                <w:rFonts w:hint="eastAsia" w:ascii="宋体" w:hAnsi="宋体" w:eastAsia="宋体" w:cs="宋体"/>
                <w:b w:val="0"/>
                <w:bCs w:val="0"/>
                <w:sz w:val="24"/>
                <w:szCs w:val="24"/>
                <w:lang w:val="en-US" w:eastAsia="zh-CN"/>
              </w:rPr>
              <w:t>1.线路静态检查过程中缺失问题整改确认记录。评价组在抽查《线路检查记录本》的过程中,发现在检查钢轨轨距、水平、三角坑、轨向、高低及设备其他状态过程中,存在未及时记录整改情况的现象。根据查看《线路轨道静态几何尺寸容许偏差管理值》及工作访谈,Vmax≦120km/h 正线及到发线经常保养轨距(mm)容许偏差管理值最大为+7,最小为-4。在检查过程中发现设备偏离上述容许偏差管理值时,需进行及时整改并签字确认。在抽查过程中发现存在发现问题未记录整改情况并签字确认的现象。2.路基防护栅栏春检统计不完善。项目公司分别于2023年3月和2023年9月对朱中铁路设备进行了春检和秋检。通过现场核查资料,2023年春检总结中对检查情况进行了汇总说明,其中显示整改防护栅栏问题18处(底部间隙过大、栅栏破损、倾倒)。但评价组通过查阅2023年春检资料汇总资料,在《路基防护栅栏春检统计表》中,存在问题为19处,其中未在整改说明里包含的一项为K1+S45砼栓栏在线路右侧无防护栅栏,涵洞两侧有人畜穿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(一)重视行车日志填报,加强行车组织管理。</w:t>
            </w:r>
            <w:r>
              <w:rPr>
                <w:rFonts w:hint="eastAsia" w:ascii="宋体" w:hAnsi="宋体" w:eastAsia="宋体" w:cs="宋体"/>
                <w:b w:val="0"/>
                <w:bCs w:val="0"/>
                <w:sz w:val="24"/>
                <w:szCs w:val="24"/>
                <w:lang w:val="en-US" w:eastAsia="zh-CN"/>
              </w:rPr>
              <w:t>行车日志不仅是记录车辆和货物等原始信息的工具,也是提高工作效率、加强行车组织管理以及进行安全检查和数据分析的重要手段。行车日志详细记录了车辆基本信息,为车辆运行提供基础数据支持,并通过记载车辆、货运、交接班等各项信息,实现列车运行管理的可追溯性。针对朱中铁路2023年度行车日志个别信息填报不准确的问题,建议项目公司重视行车日志的填报工作,复核错误信息并及时修正,以加强行车组织管理,从而进一步提升铁路运输的安全性和效率。</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(二)加强铁路沿线物流市场开发,增加铁路到发运量及运营收入。</w:t>
            </w:r>
            <w:r>
              <w:rPr>
                <w:rFonts w:hint="eastAsia" w:ascii="宋体" w:hAnsi="宋体" w:eastAsia="宋体" w:cs="宋体"/>
                <w:b w:val="0"/>
                <w:bCs w:val="0"/>
                <w:sz w:val="24"/>
                <w:szCs w:val="24"/>
                <w:lang w:val="en-US" w:eastAsia="zh-CN"/>
              </w:rPr>
              <w:t>建议项目公司按照工作安排,加强铁路沿线物流市场开发,走访调查沿线企业运量情况,拓展物流客户数量,增加铁路到发运量及运营收入,提高物流综合效益。</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(三)及时修订完善各类应急预案,提高风险应对水平。</w:t>
            </w:r>
            <w:r>
              <w:rPr>
                <w:rFonts w:hint="eastAsia" w:ascii="宋体" w:hAnsi="宋体" w:eastAsia="宋体" w:cs="宋体"/>
                <w:b w:val="0"/>
                <w:bCs w:val="0"/>
                <w:sz w:val="24"/>
                <w:szCs w:val="24"/>
                <w:lang w:val="en-US" w:eastAsia="zh-CN"/>
              </w:rPr>
              <w:t>建议项目公司按照《生产安全事故应急预案管理办法》有关规定,及时修订完善各类应急预案,突出应急演练,加强日常宣讲和现场检查指导,全面提高应对突发事件的应急反应能力,遇有突发情况能最大限度地杜绝人员伤亡和财产损失。</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1"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(四)完善检查记录,保障项目安全高效运行。</w:t>
            </w:r>
            <w:r>
              <w:rPr>
                <w:rFonts w:hint="eastAsia" w:ascii="宋体" w:hAnsi="宋体" w:eastAsia="宋体" w:cs="宋体"/>
                <w:b w:val="0"/>
                <w:bCs w:val="0"/>
                <w:sz w:val="24"/>
                <w:szCs w:val="24"/>
                <w:lang w:val="en-US" w:eastAsia="zh-CN"/>
              </w:rPr>
              <w:t>针对部分检查记录不规范的问题,建议项目公司与运维单位组织复核查实,完善问题整改与确认记录,并落实问题整改情况。同时,在日常运营管理过程中,加强日常检查问题整改的及时性与记录填报的规范性要求,发现问题及时整改并进行确认,保障项目安全高效运行。</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w:t>
                          </w:r>
                          <w:r>
                            <w:fldChar w:fldCharType="begin"/>
                          </w:r>
                          <w:r>
                            <w:instrText xml:space="preserve"> PAGE  \* MERGEFORMAT </w:instrText>
                          </w:r>
                          <w:r>
                            <w:fldChar w:fldCharType="separate"/>
                          </w:r>
                          <w:r>
                            <w:t>1</w:t>
                          </w:r>
                          <w:r>
                            <w:fldChar w:fldCharType="end"/>
                          </w:r>
                          <w: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pPr>
                    <w:r>
                      <w:t>—</w:t>
                    </w:r>
                    <w:r>
                      <w:fldChar w:fldCharType="begin"/>
                    </w:r>
                    <w:r>
                      <w:instrText xml:space="preserve"> PAGE  \* MERGEFORMAT </w:instrText>
                    </w:r>
                    <w:r>
                      <w:fldChar w:fldCharType="separate"/>
                    </w:r>
                    <w:r>
                      <w:t>1</w:t>
                    </w:r>
                    <w:r>
                      <w:fldChar w:fldCharType="end"/>
                    </w:r>
                    <w: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xMjUxY2YzZGU0YWZlMjRlM2I5NGNhODM5YTI5YjYifQ=="/>
  </w:docVars>
  <w:rsids>
    <w:rsidRoot w:val="50362AE6"/>
    <w:rsid w:val="00D76A86"/>
    <w:rsid w:val="01D874CD"/>
    <w:rsid w:val="036E0F6F"/>
    <w:rsid w:val="03973FA9"/>
    <w:rsid w:val="06EB3426"/>
    <w:rsid w:val="07C81D7B"/>
    <w:rsid w:val="0A2A723E"/>
    <w:rsid w:val="0A3F5E74"/>
    <w:rsid w:val="112F6356"/>
    <w:rsid w:val="13750B42"/>
    <w:rsid w:val="1BC01759"/>
    <w:rsid w:val="1BD82927"/>
    <w:rsid w:val="1C7D48CD"/>
    <w:rsid w:val="1D01233B"/>
    <w:rsid w:val="1E4A5D6E"/>
    <w:rsid w:val="20176124"/>
    <w:rsid w:val="24D55C78"/>
    <w:rsid w:val="266B6E4E"/>
    <w:rsid w:val="26BE4453"/>
    <w:rsid w:val="272D2898"/>
    <w:rsid w:val="27F03E2A"/>
    <w:rsid w:val="28EA6A6E"/>
    <w:rsid w:val="28EF2E48"/>
    <w:rsid w:val="2A805ED8"/>
    <w:rsid w:val="2CB76567"/>
    <w:rsid w:val="2FBE3FC6"/>
    <w:rsid w:val="2FE21BC0"/>
    <w:rsid w:val="3246394F"/>
    <w:rsid w:val="32A76310"/>
    <w:rsid w:val="332736B7"/>
    <w:rsid w:val="399649CA"/>
    <w:rsid w:val="39D03040"/>
    <w:rsid w:val="3EFBF644"/>
    <w:rsid w:val="41055F0D"/>
    <w:rsid w:val="417C1E8F"/>
    <w:rsid w:val="48054931"/>
    <w:rsid w:val="485D55BF"/>
    <w:rsid w:val="4BA61945"/>
    <w:rsid w:val="50362AE6"/>
    <w:rsid w:val="50447C2B"/>
    <w:rsid w:val="52555572"/>
    <w:rsid w:val="533D715B"/>
    <w:rsid w:val="54C310C9"/>
    <w:rsid w:val="54E92EBD"/>
    <w:rsid w:val="55F56D34"/>
    <w:rsid w:val="573F7050"/>
    <w:rsid w:val="5915699E"/>
    <w:rsid w:val="5C641B24"/>
    <w:rsid w:val="5F851FA3"/>
    <w:rsid w:val="5FEE39B7"/>
    <w:rsid w:val="619736C1"/>
    <w:rsid w:val="62564F40"/>
    <w:rsid w:val="65CD64C7"/>
    <w:rsid w:val="680C3C00"/>
    <w:rsid w:val="6FF269CE"/>
    <w:rsid w:val="70721B59"/>
    <w:rsid w:val="726448F9"/>
    <w:rsid w:val="74030452"/>
    <w:rsid w:val="76EF360E"/>
    <w:rsid w:val="775D21EC"/>
    <w:rsid w:val="77B04009"/>
    <w:rsid w:val="77B82F42"/>
    <w:rsid w:val="781E54A5"/>
    <w:rsid w:val="7AE07C8F"/>
    <w:rsid w:val="7D1828E9"/>
    <w:rsid w:val="7E5F68B7"/>
    <w:rsid w:val="D9FD673A"/>
    <w:rsid w:val="DABF921B"/>
    <w:rsid w:val="EEBCE6D1"/>
    <w:rsid w:val="F3E3D662"/>
    <w:rsid w:val="F7EBF7E3"/>
    <w:rsid w:val="FBCF2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2"/>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semiHidden/>
    <w:unhideWhenUsed/>
    <w:qFormat/>
    <w:uiPriority w:val="0"/>
    <w:pPr>
      <w:keepNext/>
      <w:keepLines/>
      <w:spacing w:beforeLines="0" w:beforeAutospacing="0" w:afterLines="0" w:afterAutospacing="0" w:line="360" w:lineRule="auto"/>
      <w:outlineLvl w:val="2"/>
    </w:pPr>
    <w:rPr>
      <w:b/>
    </w:rPr>
  </w:style>
  <w:style w:type="paragraph" w:styleId="2">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index 1"/>
    <w:basedOn w:val="1"/>
    <w:next w:val="1"/>
    <w:qFormat/>
    <w:uiPriority w:val="0"/>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120</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2023-10-28T14:19:00Z</dcterms:created>
  <dc:creator>阁下。</dc:creator>
  <cp:lastModifiedBy>lzxq</cp:lastModifiedBy>
  <dcterms:modified xsi:type="dcterms:W3CDTF">2024-09-20T10:56:28Z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957531D816D84DE98858295C50E97B6C_11</vt:lpwstr>
  </property>
</Properties>
</file>