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B1DB37">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小标宋简体" w:hAnsi="华文中宋" w:eastAsia="方正小标宋简体" w:cs="华文中宋"/>
          <w:b/>
          <w:color w:val="auto"/>
          <w:sz w:val="36"/>
          <w:szCs w:val="36"/>
          <w:lang w:val="en-US" w:eastAsia="zh-CN"/>
        </w:rPr>
      </w:pPr>
      <w:r>
        <w:rPr>
          <w:rFonts w:hint="eastAsia" w:ascii="方正小标宋简体" w:hAnsi="华文中宋" w:eastAsia="方正小标宋简体" w:cs="华文中宋"/>
          <w:b/>
          <w:color w:val="auto"/>
          <w:sz w:val="36"/>
          <w:szCs w:val="36"/>
          <w:lang w:val="en-US" w:eastAsia="zh-CN"/>
        </w:rPr>
        <w:t>兰州新区组织部2023年度部门整体支出</w:t>
      </w:r>
    </w:p>
    <w:p w14:paraId="38C40BE4">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小标宋简体" w:hAnsi="华文中宋" w:eastAsia="方正小标宋简体" w:cs="华文中宋"/>
          <w:b/>
          <w:color w:val="auto"/>
          <w:sz w:val="36"/>
          <w:szCs w:val="36"/>
          <w:lang w:val="en-US" w:eastAsia="zh-CN"/>
        </w:rPr>
      </w:pPr>
      <w:r>
        <w:rPr>
          <w:rFonts w:hint="eastAsia" w:ascii="方正小标宋简体" w:hAnsi="华文中宋" w:eastAsia="方正小标宋简体" w:cs="华文中宋"/>
          <w:b/>
          <w:color w:val="auto"/>
          <w:sz w:val="36"/>
          <w:szCs w:val="36"/>
          <w:lang w:val="en-US" w:eastAsia="zh-CN"/>
        </w:rPr>
        <w:t>绩效评价报告</w:t>
      </w:r>
    </w:p>
    <w:p w14:paraId="6E7D57AA">
      <w:pPr>
        <w:bidi w:val="0"/>
        <w:rPr>
          <w:rFonts w:hint="eastAsia"/>
          <w:lang w:val="en-US" w:eastAsia="zh-CN"/>
        </w:rPr>
      </w:pPr>
    </w:p>
    <w:tbl>
      <w:tblPr>
        <w:tblStyle w:val="12"/>
        <w:tblW w:w="8814" w:type="dxa"/>
        <w:jc w:val="center"/>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698"/>
        <w:gridCol w:w="319"/>
        <w:gridCol w:w="675"/>
        <w:gridCol w:w="270"/>
        <w:gridCol w:w="633"/>
        <w:gridCol w:w="232"/>
        <w:gridCol w:w="725"/>
        <w:gridCol w:w="885"/>
        <w:gridCol w:w="885"/>
        <w:gridCol w:w="735"/>
        <w:gridCol w:w="240"/>
        <w:gridCol w:w="645"/>
        <w:gridCol w:w="735"/>
        <w:gridCol w:w="1137"/>
      </w:tblGrid>
      <w:tr w14:paraId="4C2DF9BE">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28" w:hRule="atLeast"/>
          <w:jc w:val="center"/>
        </w:trPr>
        <w:tc>
          <w:tcPr>
            <w:tcW w:w="8814" w:type="dxa"/>
            <w:gridSpan w:val="14"/>
            <w:tcBorders>
              <w:tl2br w:val="nil"/>
              <w:tr2bl w:val="nil"/>
            </w:tcBorders>
            <w:shd w:val="clear" w:color="auto" w:fill="FFFFFF"/>
            <w:vAlign w:val="center"/>
          </w:tcPr>
          <w:p w14:paraId="4AE9F537">
            <w:pPr>
              <w:bidi w:val="0"/>
              <w:ind w:left="0" w:leftChars="0" w:firstLine="0" w:firstLineChars="0"/>
              <w:jc w:val="center"/>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bCs/>
                <w:sz w:val="24"/>
                <w:szCs w:val="24"/>
                <w:lang w:val="en-US" w:eastAsia="zh-CN"/>
              </w:rPr>
              <w:t>一、部门整体基本情况</w:t>
            </w:r>
          </w:p>
        </w:tc>
      </w:tr>
      <w:tr w14:paraId="51187276">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restart"/>
            <w:tcBorders>
              <w:tl2br w:val="nil"/>
              <w:tr2bl w:val="nil"/>
            </w:tcBorders>
            <w:shd w:val="clear" w:color="auto" w:fill="FFFFFF"/>
            <w:vAlign w:val="center"/>
          </w:tcPr>
          <w:p w14:paraId="730467B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基本情况</w:t>
            </w:r>
          </w:p>
        </w:tc>
        <w:tc>
          <w:tcPr>
            <w:tcW w:w="1897" w:type="dxa"/>
            <w:gridSpan w:val="4"/>
            <w:tcBorders>
              <w:tl2br w:val="nil"/>
              <w:tr2bl w:val="nil"/>
            </w:tcBorders>
            <w:shd w:val="clear" w:color="auto" w:fill="FFFFFF"/>
            <w:vAlign w:val="center"/>
          </w:tcPr>
          <w:p w14:paraId="6F8B0B1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项目名称</w:t>
            </w:r>
          </w:p>
        </w:tc>
        <w:tc>
          <w:tcPr>
            <w:tcW w:w="6219" w:type="dxa"/>
            <w:gridSpan w:val="9"/>
            <w:tcBorders>
              <w:tl2br w:val="nil"/>
              <w:tr2bl w:val="nil"/>
            </w:tcBorders>
            <w:shd w:val="clear" w:color="auto" w:fill="FFFFFF"/>
            <w:vAlign w:val="center"/>
          </w:tcPr>
          <w:p w14:paraId="41CFC4D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兰州新区组织部2023年度部门整体支出绩效评价</w:t>
            </w:r>
          </w:p>
        </w:tc>
      </w:tr>
      <w:tr w14:paraId="2FCB9C4A">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14:paraId="0D04FF1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p>
        </w:tc>
        <w:tc>
          <w:tcPr>
            <w:tcW w:w="1897" w:type="dxa"/>
            <w:gridSpan w:val="4"/>
            <w:tcBorders>
              <w:tl2br w:val="nil"/>
              <w:tr2bl w:val="nil"/>
            </w:tcBorders>
            <w:shd w:val="clear" w:color="auto" w:fill="FFFFFF"/>
            <w:vAlign w:val="center"/>
          </w:tcPr>
          <w:p w14:paraId="3428102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评价年度</w:t>
            </w:r>
          </w:p>
        </w:tc>
        <w:tc>
          <w:tcPr>
            <w:tcW w:w="1842" w:type="dxa"/>
            <w:gridSpan w:val="3"/>
            <w:tcBorders>
              <w:tl2br w:val="nil"/>
              <w:tr2bl w:val="nil"/>
            </w:tcBorders>
            <w:shd w:val="clear" w:color="auto" w:fill="FFFFFF"/>
            <w:vAlign w:val="center"/>
          </w:tcPr>
          <w:p w14:paraId="2C53A43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2023年度</w:t>
            </w:r>
          </w:p>
        </w:tc>
        <w:tc>
          <w:tcPr>
            <w:tcW w:w="1860" w:type="dxa"/>
            <w:gridSpan w:val="3"/>
            <w:tcBorders>
              <w:tl2br w:val="nil"/>
              <w:tr2bl w:val="nil"/>
            </w:tcBorders>
            <w:shd w:val="clear" w:color="auto" w:fill="FFFFFF"/>
            <w:vAlign w:val="center"/>
          </w:tcPr>
          <w:p w14:paraId="03DCBA8E">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评价类型</w:t>
            </w:r>
          </w:p>
        </w:tc>
        <w:tc>
          <w:tcPr>
            <w:tcW w:w="2517" w:type="dxa"/>
            <w:gridSpan w:val="3"/>
            <w:tcBorders>
              <w:tl2br w:val="nil"/>
              <w:tr2bl w:val="nil"/>
            </w:tcBorders>
            <w:shd w:val="clear" w:color="auto" w:fill="FFFFFF"/>
            <w:vAlign w:val="center"/>
          </w:tcPr>
          <w:p w14:paraId="1FA3D2C7">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财政评价</w:t>
            </w:r>
          </w:p>
        </w:tc>
      </w:tr>
      <w:tr w14:paraId="1CCA1E74">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14:paraId="7FB48234">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p>
        </w:tc>
        <w:tc>
          <w:tcPr>
            <w:tcW w:w="1897" w:type="dxa"/>
            <w:gridSpan w:val="4"/>
            <w:tcBorders>
              <w:tl2br w:val="nil"/>
              <w:tr2bl w:val="nil"/>
            </w:tcBorders>
            <w:shd w:val="clear" w:color="auto" w:fill="FFFFFF"/>
            <w:vAlign w:val="center"/>
          </w:tcPr>
          <w:p w14:paraId="093EDCE9">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评价对象名称</w:t>
            </w:r>
          </w:p>
        </w:tc>
        <w:tc>
          <w:tcPr>
            <w:tcW w:w="6219" w:type="dxa"/>
            <w:gridSpan w:val="9"/>
            <w:tcBorders>
              <w:tl2br w:val="nil"/>
              <w:tr2bl w:val="nil"/>
            </w:tcBorders>
            <w:shd w:val="clear" w:color="auto" w:fill="FFFFFF"/>
            <w:vAlign w:val="center"/>
          </w:tcPr>
          <w:p w14:paraId="34221049">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兰州新区组织部</w:t>
            </w:r>
          </w:p>
        </w:tc>
      </w:tr>
      <w:tr w14:paraId="37911A7B">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98" w:type="dxa"/>
            <w:tcBorders>
              <w:tl2br w:val="nil"/>
              <w:tr2bl w:val="nil"/>
            </w:tcBorders>
            <w:shd w:val="clear" w:color="auto" w:fill="FFFFFF"/>
            <w:vAlign w:val="center"/>
          </w:tcPr>
          <w:p w14:paraId="2839A720">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实施目的</w:t>
            </w:r>
          </w:p>
        </w:tc>
        <w:tc>
          <w:tcPr>
            <w:tcW w:w="8116" w:type="dxa"/>
            <w:gridSpan w:val="13"/>
            <w:tcBorders>
              <w:tl2br w:val="nil"/>
              <w:tr2bl w:val="nil"/>
            </w:tcBorders>
            <w:shd w:val="clear" w:color="auto" w:fill="FFFFFF"/>
            <w:vAlign w:val="center"/>
          </w:tcPr>
          <w:p w14:paraId="39B7BB1D">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通过综合分析兰州新区组织部部门整体支出预算编制的合理性和科学性、预算执行的时效性、预算控制和监督的有效性，以及部门基本运转、履职尽责和履职效能等情况；同时重点关注部门内部控制管理、非税收入管理等情况，全面考核部门整体支出和履职职能的匹配程度，及时发现部门存在的不足和问题，提出合理意见建议，从而提升部门整体预算绩效管理水平，提高财政资金使用效益。</w:t>
            </w:r>
          </w:p>
        </w:tc>
      </w:tr>
      <w:tr w14:paraId="6ACDF151">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restart"/>
            <w:tcBorders>
              <w:tl2br w:val="nil"/>
              <w:tr2bl w:val="nil"/>
            </w:tcBorders>
            <w:shd w:val="clear" w:color="auto" w:fill="FFFFFF"/>
            <w:vAlign w:val="center"/>
          </w:tcPr>
          <w:p w14:paraId="4E325485">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资金情况（万元）</w:t>
            </w:r>
          </w:p>
        </w:tc>
        <w:tc>
          <w:tcPr>
            <w:tcW w:w="1897" w:type="dxa"/>
            <w:gridSpan w:val="4"/>
            <w:tcBorders>
              <w:tl2br w:val="nil"/>
              <w:tr2bl w:val="nil"/>
            </w:tcBorders>
            <w:shd w:val="clear" w:color="auto" w:fill="FFFFFF"/>
            <w:vAlign w:val="center"/>
          </w:tcPr>
          <w:p w14:paraId="766AB44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预算安排资金</w:t>
            </w:r>
          </w:p>
        </w:tc>
        <w:tc>
          <w:tcPr>
            <w:tcW w:w="1842" w:type="dxa"/>
            <w:gridSpan w:val="3"/>
            <w:tcBorders>
              <w:tl2br w:val="nil"/>
              <w:tr2bl w:val="nil"/>
            </w:tcBorders>
            <w:shd w:val="clear" w:color="auto" w:fill="FFFFFF"/>
            <w:vAlign w:val="center"/>
          </w:tcPr>
          <w:p w14:paraId="3364AB42">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4500.85</w:t>
            </w:r>
          </w:p>
        </w:tc>
        <w:tc>
          <w:tcPr>
            <w:tcW w:w="1860" w:type="dxa"/>
            <w:gridSpan w:val="3"/>
            <w:tcBorders>
              <w:tl2br w:val="nil"/>
              <w:tr2bl w:val="nil"/>
            </w:tcBorders>
            <w:shd w:val="clear" w:color="auto" w:fill="FFFFFF"/>
            <w:vAlign w:val="center"/>
          </w:tcPr>
          <w:p w14:paraId="4CA61A6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实际到位资金</w:t>
            </w:r>
          </w:p>
        </w:tc>
        <w:tc>
          <w:tcPr>
            <w:tcW w:w="2517" w:type="dxa"/>
            <w:gridSpan w:val="3"/>
            <w:tcBorders>
              <w:tl2br w:val="nil"/>
              <w:tr2bl w:val="nil"/>
            </w:tcBorders>
            <w:shd w:val="clear" w:color="auto" w:fill="FFFFFF"/>
            <w:vAlign w:val="center"/>
          </w:tcPr>
          <w:p w14:paraId="0DD61D6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4975.42</w:t>
            </w:r>
          </w:p>
        </w:tc>
      </w:tr>
      <w:tr w14:paraId="746BB369">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14:paraId="6AABAB24">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FFFFFF"/>
            <w:vAlign w:val="center"/>
          </w:tcPr>
          <w:p w14:paraId="05E89D76">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其中：市级资金</w:t>
            </w:r>
          </w:p>
        </w:tc>
        <w:tc>
          <w:tcPr>
            <w:tcW w:w="1842" w:type="dxa"/>
            <w:gridSpan w:val="3"/>
            <w:tcBorders>
              <w:tl2br w:val="nil"/>
              <w:tr2bl w:val="nil"/>
            </w:tcBorders>
            <w:shd w:val="clear" w:color="auto" w:fill="FFFFFF"/>
            <w:vAlign w:val="center"/>
          </w:tcPr>
          <w:p w14:paraId="00CF9F77">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0</w:t>
            </w:r>
          </w:p>
        </w:tc>
        <w:tc>
          <w:tcPr>
            <w:tcW w:w="1860" w:type="dxa"/>
            <w:gridSpan w:val="3"/>
            <w:tcBorders>
              <w:tl2br w:val="nil"/>
              <w:tr2bl w:val="nil"/>
            </w:tcBorders>
            <w:shd w:val="clear" w:color="auto" w:fill="FFFFFF"/>
            <w:vAlign w:val="center"/>
          </w:tcPr>
          <w:p w14:paraId="45C3E68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bCs w:val="0"/>
                <w:color w:val="000000"/>
                <w:kern w:val="2"/>
                <w:sz w:val="24"/>
                <w:szCs w:val="24"/>
                <w:vertAlign w:val="baseline"/>
                <w:lang w:val="en-US" w:eastAsia="zh-CN" w:bidi="ar-SA"/>
              </w:rPr>
            </w:pPr>
            <w:r>
              <w:rPr>
                <w:rFonts w:hint="eastAsia" w:ascii="宋体" w:hAnsi="宋体" w:eastAsia="宋体" w:cs="宋体"/>
                <w:b w:val="0"/>
                <w:bCs w:val="0"/>
                <w:color w:val="000000"/>
                <w:sz w:val="24"/>
                <w:szCs w:val="24"/>
                <w:vertAlign w:val="baseline"/>
                <w:lang w:val="en-US" w:eastAsia="zh-CN"/>
              </w:rPr>
              <w:t>其中：市级资金</w:t>
            </w:r>
          </w:p>
        </w:tc>
        <w:tc>
          <w:tcPr>
            <w:tcW w:w="2517" w:type="dxa"/>
            <w:gridSpan w:val="3"/>
            <w:tcBorders>
              <w:tl2br w:val="nil"/>
              <w:tr2bl w:val="nil"/>
            </w:tcBorders>
            <w:shd w:val="clear" w:color="auto" w:fill="FFFFFF"/>
            <w:vAlign w:val="center"/>
          </w:tcPr>
          <w:p w14:paraId="392DE6D9">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kern w:val="2"/>
                <w:sz w:val="24"/>
                <w:szCs w:val="24"/>
                <w:vertAlign w:val="baseline"/>
                <w:lang w:val="en-US" w:eastAsia="zh-CN" w:bidi="ar-SA"/>
              </w:rPr>
            </w:pPr>
            <w:r>
              <w:rPr>
                <w:rFonts w:hint="eastAsia" w:ascii="宋体" w:hAnsi="宋体" w:eastAsia="宋体" w:cs="宋体"/>
                <w:b w:val="0"/>
                <w:color w:val="000000"/>
                <w:sz w:val="24"/>
                <w:szCs w:val="24"/>
                <w:vertAlign w:val="baseline"/>
                <w:lang w:val="en-US" w:eastAsia="zh-CN"/>
              </w:rPr>
              <w:t>0</w:t>
            </w:r>
          </w:p>
        </w:tc>
      </w:tr>
      <w:tr w14:paraId="1BF57A1A">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14:paraId="7659FF25">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FFFFFF"/>
            <w:vAlign w:val="center"/>
          </w:tcPr>
          <w:p w14:paraId="4D3B1ED4">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县级资金</w:t>
            </w:r>
          </w:p>
        </w:tc>
        <w:tc>
          <w:tcPr>
            <w:tcW w:w="1842" w:type="dxa"/>
            <w:gridSpan w:val="3"/>
            <w:tcBorders>
              <w:tl2br w:val="nil"/>
              <w:tr2bl w:val="nil"/>
            </w:tcBorders>
            <w:shd w:val="clear" w:color="auto" w:fill="FFFFFF"/>
            <w:vAlign w:val="center"/>
          </w:tcPr>
          <w:p w14:paraId="4973D59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4500.85</w:t>
            </w:r>
          </w:p>
        </w:tc>
        <w:tc>
          <w:tcPr>
            <w:tcW w:w="1860" w:type="dxa"/>
            <w:gridSpan w:val="3"/>
            <w:tcBorders>
              <w:tl2br w:val="nil"/>
              <w:tr2bl w:val="nil"/>
            </w:tcBorders>
            <w:shd w:val="clear" w:color="auto" w:fill="FFFFFF"/>
            <w:vAlign w:val="center"/>
          </w:tcPr>
          <w:p w14:paraId="681890DF">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hint="eastAsia" w:ascii="宋体" w:hAnsi="宋体" w:eastAsia="宋体" w:cs="宋体"/>
                <w:b w:val="0"/>
                <w:bCs w:val="0"/>
                <w:color w:val="000000"/>
                <w:kern w:val="2"/>
                <w:sz w:val="24"/>
                <w:szCs w:val="24"/>
                <w:vertAlign w:val="baseline"/>
                <w:lang w:val="en-US" w:eastAsia="zh-CN" w:bidi="ar-SA"/>
              </w:rPr>
            </w:pPr>
            <w:r>
              <w:rPr>
                <w:rFonts w:hint="eastAsia" w:ascii="宋体" w:hAnsi="宋体" w:eastAsia="宋体" w:cs="宋体"/>
                <w:b w:val="0"/>
                <w:bCs w:val="0"/>
                <w:color w:val="000000"/>
                <w:sz w:val="24"/>
                <w:szCs w:val="24"/>
                <w:vertAlign w:val="baseline"/>
                <w:lang w:val="en-US" w:eastAsia="zh-CN"/>
              </w:rPr>
              <w:t>县级资金</w:t>
            </w:r>
          </w:p>
        </w:tc>
        <w:tc>
          <w:tcPr>
            <w:tcW w:w="2517" w:type="dxa"/>
            <w:gridSpan w:val="3"/>
            <w:tcBorders>
              <w:tl2br w:val="nil"/>
              <w:tr2bl w:val="nil"/>
            </w:tcBorders>
            <w:shd w:val="clear" w:color="auto" w:fill="FFFFFF"/>
            <w:vAlign w:val="center"/>
          </w:tcPr>
          <w:p w14:paraId="530E8A7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kern w:val="2"/>
                <w:sz w:val="24"/>
                <w:szCs w:val="24"/>
                <w:vertAlign w:val="baseline"/>
                <w:lang w:val="en-US" w:eastAsia="zh-CN" w:bidi="ar-SA"/>
              </w:rPr>
            </w:pPr>
            <w:r>
              <w:rPr>
                <w:rFonts w:hint="eastAsia" w:ascii="宋体" w:hAnsi="宋体" w:eastAsia="宋体" w:cs="宋体"/>
                <w:b w:val="0"/>
                <w:color w:val="000000"/>
                <w:kern w:val="2"/>
                <w:sz w:val="24"/>
                <w:szCs w:val="24"/>
                <w:vertAlign w:val="baseline"/>
                <w:lang w:val="en-US" w:eastAsia="zh-CN" w:bidi="ar-SA"/>
              </w:rPr>
              <w:t>4975.42</w:t>
            </w:r>
          </w:p>
        </w:tc>
      </w:tr>
      <w:tr w14:paraId="0FE6B4EE">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14:paraId="39789F1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FFFFFF"/>
            <w:vAlign w:val="center"/>
          </w:tcPr>
          <w:p w14:paraId="644F26EA">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实际支出资金</w:t>
            </w:r>
          </w:p>
        </w:tc>
        <w:tc>
          <w:tcPr>
            <w:tcW w:w="1842" w:type="dxa"/>
            <w:gridSpan w:val="3"/>
            <w:tcBorders>
              <w:tl2br w:val="nil"/>
              <w:tr2bl w:val="nil"/>
            </w:tcBorders>
            <w:shd w:val="clear" w:color="auto" w:fill="FFFFFF"/>
            <w:vAlign w:val="center"/>
          </w:tcPr>
          <w:p w14:paraId="312F8C30">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4924.86</w:t>
            </w:r>
          </w:p>
        </w:tc>
        <w:tc>
          <w:tcPr>
            <w:tcW w:w="1860" w:type="dxa"/>
            <w:gridSpan w:val="3"/>
            <w:tcBorders>
              <w:tl2br w:val="nil"/>
              <w:tr2bl w:val="nil"/>
            </w:tcBorders>
            <w:shd w:val="clear" w:color="auto" w:fill="FFFFFF"/>
            <w:vAlign w:val="center"/>
          </w:tcPr>
          <w:p w14:paraId="491A92E6">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结余资金</w:t>
            </w:r>
          </w:p>
        </w:tc>
        <w:tc>
          <w:tcPr>
            <w:tcW w:w="2517" w:type="dxa"/>
            <w:gridSpan w:val="3"/>
            <w:tcBorders>
              <w:tl2br w:val="nil"/>
              <w:tr2bl w:val="nil"/>
            </w:tcBorders>
            <w:shd w:val="clear" w:color="auto" w:fill="FFFFFF"/>
            <w:vAlign w:val="center"/>
          </w:tcPr>
          <w:p w14:paraId="39322615">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50.59</w:t>
            </w:r>
          </w:p>
        </w:tc>
      </w:tr>
      <w:tr w14:paraId="6CD41B40">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14:paraId="3535B80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FFFFFF"/>
            <w:vAlign w:val="center"/>
          </w:tcPr>
          <w:p w14:paraId="3C1B1BB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预算执行率</w:t>
            </w:r>
          </w:p>
        </w:tc>
        <w:tc>
          <w:tcPr>
            <w:tcW w:w="6219" w:type="dxa"/>
            <w:gridSpan w:val="9"/>
            <w:tcBorders>
              <w:tl2br w:val="nil"/>
              <w:tr2bl w:val="nil"/>
            </w:tcBorders>
            <w:shd w:val="clear" w:color="auto" w:fill="FFFFFF"/>
            <w:vAlign w:val="center"/>
          </w:tcPr>
          <w:p w14:paraId="71468A92">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98.98%</w:t>
            </w:r>
          </w:p>
        </w:tc>
      </w:tr>
      <w:tr w14:paraId="6663FD79">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54" w:hRule="atLeast"/>
          <w:jc w:val="center"/>
        </w:trPr>
        <w:tc>
          <w:tcPr>
            <w:tcW w:w="8814" w:type="dxa"/>
            <w:gridSpan w:val="14"/>
            <w:tcBorders>
              <w:tl2br w:val="nil"/>
              <w:tr2bl w:val="nil"/>
            </w:tcBorders>
            <w:shd w:val="clear" w:color="auto" w:fill="FFFFFF"/>
            <w:vAlign w:val="center"/>
          </w:tcPr>
          <w:p w14:paraId="73E4FC9C">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bCs/>
                <w:sz w:val="24"/>
                <w:szCs w:val="24"/>
                <w:lang w:val="en-US" w:eastAsia="zh-CN"/>
              </w:rPr>
              <w:t>二、部门整体绩效目标</w:t>
            </w:r>
          </w:p>
        </w:tc>
      </w:tr>
      <w:tr w14:paraId="71AF1A48">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1692" w:type="dxa"/>
            <w:gridSpan w:val="3"/>
            <w:tcBorders>
              <w:tl2br w:val="nil"/>
              <w:tr2bl w:val="nil"/>
            </w:tcBorders>
            <w:shd w:val="clear" w:color="auto" w:fill="FFFFFF"/>
            <w:vAlign w:val="center"/>
          </w:tcPr>
          <w:p w14:paraId="096D14A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年度绩效目标</w:t>
            </w:r>
          </w:p>
        </w:tc>
        <w:tc>
          <w:tcPr>
            <w:tcW w:w="7122" w:type="dxa"/>
            <w:gridSpan w:val="11"/>
            <w:tcBorders>
              <w:tl2br w:val="nil"/>
              <w:tr2bl w:val="nil"/>
            </w:tcBorders>
            <w:shd w:val="clear" w:color="auto" w:fill="FFFFFF"/>
            <w:vAlign w:val="center"/>
          </w:tcPr>
          <w:p w14:paraId="585B5F03">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根据兰州新区组织部《2023年度部门整体支出绩效目标申报表》，总结并梳理出兰州新区组织部2023年度部门整体支出绩效目标为：</w:t>
            </w:r>
          </w:p>
          <w:p w14:paraId="4A2A374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一是围绕干部人事，深化“四项改革”。面向全国精准选招“急需紧缺”专业化干部，选招机关部门工作人员104名。实施月度“差异化+动态”系数和季度监测考核，将考核系数与新区GDP增速正向紧密挂钩，各单位考核成绩与对经济发展贡献同频共振。打破人员身份界限，研究出台《兰州新区管理岗位工作人员职级晋升实施方案》，实行三等十级职级序列，完成套转职级275人。对标国内一流、省内领先，开设人才服务线上申报受理数字化平台，累计受理1000余名各类人才申请人才公寓、技能补贴、落户奖励等事项，发放人才奖励补贴资金200余万。</w:t>
            </w:r>
          </w:p>
          <w:p w14:paraId="4E867473">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二是突出新区特色，开展“五个创新”。创印发《兰州新区“五创五强”推进基层党建高质量发展的实施意见》，打造“五强”党组织20个。开发推广“兰新e家”民情通微信小程序，解决群众烦心事、揪心事、操心事1700余件，群众满意率达98.5%。起草《兰州新区机关事业单位及国有企业工作人员调配交流管理办法》，修订《兰州新区聘用制工作人员管理办法》，多渠道发现储备和培养锻炼年轻干部。创科学制定《兰州新区2023年全员绩效考核办法》，经济指标领航、月度考评奖惩、依绩定薪激励“三个考评激励体系”和绩效考核结果与收入分配、职务升降、岗位调整、职称竞聘、评先选优、人员辞留“考用奖管六个挂钩”机制。创新举办首届人才节。举办首届“才聚新区·智创未来”人才节暨2023年大型人才智力交流大会，宝航、海亮、东金硅业等三个“五百强”和“专精特新”企业，兰石集团、白银有色公司、靖远煤矿等310余家企业为求职者提供就业岗位1.2万个。</w:t>
            </w:r>
          </w:p>
          <w:p w14:paraId="35F545E5">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三是聚焦关键领域，实现“四大突破”。1-12月村集体经济收入达到2171.02万元，村均收入达到31.02万元，同比增长92.31%。面向全国择优选招社区工作者85名，制定《兰州新区社区工作者管理办法》，推动社区工作者队伍专业化、职业化、规范化建设。按照“急需紧缺”原则，引进教育系统人才432名，全日制硕士研究生、双一流院校毕业生或省属重点师范院校毕业生200人。举办大型引才活动20余场次，累计帮助企业引进人才和解决用工需求8.1万人。举办甘肃省“海外赤子为国服务行动计划兰州新区行”活动，达成合作意向20余个，解决技术难题12个，吸引广大青年在新区就业创业。</w:t>
            </w:r>
          </w:p>
          <w:p w14:paraId="1EFC9F5E">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bCs/>
                <w:sz w:val="24"/>
                <w:szCs w:val="24"/>
                <w:lang w:val="en-US" w:eastAsia="zh-CN"/>
              </w:rPr>
            </w:pPr>
            <w:r>
              <w:rPr>
                <w:rFonts w:hint="eastAsia" w:ascii="宋体" w:hAnsi="宋体" w:eastAsia="宋体" w:cs="宋体"/>
                <w:b w:val="0"/>
                <w:bCs w:val="0"/>
                <w:sz w:val="24"/>
                <w:szCs w:val="24"/>
                <w:lang w:val="en-US" w:eastAsia="zh-CN"/>
              </w:rPr>
              <w:t>四是紧扣重点任务，实现“四个提升”。聚焦事业发展需要，提请党工委会议、部务会会议研究干部6批次277人，真正让吃苦者吃香、优秀者优先、有为者有位。严格落实“凡提四必”制度，指导173名县级干部如实填报个人有关事项，重点查核54人次，查核一致率为100%。制定出台《兰州新区干部档案任前审核制度》《兰州新区组织部干部人事档案审核研判工作机制》，梳理汇总问题清单1500余份。深入推进党支部建设标准化和“四抓两整治”，今年创建省级标准化党支部7个，常态化长效化落实“五个精准”要求和“四个一”措施，累计筹措526万元支持村级办公活动场所建设。</w:t>
            </w:r>
          </w:p>
        </w:tc>
      </w:tr>
      <w:tr w14:paraId="6FC4C616">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4"/>
            <w:tcBorders>
              <w:tl2br w:val="nil"/>
              <w:tr2bl w:val="nil"/>
            </w:tcBorders>
            <w:shd w:val="clear" w:color="auto" w:fill="FFFFFF"/>
            <w:vAlign w:val="center"/>
          </w:tcPr>
          <w:p w14:paraId="028FA56C">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三、评价基本情况</w:t>
            </w:r>
          </w:p>
        </w:tc>
      </w:tr>
      <w:tr w14:paraId="67975ECD">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81" w:hRule="atLeast"/>
          <w:jc w:val="center"/>
        </w:trPr>
        <w:tc>
          <w:tcPr>
            <w:tcW w:w="1692" w:type="dxa"/>
            <w:gridSpan w:val="3"/>
            <w:tcBorders>
              <w:tl2br w:val="nil"/>
              <w:tr2bl w:val="nil"/>
            </w:tcBorders>
            <w:shd w:val="clear" w:color="auto" w:fill="FFFFFF"/>
            <w:vAlign w:val="center"/>
          </w:tcPr>
          <w:p w14:paraId="11F9747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评价范围</w:t>
            </w:r>
          </w:p>
        </w:tc>
        <w:tc>
          <w:tcPr>
            <w:tcW w:w="7122" w:type="dxa"/>
            <w:gridSpan w:val="11"/>
            <w:tcBorders>
              <w:tl2br w:val="nil"/>
              <w:tr2bl w:val="nil"/>
            </w:tcBorders>
            <w:shd w:val="clear" w:color="auto" w:fill="FFFFFF"/>
            <w:vAlign w:val="center"/>
          </w:tcPr>
          <w:p w14:paraId="158433B9">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兰州新区组织部2023年度部门全年预算资金</w:t>
            </w:r>
            <w:r>
              <w:rPr>
                <w:rFonts w:hint="eastAsia" w:ascii="宋体" w:hAnsi="宋体" w:eastAsia="宋体" w:cs="宋体"/>
                <w:b w:val="0"/>
                <w:color w:val="000000"/>
                <w:sz w:val="24"/>
                <w:szCs w:val="24"/>
                <w:vertAlign w:val="baseline"/>
                <w:lang w:val="en-US" w:eastAsia="zh-CN"/>
              </w:rPr>
              <w:t>4500.85</w:t>
            </w:r>
            <w:r>
              <w:rPr>
                <w:rFonts w:hint="eastAsia" w:ascii="宋体" w:hAnsi="宋体" w:eastAsia="宋体" w:cs="宋体"/>
                <w:b w:val="0"/>
                <w:bCs w:val="0"/>
                <w:sz w:val="24"/>
                <w:szCs w:val="24"/>
                <w:lang w:val="en-US" w:eastAsia="zh-CN"/>
              </w:rPr>
              <w:t>万元。</w:t>
            </w:r>
          </w:p>
        </w:tc>
      </w:tr>
      <w:tr w14:paraId="143CE90A">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41" w:hRule="atLeast"/>
          <w:jc w:val="center"/>
        </w:trPr>
        <w:tc>
          <w:tcPr>
            <w:tcW w:w="1692" w:type="dxa"/>
            <w:gridSpan w:val="3"/>
            <w:tcBorders>
              <w:tl2br w:val="nil"/>
              <w:tr2bl w:val="nil"/>
            </w:tcBorders>
            <w:shd w:val="clear" w:color="auto" w:fill="FFFFFF"/>
            <w:vAlign w:val="center"/>
          </w:tcPr>
          <w:p w14:paraId="053F1BA5">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评价依据</w:t>
            </w:r>
          </w:p>
        </w:tc>
        <w:tc>
          <w:tcPr>
            <w:tcW w:w="7122" w:type="dxa"/>
            <w:gridSpan w:val="11"/>
            <w:tcBorders>
              <w:tl2br w:val="nil"/>
              <w:tr2bl w:val="nil"/>
            </w:tcBorders>
            <w:shd w:val="clear" w:color="auto" w:fill="FFFFFF"/>
            <w:vAlign w:val="center"/>
          </w:tcPr>
          <w:p w14:paraId="1F5EA6F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1.《中华人民共和国预算法》；</w:t>
            </w:r>
          </w:p>
          <w:p w14:paraId="1E01AB8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2.《中共中央 国务院关于全面实施预算绩效管理的意见》（中发〔2018〕34号）；</w:t>
            </w:r>
          </w:p>
          <w:p w14:paraId="6A7FD2DC">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3.《财政部关于印发&lt;预算绩效评价共性指标体系框架&gt;的通知》（财预〔2013〕53号）；</w:t>
            </w:r>
          </w:p>
          <w:p w14:paraId="2B86243B">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4.《财政部关于规范绩效评价结果等级划分标准的通知》（财预便〔2017〕44号）；</w:t>
            </w:r>
          </w:p>
          <w:p w14:paraId="567792F5">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5.《甘肃省委 省政府关于全面实施预算绩效管理的实施意见》（甘发〔2018〕32号）；</w:t>
            </w:r>
          </w:p>
          <w:p w14:paraId="466E9396">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6.《兰州新区管委会办公室关于印发&lt;兰州新区全面推进预算绩效管理实施细则&gt;的通知》;</w:t>
            </w:r>
          </w:p>
          <w:p w14:paraId="13C628F3">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7.《兰州新区组织部财务管理制度》等相关制度文件；</w:t>
            </w:r>
          </w:p>
          <w:p w14:paraId="4AD2489B">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8.部门2023年度预算公开报表及情况说明，《2023年度部门决算支出表》；</w:t>
            </w:r>
          </w:p>
          <w:p w14:paraId="319F7DC6">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9.部门年度工作计划及《兰州新区组织部2023年度领导班子述职述廉报告》；</w:t>
            </w:r>
          </w:p>
          <w:p w14:paraId="482F2AF1">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10.2023年度预算执行情况绩效目标表、监控表、监控报告、自评表等；</w:t>
            </w:r>
          </w:p>
          <w:p w14:paraId="6281EC73">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11.各项支出财务凭证等其他相关资料。</w:t>
            </w:r>
          </w:p>
        </w:tc>
      </w:tr>
      <w:tr w14:paraId="4A9718E0">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41" w:hRule="atLeast"/>
          <w:jc w:val="center"/>
        </w:trPr>
        <w:tc>
          <w:tcPr>
            <w:tcW w:w="1692" w:type="dxa"/>
            <w:gridSpan w:val="3"/>
            <w:tcBorders>
              <w:tl2br w:val="nil"/>
              <w:tr2bl w:val="nil"/>
            </w:tcBorders>
            <w:shd w:val="clear" w:color="auto" w:fill="FFFFFF"/>
            <w:vAlign w:val="center"/>
          </w:tcPr>
          <w:p w14:paraId="021E703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绩效评价</w:t>
            </w:r>
          </w:p>
          <w:p w14:paraId="705C4190">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指标体系</w:t>
            </w:r>
          </w:p>
        </w:tc>
        <w:tc>
          <w:tcPr>
            <w:tcW w:w="7122" w:type="dxa"/>
            <w:gridSpan w:val="11"/>
            <w:tcBorders>
              <w:tl2br w:val="nil"/>
              <w:tr2bl w:val="nil"/>
            </w:tcBorders>
            <w:shd w:val="clear" w:color="auto" w:fill="FFFFFF"/>
            <w:vAlign w:val="center"/>
          </w:tcPr>
          <w:p w14:paraId="51C7492D">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本次绩效评价指标体系设计思路主要是根据兰州新区组织部的基本职能，围绕部门年度工作计划、绩效目标设定、预算编制、预算执行、履职完成情况及履职效益发挥情况等重要内容，结合绩效评价指标体系的设计原则及设计方法，主要从部门规划、运行成本、管理效率、履职效能、履职效应、可持续发展能力及满意度七个方面评价兰州新区组织部2023年度部门整体工作。指标体系的数据源于部门履职各项资料、基础数据表及调查问卷分析情况等资料。</w:t>
            </w:r>
          </w:p>
        </w:tc>
      </w:tr>
      <w:tr w14:paraId="1BDDF83F">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95" w:hRule="atLeast"/>
          <w:jc w:val="center"/>
        </w:trPr>
        <w:tc>
          <w:tcPr>
            <w:tcW w:w="1692" w:type="dxa"/>
            <w:gridSpan w:val="3"/>
            <w:tcBorders>
              <w:tl2br w:val="nil"/>
              <w:tr2bl w:val="nil"/>
            </w:tcBorders>
            <w:shd w:val="clear" w:color="auto" w:fill="FFFFFF"/>
            <w:vAlign w:val="center"/>
          </w:tcPr>
          <w:p w14:paraId="6041982A">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评价方法</w:t>
            </w:r>
          </w:p>
        </w:tc>
        <w:tc>
          <w:tcPr>
            <w:tcW w:w="7122" w:type="dxa"/>
            <w:gridSpan w:val="11"/>
            <w:tcBorders>
              <w:tl2br w:val="nil"/>
              <w:tr2bl w:val="nil"/>
            </w:tcBorders>
            <w:shd w:val="clear" w:color="auto" w:fill="FFFFFF"/>
            <w:vAlign w:val="center"/>
          </w:tcPr>
          <w:p w14:paraId="42E3EDC3">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比较法、因素分析法、公众评判法。</w:t>
            </w:r>
          </w:p>
        </w:tc>
      </w:tr>
      <w:tr w14:paraId="6A06C339">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726" w:hRule="atLeast"/>
          <w:jc w:val="center"/>
        </w:trPr>
        <w:tc>
          <w:tcPr>
            <w:tcW w:w="1692" w:type="dxa"/>
            <w:gridSpan w:val="3"/>
            <w:tcBorders>
              <w:tl2br w:val="nil"/>
              <w:tr2bl w:val="nil"/>
            </w:tcBorders>
            <w:shd w:val="clear" w:color="auto" w:fill="FFFFFF"/>
            <w:vAlign w:val="center"/>
          </w:tcPr>
          <w:p w14:paraId="38E2203A">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数据采集及</w:t>
            </w:r>
          </w:p>
          <w:p w14:paraId="17457AE8">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处理方法</w:t>
            </w:r>
          </w:p>
        </w:tc>
        <w:tc>
          <w:tcPr>
            <w:tcW w:w="7122" w:type="dxa"/>
            <w:gridSpan w:val="11"/>
            <w:tcBorders>
              <w:tl2br w:val="nil"/>
              <w:tr2bl w:val="nil"/>
            </w:tcBorders>
            <w:shd w:val="clear" w:color="auto" w:fill="FFFFFF"/>
            <w:vAlign w:val="center"/>
          </w:tcPr>
          <w:p w14:paraId="7BA20F22">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按照绩效评价指标体系对部门整体绩效评价资料进行逐一整理，便于后期从评价资料中快速检索所需数据信息；对照评分标准，从已整理资料中提取与对应指标有关的数据信息，统计分析该指标的得分情况和扣分原因。</w:t>
            </w:r>
          </w:p>
        </w:tc>
      </w:tr>
      <w:tr w14:paraId="63851058">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41" w:hRule="atLeast"/>
          <w:jc w:val="center"/>
        </w:trPr>
        <w:tc>
          <w:tcPr>
            <w:tcW w:w="1692" w:type="dxa"/>
            <w:gridSpan w:val="3"/>
            <w:tcBorders>
              <w:tl2br w:val="nil"/>
              <w:tr2bl w:val="nil"/>
            </w:tcBorders>
            <w:shd w:val="clear" w:color="auto" w:fill="FFFFFF"/>
            <w:vAlign w:val="center"/>
          </w:tcPr>
          <w:p w14:paraId="68B0C045">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绩效评价</w:t>
            </w:r>
          </w:p>
          <w:p w14:paraId="63F941EC">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工作过程</w:t>
            </w:r>
          </w:p>
        </w:tc>
        <w:tc>
          <w:tcPr>
            <w:tcW w:w="7122" w:type="dxa"/>
            <w:gridSpan w:val="11"/>
            <w:tcBorders>
              <w:tl2br w:val="nil"/>
              <w:tr2bl w:val="nil"/>
            </w:tcBorders>
            <w:shd w:val="clear" w:color="auto" w:fill="FFFFFF"/>
            <w:vAlign w:val="center"/>
          </w:tcPr>
          <w:p w14:paraId="25D9EC85">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1.前期准备阶段。</w:t>
            </w:r>
            <w:r>
              <w:rPr>
                <w:rFonts w:hint="eastAsia" w:ascii="宋体" w:hAnsi="宋体" w:eastAsia="宋体" w:cs="宋体"/>
                <w:b w:val="0"/>
                <w:bCs w:val="0"/>
                <w:sz w:val="24"/>
                <w:szCs w:val="24"/>
                <w:lang w:val="en-US" w:eastAsia="zh-CN"/>
              </w:rPr>
              <w:t>依据部门整体支出绩效目标，结合部门财政管理工作绩效、职能履行、履职效果、年度工作重点任务实施情况等，梳理评价内容。同时通过查阅相关政策制度，了解部门基本情况，分析部门职责和人员规划，确定评价要点。</w:t>
            </w:r>
          </w:p>
          <w:p w14:paraId="4BA9EC9C">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kern w:val="2"/>
                <w:sz w:val="24"/>
                <w:szCs w:val="24"/>
                <w:lang w:val="en-US" w:eastAsia="zh-CN" w:bidi="ar-SA"/>
              </w:rPr>
              <w:t>2.</w:t>
            </w:r>
            <w:r>
              <w:rPr>
                <w:rFonts w:hint="eastAsia" w:ascii="宋体" w:hAnsi="宋体" w:eastAsia="宋体" w:cs="宋体"/>
                <w:b/>
                <w:bCs/>
                <w:sz w:val="24"/>
                <w:szCs w:val="24"/>
                <w:lang w:val="en-US" w:eastAsia="zh-CN"/>
              </w:rPr>
              <w:t>组织实施阶段。</w:t>
            </w:r>
            <w:r>
              <w:rPr>
                <w:rFonts w:hint="eastAsia" w:ascii="宋体" w:hAnsi="宋体" w:eastAsia="宋体" w:cs="宋体"/>
                <w:b w:val="0"/>
                <w:bCs w:val="0"/>
                <w:sz w:val="24"/>
                <w:szCs w:val="24"/>
                <w:lang w:val="en-US" w:eastAsia="zh-CN"/>
              </w:rPr>
              <w:t>根据评价工作安排，对财务及资产管理制度是否健全、执行是否有效进行了系统查看。对18个本级及转移支付项目进行公开评价，主要从资金使用、年度目标完成、效益发挥等方面进行了解。</w:t>
            </w:r>
          </w:p>
          <w:p w14:paraId="634DCEB7">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kern w:val="2"/>
                <w:sz w:val="24"/>
                <w:szCs w:val="24"/>
                <w:lang w:val="en-US" w:eastAsia="zh-CN" w:bidi="ar-SA"/>
              </w:rPr>
              <w:t>3.</w:t>
            </w:r>
            <w:r>
              <w:rPr>
                <w:rFonts w:hint="eastAsia" w:ascii="宋体" w:hAnsi="宋体" w:eastAsia="宋体" w:cs="宋体"/>
                <w:b/>
                <w:bCs/>
                <w:sz w:val="24"/>
                <w:szCs w:val="24"/>
                <w:lang w:val="en-US" w:eastAsia="zh-CN"/>
              </w:rPr>
              <w:t>数据分析阶段。</w:t>
            </w:r>
            <w:r>
              <w:rPr>
                <w:rFonts w:hint="eastAsia" w:ascii="宋体" w:hAnsi="宋体" w:eastAsia="宋体" w:cs="宋体"/>
                <w:b w:val="0"/>
                <w:bCs w:val="0"/>
                <w:sz w:val="24"/>
                <w:szCs w:val="24"/>
                <w:lang w:val="en-US" w:eastAsia="zh-CN"/>
              </w:rPr>
              <w:t>根据指标体系的对应指标对资料进行分类梳理，利用统计分析的方法，对提供的数据资料进行分析，提取有用的信息，形成分析结论。</w:t>
            </w:r>
          </w:p>
          <w:p w14:paraId="5802A138">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kern w:val="2"/>
                <w:sz w:val="24"/>
                <w:szCs w:val="24"/>
                <w:lang w:val="en-US" w:eastAsia="zh-CN" w:bidi="ar-SA"/>
              </w:rPr>
              <w:t>4.</w:t>
            </w:r>
            <w:r>
              <w:rPr>
                <w:rFonts w:hint="eastAsia" w:ascii="宋体" w:hAnsi="宋体" w:eastAsia="宋体" w:cs="宋体"/>
                <w:b/>
                <w:bCs/>
                <w:sz w:val="24"/>
                <w:szCs w:val="24"/>
                <w:lang w:val="en-US" w:eastAsia="zh-CN"/>
              </w:rPr>
              <w:t>撰写报告阶段。</w:t>
            </w:r>
            <w:r>
              <w:rPr>
                <w:rFonts w:hint="eastAsia" w:ascii="宋体" w:hAnsi="宋体" w:eastAsia="宋体" w:cs="宋体"/>
                <w:b w:val="0"/>
                <w:bCs w:val="0"/>
                <w:sz w:val="24"/>
                <w:szCs w:val="24"/>
                <w:lang w:val="en-US" w:eastAsia="zh-CN"/>
              </w:rPr>
              <w:t>根据收集的各项资料，按照绩效评价要求和规定的文本格式撰写兰州新区组织部2023年度部门整体支出绩效评价报告。</w:t>
            </w:r>
          </w:p>
        </w:tc>
      </w:tr>
      <w:tr w14:paraId="5886749E">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4"/>
            <w:tcBorders>
              <w:tl2br w:val="nil"/>
              <w:tr2bl w:val="nil"/>
            </w:tcBorders>
            <w:shd w:val="clear" w:color="auto" w:fill="FFFFFF"/>
            <w:vAlign w:val="center"/>
          </w:tcPr>
          <w:p w14:paraId="38F85A0B">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四、评价结论和绩效分析</w:t>
            </w:r>
          </w:p>
        </w:tc>
      </w:tr>
      <w:tr w14:paraId="407A45E3">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17" w:type="dxa"/>
            <w:gridSpan w:val="2"/>
            <w:tcBorders>
              <w:tl2br w:val="nil"/>
              <w:tr2bl w:val="nil"/>
            </w:tcBorders>
            <w:shd w:val="clear" w:color="auto" w:fill="FFFFFF"/>
            <w:vAlign w:val="center"/>
          </w:tcPr>
          <w:p w14:paraId="4B00A96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综合评价结论</w:t>
            </w:r>
          </w:p>
        </w:tc>
        <w:tc>
          <w:tcPr>
            <w:tcW w:w="1810" w:type="dxa"/>
            <w:gridSpan w:val="4"/>
            <w:tcBorders>
              <w:tl2br w:val="nil"/>
              <w:tr2bl w:val="nil"/>
            </w:tcBorders>
            <w:shd w:val="clear" w:color="auto" w:fill="FFFFFF"/>
            <w:vAlign w:val="center"/>
          </w:tcPr>
          <w:p w14:paraId="49A82955">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评价得分</w:t>
            </w:r>
          </w:p>
        </w:tc>
        <w:tc>
          <w:tcPr>
            <w:tcW w:w="2495" w:type="dxa"/>
            <w:gridSpan w:val="3"/>
            <w:tcBorders>
              <w:tl2br w:val="nil"/>
              <w:tr2bl w:val="nil"/>
            </w:tcBorders>
            <w:shd w:val="clear" w:color="auto" w:fill="FFFFFF"/>
            <w:vAlign w:val="center"/>
          </w:tcPr>
          <w:p w14:paraId="4534760C">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97.5分</w:t>
            </w:r>
          </w:p>
        </w:tc>
        <w:tc>
          <w:tcPr>
            <w:tcW w:w="2355" w:type="dxa"/>
            <w:gridSpan w:val="4"/>
            <w:tcBorders>
              <w:tl2br w:val="nil"/>
              <w:tr2bl w:val="nil"/>
            </w:tcBorders>
            <w:shd w:val="clear" w:color="auto" w:fill="FFFFFF"/>
            <w:vAlign w:val="center"/>
          </w:tcPr>
          <w:p w14:paraId="617BF0BA">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评价等级</w:t>
            </w:r>
          </w:p>
        </w:tc>
        <w:tc>
          <w:tcPr>
            <w:tcW w:w="1137" w:type="dxa"/>
            <w:tcBorders>
              <w:tl2br w:val="nil"/>
              <w:tr2bl w:val="nil"/>
            </w:tcBorders>
            <w:shd w:val="clear" w:color="auto" w:fill="FFFFFF"/>
            <w:vAlign w:val="center"/>
          </w:tcPr>
          <w:p w14:paraId="3E5E25D6">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优</w:t>
            </w:r>
          </w:p>
        </w:tc>
      </w:tr>
      <w:tr w14:paraId="10A57ADE">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17" w:type="dxa"/>
            <w:gridSpan w:val="2"/>
            <w:vMerge w:val="restart"/>
            <w:tcBorders>
              <w:tl2br w:val="nil"/>
              <w:tr2bl w:val="nil"/>
            </w:tcBorders>
            <w:shd w:val="clear" w:color="auto" w:fill="FFFFFF"/>
            <w:vAlign w:val="center"/>
          </w:tcPr>
          <w:p w14:paraId="4234028B">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绩效</w:t>
            </w:r>
          </w:p>
          <w:p w14:paraId="4BAE5C5C">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分析</w:t>
            </w:r>
          </w:p>
        </w:tc>
        <w:tc>
          <w:tcPr>
            <w:tcW w:w="945" w:type="dxa"/>
            <w:gridSpan w:val="2"/>
            <w:tcBorders>
              <w:tl2br w:val="nil"/>
              <w:tr2bl w:val="nil"/>
            </w:tcBorders>
            <w:shd w:val="clear" w:color="auto" w:fill="FFFFFF"/>
            <w:vAlign w:val="center"/>
          </w:tcPr>
          <w:p w14:paraId="6C3DE942">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指标</w:t>
            </w:r>
          </w:p>
        </w:tc>
        <w:tc>
          <w:tcPr>
            <w:tcW w:w="865" w:type="dxa"/>
            <w:gridSpan w:val="2"/>
            <w:tcBorders>
              <w:tl2br w:val="nil"/>
              <w:tr2bl w:val="nil"/>
            </w:tcBorders>
            <w:shd w:val="clear" w:color="auto" w:fill="FFFFFF"/>
            <w:vAlign w:val="center"/>
          </w:tcPr>
          <w:p w14:paraId="7EDD2E8D">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部门</w:t>
            </w:r>
          </w:p>
          <w:p w14:paraId="4ABC4DB9">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规划</w:t>
            </w:r>
          </w:p>
        </w:tc>
        <w:tc>
          <w:tcPr>
            <w:tcW w:w="725" w:type="dxa"/>
            <w:tcBorders>
              <w:tl2br w:val="nil"/>
              <w:tr2bl w:val="nil"/>
            </w:tcBorders>
            <w:shd w:val="clear" w:color="auto" w:fill="FFFFFF"/>
            <w:vAlign w:val="center"/>
          </w:tcPr>
          <w:p w14:paraId="37340EC3">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运行成本</w:t>
            </w:r>
          </w:p>
        </w:tc>
        <w:tc>
          <w:tcPr>
            <w:tcW w:w="885" w:type="dxa"/>
            <w:tcBorders>
              <w:tl2br w:val="nil"/>
              <w:tr2bl w:val="nil"/>
            </w:tcBorders>
            <w:shd w:val="clear" w:color="auto" w:fill="FFFFFF"/>
            <w:vAlign w:val="center"/>
          </w:tcPr>
          <w:p w14:paraId="3F051CEB">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管理</w:t>
            </w:r>
          </w:p>
          <w:p w14:paraId="5D84FB77">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效率</w:t>
            </w:r>
          </w:p>
        </w:tc>
        <w:tc>
          <w:tcPr>
            <w:tcW w:w="885" w:type="dxa"/>
            <w:tcBorders>
              <w:tl2br w:val="nil"/>
              <w:tr2bl w:val="nil"/>
            </w:tcBorders>
            <w:shd w:val="clear" w:color="auto" w:fill="FFFFFF"/>
            <w:vAlign w:val="center"/>
          </w:tcPr>
          <w:p w14:paraId="5765EE7F">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履职</w:t>
            </w:r>
          </w:p>
          <w:p w14:paraId="45D9952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效能</w:t>
            </w:r>
          </w:p>
        </w:tc>
        <w:tc>
          <w:tcPr>
            <w:tcW w:w="735" w:type="dxa"/>
            <w:tcBorders>
              <w:tl2br w:val="nil"/>
              <w:tr2bl w:val="nil"/>
            </w:tcBorders>
            <w:shd w:val="clear" w:color="auto" w:fill="FFFFFF"/>
            <w:vAlign w:val="center"/>
          </w:tcPr>
          <w:p w14:paraId="1CA4338F">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履职效应</w:t>
            </w:r>
          </w:p>
        </w:tc>
        <w:tc>
          <w:tcPr>
            <w:tcW w:w="885" w:type="dxa"/>
            <w:gridSpan w:val="2"/>
            <w:tcBorders>
              <w:tl2br w:val="nil"/>
              <w:tr2bl w:val="nil"/>
            </w:tcBorders>
            <w:shd w:val="clear" w:color="auto" w:fill="FFFFFF"/>
            <w:vAlign w:val="center"/>
          </w:tcPr>
          <w:p w14:paraId="050E8C41">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可持续发展</w:t>
            </w:r>
          </w:p>
        </w:tc>
        <w:tc>
          <w:tcPr>
            <w:tcW w:w="735" w:type="dxa"/>
            <w:tcBorders>
              <w:tl2br w:val="nil"/>
              <w:tr2bl w:val="nil"/>
            </w:tcBorders>
            <w:shd w:val="clear" w:color="auto" w:fill="FFFFFF"/>
            <w:vAlign w:val="center"/>
          </w:tcPr>
          <w:p w14:paraId="1EFCF705">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满意度</w:t>
            </w:r>
          </w:p>
        </w:tc>
        <w:tc>
          <w:tcPr>
            <w:tcW w:w="1137" w:type="dxa"/>
            <w:tcBorders>
              <w:tl2br w:val="nil"/>
              <w:tr2bl w:val="nil"/>
            </w:tcBorders>
            <w:shd w:val="clear" w:color="auto" w:fill="FFFFFF"/>
            <w:vAlign w:val="center"/>
          </w:tcPr>
          <w:p w14:paraId="3C032CF8">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合计</w:t>
            </w:r>
          </w:p>
        </w:tc>
      </w:tr>
      <w:tr w14:paraId="35335365">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17" w:type="dxa"/>
            <w:gridSpan w:val="2"/>
            <w:vMerge w:val="continue"/>
            <w:tcBorders>
              <w:tl2br w:val="nil"/>
              <w:tr2bl w:val="nil"/>
            </w:tcBorders>
            <w:shd w:val="clear" w:color="auto" w:fill="FFFFFF"/>
            <w:vAlign w:val="center"/>
          </w:tcPr>
          <w:p w14:paraId="2EEFE05C">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p>
        </w:tc>
        <w:tc>
          <w:tcPr>
            <w:tcW w:w="945" w:type="dxa"/>
            <w:gridSpan w:val="2"/>
            <w:tcBorders>
              <w:tl2br w:val="nil"/>
              <w:tr2bl w:val="nil"/>
            </w:tcBorders>
            <w:shd w:val="clear" w:color="auto" w:fill="FFFFFF"/>
            <w:vAlign w:val="center"/>
          </w:tcPr>
          <w:p w14:paraId="690033B3">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得分</w:t>
            </w:r>
          </w:p>
        </w:tc>
        <w:tc>
          <w:tcPr>
            <w:tcW w:w="865" w:type="dxa"/>
            <w:gridSpan w:val="2"/>
            <w:tcBorders>
              <w:tl2br w:val="nil"/>
              <w:tr2bl w:val="nil"/>
            </w:tcBorders>
            <w:shd w:val="clear" w:color="auto" w:fill="FFFFFF"/>
            <w:vAlign w:val="center"/>
          </w:tcPr>
          <w:p w14:paraId="0DDB1D8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9</w:t>
            </w:r>
          </w:p>
        </w:tc>
        <w:tc>
          <w:tcPr>
            <w:tcW w:w="725" w:type="dxa"/>
            <w:tcBorders>
              <w:tl2br w:val="nil"/>
              <w:tr2bl w:val="nil"/>
            </w:tcBorders>
            <w:shd w:val="clear" w:color="auto" w:fill="FFFFFF"/>
            <w:vAlign w:val="center"/>
          </w:tcPr>
          <w:p w14:paraId="2F0BA158">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7.5</w:t>
            </w:r>
          </w:p>
        </w:tc>
        <w:tc>
          <w:tcPr>
            <w:tcW w:w="885" w:type="dxa"/>
            <w:tcBorders>
              <w:tl2br w:val="nil"/>
              <w:tr2bl w:val="nil"/>
            </w:tcBorders>
            <w:shd w:val="clear" w:color="auto" w:fill="FFFFFF"/>
            <w:vAlign w:val="center"/>
          </w:tcPr>
          <w:p w14:paraId="35ED1E81">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18</w:t>
            </w:r>
          </w:p>
        </w:tc>
        <w:tc>
          <w:tcPr>
            <w:tcW w:w="885" w:type="dxa"/>
            <w:tcBorders>
              <w:tl2br w:val="nil"/>
              <w:tr2bl w:val="nil"/>
            </w:tcBorders>
            <w:shd w:val="clear" w:color="auto" w:fill="FFFFFF"/>
            <w:vAlign w:val="center"/>
          </w:tcPr>
          <w:p w14:paraId="56DFAE4A">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40</w:t>
            </w:r>
          </w:p>
        </w:tc>
        <w:tc>
          <w:tcPr>
            <w:tcW w:w="735" w:type="dxa"/>
            <w:tcBorders>
              <w:tl2br w:val="nil"/>
              <w:tr2bl w:val="nil"/>
            </w:tcBorders>
            <w:shd w:val="clear" w:color="auto" w:fill="FFFFFF"/>
            <w:vAlign w:val="center"/>
          </w:tcPr>
          <w:p w14:paraId="44FBA39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15</w:t>
            </w:r>
          </w:p>
        </w:tc>
        <w:tc>
          <w:tcPr>
            <w:tcW w:w="885" w:type="dxa"/>
            <w:gridSpan w:val="2"/>
            <w:tcBorders>
              <w:tl2br w:val="nil"/>
              <w:tr2bl w:val="nil"/>
            </w:tcBorders>
            <w:shd w:val="clear" w:color="auto" w:fill="FFFFFF"/>
            <w:vAlign w:val="center"/>
          </w:tcPr>
          <w:p w14:paraId="6A512551">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5</w:t>
            </w:r>
          </w:p>
        </w:tc>
        <w:tc>
          <w:tcPr>
            <w:tcW w:w="735" w:type="dxa"/>
            <w:tcBorders>
              <w:tl2br w:val="nil"/>
              <w:tr2bl w:val="nil"/>
            </w:tcBorders>
            <w:shd w:val="clear" w:color="auto" w:fill="FFFFFF"/>
            <w:vAlign w:val="center"/>
          </w:tcPr>
          <w:p w14:paraId="1B9E7786">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w:t>
            </w:r>
          </w:p>
        </w:tc>
        <w:tc>
          <w:tcPr>
            <w:tcW w:w="1137" w:type="dxa"/>
            <w:tcBorders>
              <w:tl2br w:val="nil"/>
              <w:tr2bl w:val="nil"/>
            </w:tcBorders>
            <w:shd w:val="clear" w:color="auto" w:fill="FFFFFF"/>
            <w:vAlign w:val="center"/>
          </w:tcPr>
          <w:p w14:paraId="78366E8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97.5分</w:t>
            </w:r>
          </w:p>
        </w:tc>
      </w:tr>
      <w:tr w14:paraId="04702313">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17" w:type="dxa"/>
            <w:gridSpan w:val="2"/>
            <w:vMerge w:val="continue"/>
            <w:tcBorders>
              <w:tl2br w:val="nil"/>
              <w:tr2bl w:val="nil"/>
            </w:tcBorders>
            <w:shd w:val="clear" w:color="auto" w:fill="FFFFFF"/>
            <w:vAlign w:val="center"/>
          </w:tcPr>
          <w:p w14:paraId="3B5658D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p>
        </w:tc>
        <w:tc>
          <w:tcPr>
            <w:tcW w:w="945" w:type="dxa"/>
            <w:gridSpan w:val="2"/>
            <w:tcBorders>
              <w:tl2br w:val="nil"/>
              <w:tr2bl w:val="nil"/>
            </w:tcBorders>
            <w:shd w:val="clear" w:color="auto" w:fill="FFFFFF"/>
            <w:vAlign w:val="center"/>
          </w:tcPr>
          <w:p w14:paraId="64BDD23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得分率</w:t>
            </w:r>
          </w:p>
        </w:tc>
        <w:tc>
          <w:tcPr>
            <w:tcW w:w="865" w:type="dxa"/>
            <w:gridSpan w:val="2"/>
            <w:tcBorders>
              <w:tl2br w:val="nil"/>
              <w:tr2bl w:val="nil"/>
            </w:tcBorders>
            <w:shd w:val="clear" w:color="auto" w:fill="FFFFFF"/>
            <w:vAlign w:val="center"/>
          </w:tcPr>
          <w:p w14:paraId="6D6913A6">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90%</w:t>
            </w:r>
          </w:p>
        </w:tc>
        <w:tc>
          <w:tcPr>
            <w:tcW w:w="725" w:type="dxa"/>
            <w:tcBorders>
              <w:tl2br w:val="nil"/>
              <w:tr2bl w:val="nil"/>
            </w:tcBorders>
            <w:shd w:val="clear" w:color="auto" w:fill="FFFFFF"/>
            <w:vAlign w:val="center"/>
          </w:tcPr>
          <w:p w14:paraId="0C66DE77">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83.33%</w:t>
            </w:r>
          </w:p>
        </w:tc>
        <w:tc>
          <w:tcPr>
            <w:tcW w:w="885" w:type="dxa"/>
            <w:tcBorders>
              <w:tl2br w:val="nil"/>
              <w:tr2bl w:val="nil"/>
            </w:tcBorders>
            <w:shd w:val="clear" w:color="auto" w:fill="FFFFFF"/>
            <w:vAlign w:val="center"/>
          </w:tcPr>
          <w:p w14:paraId="7E5796E4">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100%</w:t>
            </w:r>
          </w:p>
        </w:tc>
        <w:tc>
          <w:tcPr>
            <w:tcW w:w="885" w:type="dxa"/>
            <w:tcBorders>
              <w:tl2br w:val="nil"/>
              <w:tr2bl w:val="nil"/>
            </w:tcBorders>
            <w:shd w:val="clear" w:color="auto" w:fill="FFFFFF"/>
            <w:vAlign w:val="center"/>
          </w:tcPr>
          <w:p w14:paraId="635D06CE">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100%</w:t>
            </w:r>
          </w:p>
        </w:tc>
        <w:tc>
          <w:tcPr>
            <w:tcW w:w="735" w:type="dxa"/>
            <w:tcBorders>
              <w:tl2br w:val="nil"/>
              <w:tr2bl w:val="nil"/>
            </w:tcBorders>
            <w:shd w:val="clear" w:color="auto" w:fill="FFFFFF"/>
            <w:vAlign w:val="center"/>
          </w:tcPr>
          <w:p w14:paraId="1DF82FDC">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100%</w:t>
            </w:r>
          </w:p>
        </w:tc>
        <w:tc>
          <w:tcPr>
            <w:tcW w:w="885" w:type="dxa"/>
            <w:gridSpan w:val="2"/>
            <w:tcBorders>
              <w:tl2br w:val="nil"/>
              <w:tr2bl w:val="nil"/>
            </w:tcBorders>
            <w:shd w:val="clear" w:color="auto" w:fill="FFFFFF"/>
            <w:vAlign w:val="center"/>
          </w:tcPr>
          <w:p w14:paraId="36E93FEF">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100%</w:t>
            </w:r>
          </w:p>
        </w:tc>
        <w:tc>
          <w:tcPr>
            <w:tcW w:w="735" w:type="dxa"/>
            <w:tcBorders>
              <w:tl2br w:val="nil"/>
              <w:tr2bl w:val="nil"/>
            </w:tcBorders>
            <w:shd w:val="clear" w:color="auto" w:fill="FFFFFF"/>
            <w:vAlign w:val="center"/>
          </w:tcPr>
          <w:p w14:paraId="08CA70E6">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100%</w:t>
            </w:r>
          </w:p>
        </w:tc>
        <w:tc>
          <w:tcPr>
            <w:tcW w:w="1137" w:type="dxa"/>
            <w:tcBorders>
              <w:tl2br w:val="nil"/>
              <w:tr2bl w:val="nil"/>
            </w:tcBorders>
            <w:shd w:val="clear" w:color="auto" w:fill="FFFFFF"/>
            <w:vAlign w:val="center"/>
          </w:tcPr>
          <w:p w14:paraId="743FB82B">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97.5%</w:t>
            </w:r>
          </w:p>
        </w:tc>
      </w:tr>
      <w:tr w14:paraId="5A71EB27">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4"/>
            <w:tcBorders>
              <w:tl2br w:val="nil"/>
              <w:tr2bl w:val="nil"/>
            </w:tcBorders>
            <w:shd w:val="clear" w:color="auto" w:fill="FFFFFF"/>
            <w:vAlign w:val="center"/>
          </w:tcPr>
          <w:p w14:paraId="03B341F8">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五、存在问题</w:t>
            </w:r>
          </w:p>
        </w:tc>
      </w:tr>
      <w:tr w14:paraId="34F3C504">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174" w:hRule="atLeast"/>
          <w:jc w:val="center"/>
        </w:trPr>
        <w:tc>
          <w:tcPr>
            <w:tcW w:w="8814" w:type="dxa"/>
            <w:gridSpan w:val="14"/>
            <w:tcBorders>
              <w:tl2br w:val="nil"/>
              <w:tr2bl w:val="nil"/>
            </w:tcBorders>
            <w:shd w:val="clear" w:color="auto" w:fill="FFFFFF"/>
            <w:vAlign w:val="center"/>
          </w:tcPr>
          <w:p w14:paraId="3A33D97C">
            <w:pPr>
              <w:keepNext w:val="0"/>
              <w:keepLines w:val="0"/>
              <w:pageBreakBefore w:val="0"/>
              <w:widowControl w:val="0"/>
              <w:kinsoku/>
              <w:wordWrap/>
              <w:overflowPunct/>
              <w:topLinePunct w:val="0"/>
              <w:autoSpaceDE/>
              <w:autoSpaceDN/>
              <w:bidi w:val="0"/>
              <w:adjustRightInd/>
              <w:snapToGrid/>
              <w:spacing w:line="400" w:lineRule="exact"/>
              <w:ind w:left="0" w:leftChars="0" w:firstLine="482"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一是部分项目资金执行率较低。</w:t>
            </w:r>
            <w:r>
              <w:rPr>
                <w:rFonts w:hint="eastAsia" w:ascii="宋体" w:hAnsi="宋体" w:eastAsia="宋体" w:cs="宋体"/>
                <w:b w:val="0"/>
                <w:bCs w:val="0"/>
                <w:sz w:val="24"/>
                <w:szCs w:val="24"/>
                <w:lang w:val="en-US" w:eastAsia="zh-CN"/>
              </w:rPr>
              <w:t>档案信息化建设经费因年底验收，未完成尾款支付，资金执行率45.39%。人才工作经费因符合政策奖励补贴条件人数较预期少，导致资金结余，资金执行率60.94%。干部教育培训经费因政策原因，部分赴外培训班未举办，资金执行率57.10%。</w:t>
            </w:r>
            <w:bookmarkStart w:id="3" w:name="_GoBack"/>
            <w:bookmarkEnd w:id="3"/>
            <w:bookmarkStart w:id="0" w:name="_Toc10685"/>
            <w:bookmarkStart w:id="1" w:name="_Toc2757"/>
            <w:bookmarkStart w:id="2" w:name="_Toc20193"/>
          </w:p>
          <w:p w14:paraId="134F207F">
            <w:pPr>
              <w:keepNext w:val="0"/>
              <w:keepLines w:val="0"/>
              <w:pageBreakBefore w:val="0"/>
              <w:widowControl w:val="0"/>
              <w:kinsoku/>
              <w:wordWrap/>
              <w:overflowPunct/>
              <w:topLinePunct w:val="0"/>
              <w:autoSpaceDE/>
              <w:autoSpaceDN/>
              <w:bidi w:val="0"/>
              <w:adjustRightInd/>
              <w:snapToGrid/>
              <w:spacing w:line="400" w:lineRule="exact"/>
              <w:ind w:left="0" w:leftChars="0" w:firstLine="482"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二是个别项目指标设置不够明确</w:t>
            </w:r>
            <w:bookmarkEnd w:id="0"/>
            <w:bookmarkEnd w:id="1"/>
            <w:bookmarkEnd w:id="2"/>
            <w:r>
              <w:rPr>
                <w:rFonts w:hint="eastAsia" w:ascii="宋体" w:hAnsi="宋体" w:eastAsia="宋体" w:cs="宋体"/>
                <w:b/>
                <w:bCs/>
                <w:sz w:val="24"/>
                <w:szCs w:val="24"/>
                <w:lang w:val="en-US" w:eastAsia="zh-CN"/>
              </w:rPr>
              <w:t>。</w:t>
            </w:r>
            <w:r>
              <w:rPr>
                <w:rFonts w:hint="eastAsia" w:ascii="宋体" w:hAnsi="宋体" w:eastAsia="宋体" w:cs="宋体"/>
                <w:b w:val="0"/>
                <w:bCs w:val="0"/>
                <w:sz w:val="24"/>
                <w:szCs w:val="24"/>
                <w:lang w:val="en-US" w:eastAsia="zh-CN"/>
              </w:rPr>
              <w:t>个别项目绩效目标设置过于笼统宽泛，无法判断项目预期产出效益和效果是否符合正常的业绩水平；无法判断目标与项目资金量是否匹配。</w:t>
            </w:r>
          </w:p>
        </w:tc>
      </w:tr>
      <w:tr w14:paraId="56168196">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4"/>
            <w:tcBorders>
              <w:tl2br w:val="nil"/>
              <w:tr2bl w:val="nil"/>
            </w:tcBorders>
            <w:shd w:val="clear" w:color="auto" w:fill="FFFFFF"/>
            <w:vAlign w:val="center"/>
          </w:tcPr>
          <w:p w14:paraId="21F39F95">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六、相关建议</w:t>
            </w:r>
          </w:p>
        </w:tc>
      </w:tr>
      <w:tr w14:paraId="1E88509F">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85" w:hRule="atLeast"/>
          <w:jc w:val="center"/>
        </w:trPr>
        <w:tc>
          <w:tcPr>
            <w:tcW w:w="8814" w:type="dxa"/>
            <w:gridSpan w:val="14"/>
            <w:tcBorders>
              <w:tl2br w:val="nil"/>
              <w:tr2bl w:val="nil"/>
            </w:tcBorders>
            <w:shd w:val="clear" w:color="auto" w:fill="FFFFFF"/>
            <w:vAlign w:val="center"/>
          </w:tcPr>
          <w:p w14:paraId="5BA74005">
            <w:pPr>
              <w:keepNext w:val="0"/>
              <w:keepLines w:val="0"/>
              <w:pageBreakBefore w:val="0"/>
              <w:widowControl w:val="0"/>
              <w:kinsoku/>
              <w:wordWrap/>
              <w:overflowPunct/>
              <w:topLinePunct w:val="0"/>
              <w:autoSpaceDE/>
              <w:autoSpaceDN/>
              <w:bidi w:val="0"/>
              <w:adjustRightInd/>
              <w:snapToGrid/>
              <w:spacing w:line="400" w:lineRule="exact"/>
              <w:ind w:left="0" w:leftChars="0" w:firstLine="482"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一是坚持目标导向，进一步规范项目实施进度管理。</w:t>
            </w:r>
            <w:r>
              <w:rPr>
                <w:rFonts w:hint="eastAsia" w:ascii="宋体" w:hAnsi="宋体" w:eastAsia="宋体" w:cs="宋体"/>
                <w:b w:val="0"/>
                <w:bCs w:val="0"/>
                <w:sz w:val="24"/>
                <w:szCs w:val="24"/>
                <w:lang w:val="en-US" w:eastAsia="zh-CN"/>
              </w:rPr>
              <w:t>合理制定项目前期计划和目标，建立有效的项目监督管理机制，确保各项工作任务和目标顺利完成。具体包括聚焦部门职能、部门规划和年度重点工作任务、预算安排，提炼出明确可考核的部门整体和项目绩效目标、指标，强化预算与绩效管理一体化，从而有效提升部门履职效能。因特殊原因确实无法按计划完成的工作需及时作出调整，确保部门履职工作效应的有效发挥。</w:t>
            </w:r>
          </w:p>
          <w:p w14:paraId="1D72033E">
            <w:pPr>
              <w:keepNext w:val="0"/>
              <w:keepLines w:val="0"/>
              <w:pageBreakBefore w:val="0"/>
              <w:widowControl w:val="0"/>
              <w:kinsoku/>
              <w:wordWrap/>
              <w:overflowPunct/>
              <w:topLinePunct w:val="0"/>
              <w:autoSpaceDE/>
              <w:autoSpaceDN/>
              <w:bidi w:val="0"/>
              <w:adjustRightInd/>
              <w:snapToGrid/>
              <w:spacing w:line="400" w:lineRule="exact"/>
              <w:ind w:left="0" w:leftChars="0" w:firstLine="482"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二是坚持问题导向，进一步提升绩效管理水平。</w:t>
            </w:r>
            <w:r>
              <w:rPr>
                <w:rFonts w:hint="eastAsia" w:ascii="宋体" w:hAnsi="宋体" w:eastAsia="宋体" w:cs="宋体"/>
                <w:b w:val="0"/>
                <w:bCs w:val="0"/>
                <w:sz w:val="24"/>
                <w:szCs w:val="24"/>
                <w:lang w:val="en-US" w:eastAsia="zh-CN"/>
              </w:rPr>
              <w:t>将“绩效前置于预算”作为预算管理优化资金资源配置的前提条件，按照“谁使用资金，谁落实目标”的原则，对各科室绩效目标填报质量严格审核。针对个别项目预算绩效目标细化程度不高、可衡量数值指标不够精准等问题，强化内部培训指导，对三级指标细化不足、指标值设置过于简单、缺乏定量指标等项目及时退回修改，确保绩效目标科学性和合理性，切实做到“无目标不预算，有目标必审核”。</w:t>
            </w:r>
          </w:p>
        </w:tc>
      </w:tr>
      <w:tr w14:paraId="62727A99">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0" w:hRule="atLeast"/>
          <w:jc w:val="center"/>
        </w:trPr>
        <w:tc>
          <w:tcPr>
            <w:tcW w:w="8814" w:type="dxa"/>
            <w:gridSpan w:val="14"/>
            <w:tcBorders>
              <w:tl2br w:val="nil"/>
              <w:tr2bl w:val="nil"/>
            </w:tcBorders>
            <w:shd w:val="clear" w:color="auto" w:fill="FFFFFF"/>
            <w:vAlign w:val="center"/>
          </w:tcPr>
          <w:p w14:paraId="550A7878">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七、其他需要说明的事项</w:t>
            </w:r>
          </w:p>
        </w:tc>
      </w:tr>
      <w:tr w14:paraId="5C111687">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60" w:hRule="atLeast"/>
          <w:jc w:val="center"/>
        </w:trPr>
        <w:tc>
          <w:tcPr>
            <w:tcW w:w="8814" w:type="dxa"/>
            <w:gridSpan w:val="14"/>
            <w:tcBorders>
              <w:tl2br w:val="nil"/>
              <w:tr2bl w:val="nil"/>
            </w:tcBorders>
            <w:shd w:val="clear" w:color="auto" w:fill="FFFFFF"/>
            <w:vAlign w:val="center"/>
          </w:tcPr>
          <w:p w14:paraId="5BEB907F">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无</w:t>
            </w:r>
          </w:p>
        </w:tc>
      </w:tr>
    </w:tbl>
    <w:p w14:paraId="1CF0DCF3">
      <w:pPr>
        <w:bidi w:val="0"/>
      </w:pPr>
    </w:p>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756867">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63CAEC">
                          <w:pPr>
                            <w:pStyle w:val="7"/>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063CAEC">
                    <w:pPr>
                      <w:pStyle w:val="7"/>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640"/>
      </w:pPr>
      <w:r>
        <w:separator/>
      </w:r>
    </w:p>
  </w:footnote>
  <w:footnote w:type="continuationSeparator" w:id="1">
    <w:p>
      <w:pPr>
        <w:spacing w:line="36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lNjNkYWYyNjVmZDZiOWQ2ZjEyYmJiYjYzOTA4OTMifQ=="/>
  </w:docVars>
  <w:rsids>
    <w:rsidRoot w:val="50362AE6"/>
    <w:rsid w:val="00D76A86"/>
    <w:rsid w:val="01D874CD"/>
    <w:rsid w:val="036E0F6F"/>
    <w:rsid w:val="03973FA9"/>
    <w:rsid w:val="069D5905"/>
    <w:rsid w:val="06EB3426"/>
    <w:rsid w:val="07C81D7B"/>
    <w:rsid w:val="0A2A723E"/>
    <w:rsid w:val="0A3F5E74"/>
    <w:rsid w:val="1041184B"/>
    <w:rsid w:val="112F6356"/>
    <w:rsid w:val="13750B42"/>
    <w:rsid w:val="1BC01759"/>
    <w:rsid w:val="1BD82927"/>
    <w:rsid w:val="1C7D48CD"/>
    <w:rsid w:val="1D01233B"/>
    <w:rsid w:val="1E2702D2"/>
    <w:rsid w:val="1E4A5D6E"/>
    <w:rsid w:val="20176124"/>
    <w:rsid w:val="20C80D44"/>
    <w:rsid w:val="21EC4DBA"/>
    <w:rsid w:val="220527F8"/>
    <w:rsid w:val="24D55C78"/>
    <w:rsid w:val="266B6E4E"/>
    <w:rsid w:val="26BE4453"/>
    <w:rsid w:val="272D2898"/>
    <w:rsid w:val="27F03E2A"/>
    <w:rsid w:val="28EA6A6E"/>
    <w:rsid w:val="28EF2E48"/>
    <w:rsid w:val="2A805ED8"/>
    <w:rsid w:val="2CA005E7"/>
    <w:rsid w:val="2CB76567"/>
    <w:rsid w:val="2D7C528C"/>
    <w:rsid w:val="3246394F"/>
    <w:rsid w:val="32A76310"/>
    <w:rsid w:val="332736B7"/>
    <w:rsid w:val="33883049"/>
    <w:rsid w:val="34713BFD"/>
    <w:rsid w:val="399649CA"/>
    <w:rsid w:val="39D03040"/>
    <w:rsid w:val="3A00261B"/>
    <w:rsid w:val="3ECD7F1C"/>
    <w:rsid w:val="3FB47094"/>
    <w:rsid w:val="41055F0D"/>
    <w:rsid w:val="417C1E8F"/>
    <w:rsid w:val="48054931"/>
    <w:rsid w:val="485D55BF"/>
    <w:rsid w:val="4BA61945"/>
    <w:rsid w:val="4CA0731E"/>
    <w:rsid w:val="4F827CF9"/>
    <w:rsid w:val="4FA9081A"/>
    <w:rsid w:val="50362AE6"/>
    <w:rsid w:val="50447C2B"/>
    <w:rsid w:val="50EF617E"/>
    <w:rsid w:val="52555572"/>
    <w:rsid w:val="533D715B"/>
    <w:rsid w:val="54C310C9"/>
    <w:rsid w:val="54E92EBD"/>
    <w:rsid w:val="55F56D34"/>
    <w:rsid w:val="573F7050"/>
    <w:rsid w:val="5915699E"/>
    <w:rsid w:val="59574B17"/>
    <w:rsid w:val="5C641B24"/>
    <w:rsid w:val="5F851FA3"/>
    <w:rsid w:val="5FEE39B7"/>
    <w:rsid w:val="619736C1"/>
    <w:rsid w:val="62564F40"/>
    <w:rsid w:val="65CD64C7"/>
    <w:rsid w:val="664413B9"/>
    <w:rsid w:val="668272C8"/>
    <w:rsid w:val="680C3C00"/>
    <w:rsid w:val="699D5794"/>
    <w:rsid w:val="6FF269CE"/>
    <w:rsid w:val="70721B59"/>
    <w:rsid w:val="726448F9"/>
    <w:rsid w:val="74030452"/>
    <w:rsid w:val="75EC2506"/>
    <w:rsid w:val="76EF360E"/>
    <w:rsid w:val="775D21EC"/>
    <w:rsid w:val="77B04009"/>
    <w:rsid w:val="77B82F42"/>
    <w:rsid w:val="781E54A5"/>
    <w:rsid w:val="7AE07C8F"/>
    <w:rsid w:val="7D1828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640" w:firstLineChars="200"/>
      <w:jc w:val="both"/>
    </w:pPr>
    <w:rPr>
      <w:rFonts w:ascii="仿宋_GB2312" w:hAnsi="仿宋_GB2312" w:eastAsia="仿宋_GB2312" w:cs="仿宋_GB2312"/>
      <w:kern w:val="2"/>
      <w:sz w:val="32"/>
      <w:szCs w:val="32"/>
      <w:lang w:val="en-US" w:eastAsia="zh-CN" w:bidi="ar-SA"/>
    </w:rPr>
  </w:style>
  <w:style w:type="paragraph" w:styleId="2">
    <w:name w:val="heading 1"/>
    <w:basedOn w:val="1"/>
    <w:next w:val="1"/>
    <w:link w:val="14"/>
    <w:qFormat/>
    <w:uiPriority w:val="0"/>
    <w:pPr>
      <w:keepNext/>
      <w:keepLines/>
      <w:spacing w:line="360" w:lineRule="auto"/>
      <w:ind w:firstLine="480" w:firstLineChars="200"/>
      <w:jc w:val="both"/>
      <w:outlineLvl w:val="0"/>
    </w:pPr>
    <w:rPr>
      <w:rFonts w:ascii="黑体" w:hAnsi="黑体" w:eastAsia="黑体" w:cs="黑体"/>
      <w:kern w:val="44"/>
      <w:szCs w:val="32"/>
    </w:rPr>
  </w:style>
  <w:style w:type="paragraph" w:styleId="3">
    <w:name w:val="heading 2"/>
    <w:basedOn w:val="1"/>
    <w:next w:val="1"/>
    <w:semiHidden/>
    <w:unhideWhenUsed/>
    <w:qFormat/>
    <w:uiPriority w:val="0"/>
    <w:pPr>
      <w:topLinePunct/>
      <w:spacing w:before="0" w:beforeAutospacing="0" w:after="0" w:afterAutospacing="0"/>
      <w:jc w:val="left"/>
      <w:outlineLvl w:val="1"/>
    </w:pPr>
    <w:rPr>
      <w:rFonts w:hint="eastAsia" w:ascii="楷体" w:hAnsi="楷体" w:eastAsia="楷体" w:cs="楷体"/>
      <w:b/>
      <w:bCs/>
      <w:kern w:val="0"/>
      <w:lang w:bidi="ar"/>
    </w:rPr>
  </w:style>
  <w:style w:type="paragraph" w:styleId="4">
    <w:name w:val="heading 3"/>
    <w:basedOn w:val="1"/>
    <w:next w:val="1"/>
    <w:autoRedefine/>
    <w:semiHidden/>
    <w:unhideWhenUsed/>
    <w:qFormat/>
    <w:uiPriority w:val="0"/>
    <w:pPr>
      <w:keepNext/>
      <w:keepLines/>
      <w:spacing w:beforeLines="0" w:beforeAutospacing="0" w:afterLines="0" w:afterAutospacing="0" w:line="360" w:lineRule="auto"/>
      <w:outlineLvl w:val="2"/>
    </w:pPr>
    <w:rPr>
      <w:b/>
    </w:rPr>
  </w:style>
  <w:style w:type="paragraph" w:styleId="5">
    <w:name w:val="heading 6"/>
    <w:basedOn w:val="1"/>
    <w:next w:val="1"/>
    <w:semiHidden/>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character" w:default="1" w:styleId="13">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6">
    <w:name w:val="Body Text"/>
    <w:basedOn w:val="1"/>
    <w:qFormat/>
    <w:uiPriority w:val="0"/>
    <w:pPr>
      <w:keepNext w:val="0"/>
      <w:keepLines w:val="0"/>
      <w:widowControl w:val="0"/>
      <w:suppressLineNumbers w:val="0"/>
      <w:snapToGrid w:val="0"/>
      <w:spacing w:before="0" w:beforeAutospacing="0" w:after="0" w:afterAutospacing="0" w:line="300" w:lineRule="auto"/>
      <w:ind w:left="0" w:right="0"/>
      <w:jc w:val="both"/>
    </w:pPr>
    <w:rPr>
      <w:rFonts w:hint="eastAsia" w:ascii="宋体" w:hAnsi="宋体" w:eastAsia="宋体" w:cs="Times New Roman"/>
      <w:spacing w:val="4"/>
      <w:kern w:val="2"/>
      <w:sz w:val="24"/>
      <w:szCs w:val="24"/>
      <w:lang w:val="en-US" w:eastAsia="zh-CN" w:bidi="ar"/>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0">
    <w:name w:val="index 1"/>
    <w:basedOn w:val="1"/>
    <w:next w:val="1"/>
    <w:qFormat/>
    <w:uiPriority w:val="0"/>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
    <w:name w:val="标题 1 Char"/>
    <w:link w:val="2"/>
    <w:qFormat/>
    <w:uiPriority w:val="0"/>
    <w:rPr>
      <w:rFonts w:ascii="黑体" w:hAnsi="黑体" w:eastAsia="黑体" w:cs="黑体"/>
      <w:kern w:val="44"/>
      <w:sz w:val="32"/>
      <w:szCs w:val="32"/>
    </w:rPr>
  </w:style>
  <w:style w:type="paragraph" w:customStyle="1" w:styleId="15">
    <w:name w:val="p15"/>
    <w:qFormat/>
    <w:uiPriority w:val="99"/>
    <w:pPr>
      <w:spacing w:before="100" w:after="100"/>
    </w:pPr>
    <w:rPr>
      <w:rFonts w:ascii="Calibri" w:hAnsi="Calibri" w:eastAsia="宋体" w:cs="宋体"/>
      <w:kern w:val="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3267</Words>
  <Characters>3505</Characters>
  <Lines>0</Lines>
  <Paragraphs>0</Paragraphs>
  <TotalTime>44</TotalTime>
  <ScaleCrop>false</ScaleCrop>
  <LinksUpToDate>false</LinksUpToDate>
  <CharactersWithSpaces>3507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2023-10-27T06:19:00Z</dcterms:created>
  <dc:creator>阁下。</dc:creator>
  <cp:lastModifiedBy>岁月芬芳</cp:lastModifiedBy>
  <cp:lastPrinted>2024-09-23T01:23:40Z</cp:lastPrinted>
  <dcterms:modified xsi:type="dcterms:W3CDTF">2024-09-23T01:52:31Z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82326EF37FEC4833B3F53CD83E361E52_13</vt:lpwstr>
  </property>
</Properties>
</file>