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FA52B">
      <w:pPr>
        <w:ind w:firstLine="0" w:firstLineChars="0"/>
        <w:rPr>
          <w:rFonts w:ascii="宋体" w:hAnsi="宋体" w:eastAsia="宋体" w:cs="宋体"/>
          <w:sz w:val="72"/>
          <w:szCs w:val="72"/>
        </w:rPr>
      </w:pPr>
    </w:p>
    <w:p w14:paraId="502DE463">
      <w:pPr>
        <w:ind w:firstLine="0" w:firstLineChars="0"/>
        <w:jc w:val="center"/>
        <w:rPr>
          <w:rFonts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3</w:t>
      </w:r>
      <w:r>
        <w:rPr>
          <w:rFonts w:hint="eastAsia" w:ascii="宋体" w:hAnsi="宋体" w:eastAsia="宋体" w:cs="宋体"/>
          <w:sz w:val="72"/>
          <w:szCs w:val="72"/>
        </w:rPr>
        <w:t>年度兰州新区卫生健康委员会</w:t>
      </w:r>
    </w:p>
    <w:p w14:paraId="1DAC143C">
      <w:pPr>
        <w:ind w:firstLine="0" w:firstLineChars="0"/>
        <w:jc w:val="center"/>
        <w:rPr>
          <w:rFonts w:ascii="宋体" w:hAnsi="宋体" w:eastAsia="宋体" w:cs="宋体"/>
          <w:sz w:val="72"/>
          <w:szCs w:val="72"/>
        </w:rPr>
      </w:pPr>
      <w:r>
        <w:rPr>
          <w:rFonts w:hint="eastAsia" w:ascii="宋体" w:hAnsi="宋体" w:eastAsia="宋体" w:cs="宋体"/>
          <w:sz w:val="72"/>
          <w:szCs w:val="72"/>
        </w:rPr>
        <w:t>部门预算执行情况绩效自评报表</w:t>
      </w:r>
    </w:p>
    <w:p w14:paraId="7445CB09">
      <w:pPr>
        <w:jc w:val="center"/>
      </w:pPr>
    </w:p>
    <w:p w14:paraId="55FA7963">
      <w:bookmarkStart w:id="27" w:name="_GoBack"/>
      <w:bookmarkEnd w:id="27"/>
    </w:p>
    <w:p w14:paraId="165362C2">
      <w:pPr>
        <w:ind w:firstLine="0" w:firstLineChars="0"/>
      </w:pPr>
    </w:p>
    <w:p w14:paraId="38F67C79"/>
    <w:p w14:paraId="1605B964">
      <w:pPr>
        <w:spacing w:afterLines="50"/>
        <w:ind w:left="0" w:leftChars="0" w:firstLine="3517" w:firstLineChars="977"/>
        <w:jc w:val="both"/>
        <w:rPr>
          <w:rFonts w:ascii="宋体" w:hAnsi="宋体" w:eastAsia="宋体" w:cs="宋体"/>
          <w:sz w:val="36"/>
          <w:szCs w:val="36"/>
        </w:rPr>
      </w:pPr>
      <w:r>
        <w:rPr>
          <w:rFonts w:hint="eastAsia" w:ascii="宋体" w:hAnsi="宋体" w:eastAsia="宋体" w:cs="宋体"/>
          <w:sz w:val="36"/>
          <w:szCs w:val="36"/>
        </w:rPr>
        <w:t>编报部门（单位公章）：兰州新区卫生健康委员会</w:t>
      </w:r>
    </w:p>
    <w:p w14:paraId="255865D5">
      <w:pPr>
        <w:spacing w:afterLines="50"/>
        <w:ind w:left="0" w:leftChars="0" w:firstLine="3517" w:firstLineChars="977"/>
        <w:rPr>
          <w:rFonts w:ascii="宋体" w:hAnsi="宋体" w:eastAsia="宋体" w:cs="宋体"/>
          <w:sz w:val="36"/>
          <w:szCs w:val="36"/>
        </w:rPr>
      </w:pPr>
      <w:r>
        <w:rPr>
          <w:rFonts w:hint="eastAsia" w:ascii="宋体" w:hAnsi="宋体" w:eastAsia="宋体" w:cs="宋体"/>
          <w:sz w:val="36"/>
          <w:szCs w:val="36"/>
        </w:rPr>
        <w:t>编报日期：202</w:t>
      </w:r>
      <w:r>
        <w:rPr>
          <w:rFonts w:hint="eastAsia" w:ascii="宋体" w:hAnsi="宋体" w:eastAsia="宋体" w:cs="宋体"/>
          <w:sz w:val="36"/>
          <w:szCs w:val="36"/>
          <w:lang w:val="en-US" w:eastAsia="zh-CN"/>
        </w:rPr>
        <w:t>4</w:t>
      </w:r>
      <w:r>
        <w:rPr>
          <w:rFonts w:hint="eastAsia" w:ascii="宋体" w:hAnsi="宋体" w:eastAsia="宋体" w:cs="宋体"/>
          <w:sz w:val="36"/>
          <w:szCs w:val="36"/>
        </w:rPr>
        <w:t>年3月15日</w:t>
      </w:r>
    </w:p>
    <w:p w14:paraId="43649284">
      <w:pPr>
        <w:ind w:left="0" w:leftChars="0" w:firstLine="3517" w:firstLineChars="977"/>
        <w:rPr>
          <w:rFonts w:ascii="宋体" w:hAnsi="宋体" w:eastAsia="宋体" w:cs="宋体"/>
          <w:sz w:val="36"/>
          <w:szCs w:val="36"/>
        </w:rPr>
      </w:pPr>
      <w:r>
        <w:rPr>
          <w:rFonts w:hint="eastAsia" w:ascii="宋体" w:hAnsi="宋体" w:eastAsia="宋体" w:cs="宋体"/>
          <w:sz w:val="36"/>
          <w:szCs w:val="36"/>
        </w:rPr>
        <w:t>联系人及电话：李芳  18109428955</w:t>
      </w:r>
    </w:p>
    <w:p w14:paraId="57AD8EF7">
      <w:pPr>
        <w:ind w:firstLine="720"/>
        <w:rPr>
          <w:rFonts w:ascii="宋体" w:hAnsi="宋体" w:eastAsia="宋体" w:cs="宋体"/>
          <w:sz w:val="36"/>
          <w:szCs w:val="36"/>
        </w:rPr>
      </w:pPr>
      <w:r>
        <w:rPr>
          <w:rFonts w:hint="eastAsia" w:ascii="宋体" w:hAnsi="宋体" w:eastAsia="宋体" w:cs="宋体"/>
          <w:sz w:val="36"/>
          <w:szCs w:val="36"/>
        </w:rPr>
        <w:br w:type="page"/>
      </w:r>
    </w:p>
    <w:p w14:paraId="0A800A3A">
      <w:pPr>
        <w:pStyle w:val="2"/>
        <w:ind w:firstLine="562"/>
        <w:sectPr>
          <w:headerReference r:id="rId7" w:type="first"/>
          <w:footerReference r:id="rId10" w:type="first"/>
          <w:headerReference r:id="rId5" w:type="default"/>
          <w:footerReference r:id="rId8" w:type="default"/>
          <w:headerReference r:id="rId6" w:type="even"/>
          <w:footerReference r:id="rId9" w:type="even"/>
          <w:pgSz w:w="16838" w:h="11906" w:orient="landscape"/>
          <w:pgMar w:top="1800" w:right="1440" w:bottom="1800" w:left="1440" w:header="851" w:footer="992" w:gutter="0"/>
          <w:cols w:space="720" w:num="1"/>
          <w:docGrid w:type="lines" w:linePitch="312" w:charSpace="0"/>
        </w:sectPr>
      </w:pPr>
    </w:p>
    <w:p w14:paraId="45FEE59C">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年度兰州新区卫生健康委员会</w:t>
      </w:r>
    </w:p>
    <w:p w14:paraId="1F044CEC">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0"/>
        <w:rPr>
          <w:rFonts w:ascii="方正小标宋简体" w:hAnsi="方正小标宋简体" w:eastAsia="方正小标宋简体" w:cs="方正小标宋简体"/>
          <w:sz w:val="44"/>
          <w:szCs w:val="44"/>
        </w:rPr>
      </w:pPr>
      <w:bookmarkStart w:id="0" w:name="_Toc5851"/>
      <w:r>
        <w:rPr>
          <w:rFonts w:hint="eastAsia" w:ascii="方正小标宋简体" w:hAnsi="方正小标宋简体" w:eastAsia="方正小标宋简体" w:cs="方正小标宋简体"/>
          <w:sz w:val="44"/>
          <w:szCs w:val="44"/>
        </w:rPr>
        <w:t>部门预算执行情况自评报告</w:t>
      </w:r>
      <w:bookmarkEnd w:id="0"/>
    </w:p>
    <w:p w14:paraId="673CB889">
      <w:pPr>
        <w:pStyle w:val="14"/>
        <w:ind w:firstLine="0" w:firstLineChars="0"/>
        <w:jc w:val="left"/>
        <w:outlineLvl w:val="1"/>
        <w:rPr>
          <w:rFonts w:hint="eastAsia" w:ascii="黑体" w:hAnsi="黑体"/>
        </w:rPr>
      </w:pPr>
      <w:bookmarkStart w:id="1" w:name="_Toc14281"/>
      <w:bookmarkStart w:id="2" w:name="_Toc11737"/>
      <w:bookmarkStart w:id="3" w:name="_Toc31521"/>
      <w:bookmarkStart w:id="4" w:name="_Toc14512"/>
      <w:bookmarkStart w:id="5" w:name="_Toc27258"/>
    </w:p>
    <w:p w14:paraId="4984E86C">
      <w:pPr>
        <w:pStyle w:val="14"/>
        <w:ind w:firstLine="0" w:firstLineChars="0"/>
        <w:jc w:val="left"/>
        <w:outlineLvl w:val="1"/>
        <w:rPr>
          <w:rFonts w:ascii="黑体" w:hAnsi="黑体"/>
        </w:rPr>
      </w:pPr>
      <w:r>
        <w:rPr>
          <w:rFonts w:hint="eastAsia" w:ascii="黑体" w:hAnsi="黑体"/>
        </w:rPr>
        <w:t>一、基本情况</w:t>
      </w:r>
      <w:bookmarkEnd w:id="1"/>
      <w:bookmarkEnd w:id="2"/>
      <w:bookmarkEnd w:id="3"/>
      <w:bookmarkEnd w:id="4"/>
      <w:bookmarkEnd w:id="5"/>
    </w:p>
    <w:p w14:paraId="1F9E061A">
      <w:pPr>
        <w:ind w:firstLine="0" w:firstLineChars="0"/>
        <w:rPr>
          <w:rFonts w:ascii="楷体_GB2312" w:hAnsi="楷体_GB2312" w:eastAsia="楷体_GB2312" w:cs="楷体_GB2312"/>
          <w:b/>
          <w:bCs/>
          <w:szCs w:val="32"/>
        </w:rPr>
      </w:pPr>
      <w:r>
        <w:rPr>
          <w:rFonts w:hint="eastAsia" w:ascii="楷体_GB2312" w:hAnsi="楷体_GB2312" w:eastAsia="楷体_GB2312" w:cs="楷体_GB2312"/>
          <w:b/>
          <w:bCs/>
          <w:szCs w:val="32"/>
        </w:rPr>
        <w:t>（一）部门主要职能</w:t>
      </w:r>
    </w:p>
    <w:p w14:paraId="1C69CA0F">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1.</w:t>
      </w:r>
      <w:r>
        <w:rPr>
          <w:rFonts w:hint="eastAsia" w:ascii="仿宋_GB2312" w:hAnsi="仿宋_GB2312" w:eastAsia="仿宋_GB2312" w:cs="仿宋_GB2312"/>
          <w:bCs/>
          <w:sz w:val="32"/>
          <w:szCs w:val="32"/>
          <w:shd w:val="clear" w:color="auto" w:fill="FFFFFF"/>
        </w:rPr>
        <w:t>贯彻落实党中央和省卫生健康和中医药事业法律法规和方针政策，统筹规划新区卫生健康资源配置，拟订区域卫生健康规划的编制和实施。制定并组织实施推进卫生健康基本公共服务均等化、普惠化、便捷化和公共资源向基层延伸等政策措施。</w:t>
      </w:r>
    </w:p>
    <w:p w14:paraId="1B58B27E">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2.</w:t>
      </w:r>
      <w:r>
        <w:rPr>
          <w:rFonts w:hint="eastAsia" w:ascii="仿宋_GB2312" w:hAnsi="仿宋_GB2312" w:eastAsia="仿宋_GB2312" w:cs="仿宋_GB2312"/>
          <w:bCs/>
          <w:sz w:val="32"/>
          <w:szCs w:val="32"/>
          <w:shd w:val="clear" w:color="auto" w:fill="FFFFFF"/>
        </w:rPr>
        <w:t>协调推进深化新区医药卫生体制改革，研究提出深化医药卫生体制改革方针、政策、措施的建议。组织深化公立医院综合改革，推进管办分高，健全落实现代医院管理制度，制定并组织实施推动卫生健康公共服务提供主体多元化、提供方式多样化的政策措施，提出医疗服务和药品价格政策的建议。</w:t>
      </w:r>
    </w:p>
    <w:p w14:paraId="178FC3FE">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3.</w:t>
      </w:r>
      <w:r>
        <w:rPr>
          <w:rFonts w:hint="eastAsia" w:ascii="仿宋_GB2312" w:hAnsi="仿宋_GB2312" w:eastAsia="仿宋_GB2312" w:cs="仿宋_GB2312"/>
          <w:bCs/>
          <w:sz w:val="32"/>
          <w:szCs w:val="32"/>
          <w:shd w:val="clear" w:color="auto" w:fill="FFFFFF"/>
        </w:rPr>
        <w:t>制定并组织落实新区疾病预防控制规划、免疫规划以及严重危害人民健康公共卫生问题的干预措施。制定新区卫生应急和紧急医疗救援预案、突发公共卫生事件监测和风险评估方案，负责卫生应急工作，组织和指导新区突发公共卫生事件的预防控制和医疗卫生救援，报告法定传染病疫情和突发公共卫生事件应急处置信息。</w:t>
      </w:r>
    </w:p>
    <w:p w14:paraId="3CD7BD07">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4.</w:t>
      </w:r>
      <w:r>
        <w:rPr>
          <w:rFonts w:hint="eastAsia" w:ascii="仿宋_GB2312" w:hAnsi="仿宋_GB2312" w:eastAsia="仿宋_GB2312" w:cs="仿宋_GB2312"/>
          <w:bCs/>
          <w:sz w:val="32"/>
          <w:szCs w:val="32"/>
          <w:shd w:val="clear" w:color="auto" w:fill="FFFFFF"/>
        </w:rPr>
        <w:t>组织拟订并协调落实应对人口老龄化政策措施，负责推进新区老年健康服务体系建设和医养结合工作。</w:t>
      </w:r>
    </w:p>
    <w:p w14:paraId="49B56DDD">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5.</w:t>
      </w:r>
      <w:r>
        <w:rPr>
          <w:rFonts w:hint="eastAsia" w:ascii="仿宋_GB2312" w:hAnsi="仿宋_GB2312" w:eastAsia="仿宋_GB2312" w:cs="仿宋_GB2312"/>
          <w:bCs/>
          <w:sz w:val="32"/>
          <w:szCs w:val="32"/>
          <w:shd w:val="clear" w:color="auto" w:fill="FFFFFF"/>
        </w:rPr>
        <w:t>贯彻落实国家、省药物政策和国家基本药物制度，开展药品使用监测、临床综合评价和短缺药品预警。组织开展食品安全风险监测评估，负责国家和省食品安全标准的宣传贯彻和迫踪评价。</w:t>
      </w:r>
    </w:p>
    <w:p w14:paraId="0D9E669D">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6.</w:t>
      </w:r>
      <w:r>
        <w:rPr>
          <w:rFonts w:hint="eastAsia" w:ascii="仿宋_GB2312" w:hAnsi="仿宋_GB2312" w:eastAsia="仿宋_GB2312" w:cs="仿宋_GB2312"/>
          <w:bCs/>
          <w:sz w:val="32"/>
          <w:szCs w:val="32"/>
          <w:shd w:val="clear" w:color="auto" w:fill="FFFFFF"/>
        </w:rPr>
        <w:t>负责职责范围内的职业卫生、放射卫生、环境卫生、学校卫生、公共场所卫生、饮用水卫生等公共卫生的监测、调查、评估和监督，负责传染病防治监督，建立健全卫生健康综合监督体系。牵头《烟草控制框架公约》履约工作。</w:t>
      </w:r>
    </w:p>
    <w:p w14:paraId="50406757">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7.</w:t>
      </w:r>
      <w:r>
        <w:rPr>
          <w:rFonts w:hint="eastAsia" w:ascii="仿宋_GB2312" w:hAnsi="仿宋_GB2312" w:eastAsia="仿宋_GB2312" w:cs="仿宋_GB2312"/>
          <w:bCs/>
          <w:sz w:val="32"/>
          <w:szCs w:val="32"/>
          <w:shd w:val="clear" w:color="auto" w:fill="FFFFFF"/>
        </w:rPr>
        <w:t>制定新区医疗机构、医疗服务行业管理办法并监督实施，建立医疗服务评价和监督管理体系。会同有关部门贯彻执行国家、省卫生健康专业技术人员资格标准。制定并组织实施医疗机构服务规范、标准和卫生健康专业技术人员执业规则、服务规范。</w:t>
      </w:r>
    </w:p>
    <w:p w14:paraId="21B26D0A">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8.</w:t>
      </w:r>
      <w:r>
        <w:rPr>
          <w:rFonts w:hint="eastAsia" w:ascii="仿宋_GB2312" w:hAnsi="仿宋_GB2312" w:eastAsia="仿宋_GB2312" w:cs="仿宋_GB2312"/>
          <w:bCs/>
          <w:sz w:val="32"/>
          <w:szCs w:val="32"/>
          <w:shd w:val="clear" w:color="auto" w:fill="FFFFFF"/>
        </w:rPr>
        <w:t>负责新区计划生育管理和服务工作，开展人口监测预警，研究提出人口与家庭发展相关政策建议，组织实施计划生育相关政策。</w:t>
      </w:r>
    </w:p>
    <w:p w14:paraId="532C2AC5">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9.</w:t>
      </w:r>
      <w:r>
        <w:rPr>
          <w:rFonts w:hint="eastAsia" w:ascii="仿宋_GB2312" w:hAnsi="仿宋_GB2312" w:eastAsia="仿宋_GB2312" w:cs="仿宋_GB2312"/>
          <w:bCs/>
          <w:sz w:val="32"/>
          <w:szCs w:val="32"/>
          <w:shd w:val="clear" w:color="auto" w:fill="FFFFFF"/>
        </w:rPr>
        <w:t>拟订并实施新区基层卫生、妇幼健康发展规划和政策措施，指导新区基层卫生、妇幼健康服务体系和全科医生队伍建设。拟订新区卫生健康科技发展规划，组织实施相关科研项目；推进卫生健康科技创新发展。</w:t>
      </w:r>
    </w:p>
    <w:p w14:paraId="176C9DE2">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10.</w:t>
      </w:r>
      <w:r>
        <w:rPr>
          <w:rFonts w:hint="eastAsia" w:ascii="仿宋_GB2312" w:hAnsi="仿宋_GB2312" w:eastAsia="仿宋_GB2312" w:cs="仿宋_GB2312"/>
          <w:bCs/>
          <w:sz w:val="32"/>
          <w:szCs w:val="32"/>
          <w:shd w:val="clear" w:color="auto" w:fill="FFFFFF"/>
        </w:rPr>
        <w:t>负责卫生健康宣传教育、健康促进和信息化建设等工作，依法组织实施卫生健康统计调查。组织指导卫生行业国际交流合作与援外工作，开展与港澳台的交流与合作。</w:t>
      </w:r>
    </w:p>
    <w:p w14:paraId="6D770BC7">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11.</w:t>
      </w:r>
      <w:r>
        <w:rPr>
          <w:rFonts w:hint="eastAsia" w:ascii="仿宋_GB2312" w:hAnsi="仿宋_GB2312" w:eastAsia="仿宋_GB2312" w:cs="仿宋_GB2312"/>
          <w:bCs/>
          <w:sz w:val="32"/>
          <w:szCs w:val="32"/>
          <w:shd w:val="clear" w:color="auto" w:fill="FFFFFF"/>
        </w:rPr>
        <w:t>制定并组织实施新区中医药事业产业发展规划。完善中医药发展政策措施，加强医疗机构和公共卫生领域的中医药建设，加大中医药人才培养力度，协调推进中医药服务贸易和中医药相关产业建设。</w:t>
      </w:r>
    </w:p>
    <w:p w14:paraId="019E6971">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12.</w:t>
      </w:r>
      <w:r>
        <w:rPr>
          <w:rFonts w:hint="eastAsia" w:ascii="仿宋_GB2312" w:hAnsi="仿宋_GB2312" w:eastAsia="仿宋_GB2312" w:cs="仿宋_GB2312"/>
          <w:bCs/>
          <w:sz w:val="32"/>
          <w:szCs w:val="32"/>
          <w:shd w:val="clear" w:color="auto" w:fill="FFFFFF"/>
        </w:rPr>
        <w:t>负责新区确定的保健对象的医疗保健工作，承担新区重大会议和重大活动的医疗卫生保障工作。</w:t>
      </w:r>
    </w:p>
    <w:p w14:paraId="7600986D">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13.</w:t>
      </w:r>
      <w:r>
        <w:rPr>
          <w:rFonts w:hint="eastAsia" w:ascii="仿宋_GB2312" w:hAnsi="仿宋_GB2312" w:eastAsia="仿宋_GB2312" w:cs="仿宋_GB2312"/>
          <w:bCs/>
          <w:sz w:val="32"/>
          <w:szCs w:val="32"/>
          <w:shd w:val="clear" w:color="auto" w:fill="FFFFFF"/>
        </w:rPr>
        <w:t>负责公众健康权益保障工作，维护患者在就医过程中的基本权益和老年人合法权益。</w:t>
      </w:r>
    </w:p>
    <w:p w14:paraId="7D61A4D2">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14.</w:t>
      </w:r>
      <w:r>
        <w:rPr>
          <w:rFonts w:hint="eastAsia" w:ascii="仿宋_GB2312" w:hAnsi="仿宋_GB2312" w:eastAsia="仿宋_GB2312" w:cs="仿宋_GB2312"/>
          <w:bCs/>
          <w:sz w:val="32"/>
          <w:szCs w:val="32"/>
          <w:shd w:val="clear" w:color="auto" w:fill="FFFFFF"/>
        </w:rPr>
        <w:t>负责新区红十字会的业务工作。</w:t>
      </w:r>
    </w:p>
    <w:p w14:paraId="1F6729F1">
      <w:pPr>
        <w:pStyle w:val="13"/>
        <w:widowControl/>
        <w:spacing w:before="0" w:beforeAutospacing="0" w:after="0" w:afterAutospacing="0" w:line="560" w:lineRule="exact"/>
        <w:ind w:firstLine="800" w:firstLineChars="250"/>
        <w:jc w:val="both"/>
        <w:rPr>
          <w:rFonts w:hint="eastAsia" w:ascii="仿宋_GB2312" w:hAnsi="仿宋_GB2312" w:eastAsia="仿宋_GB2312" w:cs="仿宋_GB2312"/>
          <w:bCs/>
          <w:sz w:val="32"/>
          <w:szCs w:val="32"/>
          <w:shd w:val="clear" w:color="auto" w:fill="FFFFFF"/>
        </w:rPr>
      </w:pPr>
      <w:r>
        <w:rPr>
          <w:rFonts w:hint="eastAsia" w:cs="仿宋_GB2312"/>
          <w:bCs/>
          <w:sz w:val="32"/>
          <w:szCs w:val="32"/>
          <w:shd w:val="clear" w:color="auto" w:fill="FFFFFF"/>
          <w:lang w:val="en-US" w:eastAsia="zh-CN"/>
        </w:rPr>
        <w:t>15.</w:t>
      </w:r>
      <w:r>
        <w:rPr>
          <w:rFonts w:hint="eastAsia" w:ascii="仿宋_GB2312" w:hAnsi="仿宋_GB2312" w:eastAsia="仿宋_GB2312" w:cs="仿宋_GB2312"/>
          <w:bCs/>
          <w:sz w:val="32"/>
          <w:szCs w:val="32"/>
          <w:shd w:val="clear" w:color="auto" w:fill="FFFFFF"/>
        </w:rPr>
        <w:t>负责新区爱国卫生运动委员会的业务工作。</w:t>
      </w:r>
    </w:p>
    <w:p w14:paraId="351EE649">
      <w:pPr>
        <w:rPr>
          <w:rFonts w:ascii="楷体_GB2312" w:hAnsi="楷体_GB2312" w:eastAsia="楷体_GB2312" w:cs="楷体_GB2312"/>
          <w:b/>
          <w:bCs/>
          <w:szCs w:val="32"/>
        </w:rPr>
      </w:pPr>
      <w:r>
        <w:rPr>
          <w:rFonts w:hint="eastAsia" w:ascii="楷体_GB2312" w:hAnsi="楷体_GB2312" w:eastAsia="楷体_GB2312" w:cs="楷体_GB2312"/>
          <w:b/>
          <w:bCs/>
          <w:szCs w:val="32"/>
        </w:rPr>
        <w:t>（二）内设机构及所属单位概况。</w:t>
      </w:r>
    </w:p>
    <w:p w14:paraId="36E15650">
      <w:pPr>
        <w:autoSpaceDN w:val="0"/>
        <w:rPr>
          <w:rFonts w:cs="仿宋_GB2312"/>
          <w:bCs/>
          <w:sz w:val="32"/>
          <w:szCs w:val="32"/>
          <w:shd w:val="clear" w:color="auto" w:fill="FFFFFF"/>
        </w:rPr>
      </w:pPr>
      <w:r>
        <w:rPr>
          <w:rFonts w:hint="eastAsia" w:ascii="仿宋_GB2312" w:hAnsi="宋体" w:eastAsia="仿宋_GB2312"/>
          <w:bCs/>
          <w:sz w:val="32"/>
          <w:szCs w:val="32"/>
        </w:rPr>
        <w:t>我委于2012年12月20日正式成立运行，</w:t>
      </w:r>
      <w:r>
        <w:rPr>
          <w:rFonts w:hint="eastAsia" w:ascii="仿宋_GB2312" w:hAnsi="仿宋_GB2312" w:eastAsia="仿宋_GB2312" w:cs="仿宋_GB2312"/>
          <w:sz w:val="32"/>
          <w:szCs w:val="32"/>
          <w:lang w:bidi="ar"/>
        </w:rPr>
        <w:t>兰州市机构编制委员会《关于调整兰州新区机构的通知》(兰</w:t>
      </w:r>
      <w:r>
        <w:rPr>
          <w:rFonts w:hint="eastAsia" w:ascii="仿宋_GB2312" w:hAnsi="宋体" w:eastAsia="仿宋_GB2312"/>
          <w:bCs/>
          <w:sz w:val="32"/>
          <w:szCs w:val="32"/>
        </w:rPr>
        <w:t>机编字〔2012〕48号)文件精神，内设机构有</w:t>
      </w:r>
      <w:r>
        <w:rPr>
          <w:rFonts w:hint="eastAsia" w:ascii="仿宋_GB2312" w:hAnsi="仿宋_GB2312" w:eastAsia="仿宋_GB2312" w:cs="仿宋_GB2312"/>
          <w:bCs/>
          <w:sz w:val="32"/>
          <w:szCs w:val="32"/>
          <w:shd w:val="clear" w:color="auto" w:fill="FFFFFF"/>
        </w:rPr>
        <w:t>办公室</w:t>
      </w:r>
      <w:r>
        <w:rPr>
          <w:rFonts w:hint="eastAsia" w:ascii="仿宋_GB2312" w:hAnsi="宋体" w:eastAsia="仿宋_GB2312"/>
          <w:bCs/>
          <w:sz w:val="32"/>
          <w:szCs w:val="32"/>
        </w:rPr>
        <w:t>、</w:t>
      </w:r>
      <w:r>
        <w:rPr>
          <w:rFonts w:hint="eastAsia" w:ascii="仿宋_GB2312" w:hAnsi="仿宋_GB2312" w:eastAsia="仿宋_GB2312" w:cs="仿宋_GB2312"/>
          <w:bCs/>
          <w:sz w:val="32"/>
          <w:szCs w:val="32"/>
          <w:shd w:val="clear" w:color="auto" w:fill="FFFFFF"/>
        </w:rPr>
        <w:t>党群人事工作科</w:t>
      </w:r>
      <w:r>
        <w:rPr>
          <w:rFonts w:hint="eastAsia" w:cs="仿宋_GB2312"/>
          <w:bCs/>
          <w:sz w:val="32"/>
          <w:szCs w:val="32"/>
          <w:shd w:val="clear" w:color="auto" w:fill="FFFFFF"/>
          <w:lang w:eastAsia="zh-CN"/>
        </w:rPr>
        <w:t>、</w:t>
      </w:r>
      <w:r>
        <w:rPr>
          <w:rFonts w:hint="eastAsia" w:ascii="仿宋_GB2312" w:hAnsi="仿宋_GB2312" w:eastAsia="仿宋_GB2312" w:cs="仿宋_GB2312"/>
          <w:bCs/>
          <w:sz w:val="32"/>
          <w:szCs w:val="32"/>
          <w:shd w:val="clear" w:color="auto" w:fill="FFFFFF"/>
        </w:rPr>
        <w:t>发展规划科</w:t>
      </w:r>
      <w:r>
        <w:rPr>
          <w:rFonts w:hint="eastAsia" w:ascii="仿宋_GB2312" w:hAnsi="宋体" w:eastAsia="仿宋_GB2312"/>
          <w:bCs/>
          <w:sz w:val="32"/>
          <w:szCs w:val="32"/>
        </w:rPr>
        <w:t>、</w:t>
      </w:r>
      <w:r>
        <w:rPr>
          <w:rFonts w:hint="eastAsia" w:ascii="仿宋_GB2312" w:hAnsi="仿宋_GB2312" w:eastAsia="仿宋_GB2312" w:cs="仿宋_GB2312"/>
          <w:bCs/>
          <w:sz w:val="32"/>
          <w:szCs w:val="32"/>
          <w:shd w:val="clear" w:color="auto" w:fill="FFFFFF"/>
        </w:rPr>
        <w:t>法制监督与职业健康科</w:t>
      </w:r>
      <w:r>
        <w:rPr>
          <w:rFonts w:hint="eastAsia" w:ascii="仿宋_GB2312" w:hAnsi="宋体" w:eastAsia="仿宋_GB2312"/>
          <w:bCs/>
          <w:sz w:val="32"/>
          <w:szCs w:val="32"/>
        </w:rPr>
        <w:t>、</w:t>
      </w:r>
      <w:r>
        <w:rPr>
          <w:rFonts w:hint="eastAsia" w:ascii="仿宋_GB2312" w:hAnsi="仿宋_GB2312" w:eastAsia="仿宋_GB2312" w:cs="仿宋_GB2312"/>
          <w:bCs/>
          <w:sz w:val="32"/>
          <w:szCs w:val="32"/>
          <w:shd w:val="clear" w:color="auto" w:fill="FFFFFF"/>
        </w:rPr>
        <w:t>疾控与健康教育科</w:t>
      </w:r>
      <w:r>
        <w:rPr>
          <w:rFonts w:hint="eastAsia" w:ascii="仿宋_GB2312" w:hAnsi="宋体" w:eastAsia="仿宋_GB2312"/>
          <w:bCs/>
          <w:sz w:val="32"/>
          <w:szCs w:val="32"/>
        </w:rPr>
        <w:t>、</w:t>
      </w:r>
      <w:r>
        <w:rPr>
          <w:rFonts w:hint="eastAsia" w:ascii="仿宋_GB2312" w:hAnsi="仿宋_GB2312" w:eastAsia="仿宋_GB2312" w:cs="仿宋_GB2312"/>
          <w:bCs/>
          <w:sz w:val="32"/>
          <w:szCs w:val="32"/>
          <w:shd w:val="clear" w:color="auto" w:fill="FFFFFF"/>
        </w:rPr>
        <w:t>医政医管科（新区红十字会办公室)</w:t>
      </w:r>
      <w:r>
        <w:rPr>
          <w:rFonts w:hint="eastAsia" w:ascii="仿宋_GB2312" w:hAnsi="宋体" w:eastAsia="仿宋_GB2312"/>
          <w:bCs/>
          <w:sz w:val="32"/>
          <w:szCs w:val="32"/>
        </w:rPr>
        <w:t>、</w:t>
      </w:r>
      <w:r>
        <w:rPr>
          <w:rFonts w:hint="eastAsia" w:ascii="仿宋_GB2312" w:hAnsi="仿宋_GB2312" w:eastAsia="仿宋_GB2312" w:cs="仿宋_GB2312"/>
          <w:bCs/>
          <w:sz w:val="32"/>
          <w:szCs w:val="32"/>
          <w:shd w:val="clear" w:color="auto" w:fill="FFFFFF"/>
        </w:rPr>
        <w:t>基层妇幼与家庭发展科</w:t>
      </w:r>
      <w:r>
        <w:rPr>
          <w:rFonts w:hint="eastAsia" w:hAnsi="宋体"/>
          <w:bCs/>
          <w:sz w:val="32"/>
          <w:szCs w:val="32"/>
          <w:lang w:eastAsia="zh-CN"/>
        </w:rPr>
        <w:t>。</w:t>
      </w:r>
      <w:r>
        <w:rPr>
          <w:rFonts w:hint="eastAsia" w:ascii="仿宋_GB2312" w:hAnsi="宋体" w:eastAsia="仿宋_GB2312"/>
          <w:bCs/>
          <w:sz w:val="32"/>
          <w:szCs w:val="32"/>
        </w:rPr>
        <w:t>兰州新区卫生健康委员会全委现有</w:t>
      </w:r>
      <w:r>
        <w:rPr>
          <w:rFonts w:hint="eastAsia" w:hAnsi="宋体"/>
          <w:bCs/>
          <w:sz w:val="32"/>
          <w:szCs w:val="32"/>
          <w:lang w:val="en-US" w:eastAsia="zh-CN"/>
        </w:rPr>
        <w:t>30</w:t>
      </w:r>
      <w:r>
        <w:rPr>
          <w:rFonts w:hint="eastAsia" w:ascii="仿宋_GB2312" w:hAnsi="宋体" w:eastAsia="仿宋_GB2312"/>
          <w:bCs/>
          <w:sz w:val="32"/>
          <w:szCs w:val="32"/>
        </w:rPr>
        <w:t>名干部，其中</w:t>
      </w:r>
      <w:r>
        <w:rPr>
          <w:rFonts w:hint="eastAsia" w:ascii="仿宋_GB2312" w:hAnsi="仿宋_GB2312" w:eastAsia="仿宋_GB2312" w:cs="仿宋_GB2312"/>
          <w:bCs/>
          <w:sz w:val="32"/>
          <w:szCs w:val="32"/>
          <w:shd w:val="clear" w:color="auto" w:fill="FFFFFF"/>
        </w:rPr>
        <w:t>县处级正职1人，三级调研员3人，县处级副职1人，四级调研员1人，乡科级正职5人，二级主任科员2人，乡科级副职10人，四级主任科员3人，科员4人，合计30人。</w:t>
      </w:r>
      <w:r>
        <w:rPr>
          <w:rFonts w:hint="eastAsia" w:ascii="仿宋_GB2312" w:hAnsi="宋体" w:eastAsia="仿宋_GB2312"/>
          <w:bCs/>
          <w:sz w:val="32"/>
          <w:szCs w:val="32"/>
        </w:rPr>
        <w:t>全委党员</w:t>
      </w:r>
      <w:r>
        <w:rPr>
          <w:rFonts w:hint="eastAsia" w:hAnsi="宋体"/>
          <w:bCs/>
          <w:sz w:val="32"/>
          <w:szCs w:val="32"/>
          <w:lang w:val="en-US" w:eastAsia="zh-CN"/>
        </w:rPr>
        <w:t>25</w:t>
      </w:r>
      <w:r>
        <w:rPr>
          <w:rFonts w:hint="eastAsia" w:ascii="仿宋_GB2312" w:hAnsi="宋体" w:eastAsia="仿宋_GB2312"/>
          <w:bCs/>
          <w:sz w:val="32"/>
          <w:szCs w:val="32"/>
        </w:rPr>
        <w:t>名。</w:t>
      </w:r>
      <w:r>
        <w:rPr>
          <w:rFonts w:hint="eastAsia" w:cs="仿宋_GB2312"/>
          <w:bCs/>
          <w:sz w:val="32"/>
          <w:szCs w:val="32"/>
          <w:shd w:val="clear" w:color="auto" w:fill="FFFFFF"/>
          <w:lang w:eastAsia="zh-CN"/>
        </w:rPr>
        <w:t>辖区内</w:t>
      </w:r>
      <w:r>
        <w:rPr>
          <w:rFonts w:hint="eastAsia" w:cs="仿宋_GB2312"/>
          <w:bCs/>
          <w:sz w:val="32"/>
          <w:szCs w:val="32"/>
          <w:shd w:val="clear" w:color="auto" w:fill="FFFFFF"/>
          <w:lang w:val="en-US" w:eastAsia="zh-CN"/>
        </w:rPr>
        <w:t>2家</w:t>
      </w:r>
      <w:r>
        <w:rPr>
          <w:rFonts w:hint="eastAsia" w:cs="仿宋_GB2312"/>
          <w:bCs/>
          <w:sz w:val="32"/>
          <w:szCs w:val="32"/>
          <w:shd w:val="clear" w:color="auto" w:fill="FFFFFF"/>
        </w:rPr>
        <w:t>直属事业单位：兰州新区疾病预防控制中心</w:t>
      </w:r>
      <w:r>
        <w:rPr>
          <w:rFonts w:hint="eastAsia" w:cs="仿宋_GB2312"/>
          <w:bCs/>
          <w:sz w:val="32"/>
          <w:szCs w:val="32"/>
          <w:shd w:val="clear" w:color="auto" w:fill="FFFFFF"/>
          <w:lang w:eastAsia="zh-CN"/>
        </w:rPr>
        <w:t>和兰州新区第一人民医院；</w:t>
      </w:r>
      <w:r>
        <w:rPr>
          <w:rFonts w:hint="eastAsia" w:cs="仿宋_GB2312"/>
          <w:bCs/>
          <w:sz w:val="32"/>
          <w:szCs w:val="32"/>
          <w:shd w:val="clear" w:color="auto" w:fill="FFFFFF"/>
          <w:lang w:val="en-US" w:eastAsia="zh-CN"/>
        </w:rPr>
        <w:t>8家基层医疗机构：中川镇卫生院、秦川中心卫生院、西岔中心卫生院、上川镇卫生院、瑞岭雅苑社区卫生服务中心、新安社区卫生服务中心、栖霞社区卫生服务中心、西岔综合门诊部</w:t>
      </w:r>
      <w:r>
        <w:rPr>
          <w:rFonts w:hint="eastAsia" w:cs="仿宋_GB2312"/>
          <w:bCs/>
          <w:sz w:val="32"/>
          <w:szCs w:val="32"/>
          <w:shd w:val="clear" w:color="auto" w:fill="FFFFFF"/>
        </w:rPr>
        <w:t>。</w:t>
      </w:r>
    </w:p>
    <w:p w14:paraId="058EF329">
      <w:pPr>
        <w:ind w:firstLine="0" w:firstLineChars="0"/>
        <w:outlineLvl w:val="1"/>
        <w:rPr>
          <w:rFonts w:ascii="黑体" w:hAnsi="黑体" w:eastAsia="黑体" w:cs="黑体"/>
          <w:b/>
          <w:bCs/>
          <w:szCs w:val="32"/>
        </w:rPr>
      </w:pPr>
      <w:r>
        <w:rPr>
          <w:rFonts w:hint="eastAsia" w:ascii="黑体" w:hAnsi="黑体" w:eastAsia="黑体" w:cs="黑体"/>
          <w:b/>
          <w:bCs/>
          <w:szCs w:val="32"/>
        </w:rPr>
        <w:t>二、绩效自评工作组织开展情况</w:t>
      </w:r>
    </w:p>
    <w:p w14:paraId="7F4C7A6B">
      <w:pPr>
        <w:ind w:firstLine="643"/>
        <w:rPr>
          <w:b/>
          <w:bCs/>
        </w:rPr>
      </w:pPr>
      <w:r>
        <w:rPr>
          <w:rFonts w:hint="eastAsia"/>
          <w:b/>
          <w:bCs/>
        </w:rPr>
        <w:t>（1）下发自评通知</w:t>
      </w:r>
    </w:p>
    <w:p w14:paraId="47A0A9A8">
      <w:r>
        <w:rPr>
          <w:rFonts w:hint="eastAsia"/>
        </w:rPr>
        <w:t>根据《</w:t>
      </w:r>
      <w:r>
        <w:rPr>
          <w:rFonts w:hint="eastAsia"/>
          <w:lang w:eastAsia="zh-CN"/>
        </w:rPr>
        <w:t>兰州新区财政局关于开展</w:t>
      </w:r>
      <w:r>
        <w:rPr>
          <w:rFonts w:hint="eastAsia"/>
          <w:lang w:val="en-US" w:eastAsia="zh-CN"/>
        </w:rPr>
        <w:t>2023年度预算执行绩效单位自评工作的通知</w:t>
      </w:r>
      <w:r>
        <w:rPr>
          <w:rFonts w:hint="eastAsia"/>
        </w:rPr>
        <w:t>》（</w:t>
      </w:r>
      <w:r>
        <w:rPr>
          <w:rFonts w:hint="eastAsia"/>
          <w:lang w:eastAsia="zh-CN"/>
        </w:rPr>
        <w:t>兰新财发〔</w:t>
      </w:r>
      <w:r>
        <w:rPr>
          <w:rFonts w:hint="eastAsia"/>
          <w:lang w:val="en-US" w:eastAsia="zh-CN"/>
        </w:rPr>
        <w:t>2024</w:t>
      </w:r>
      <w:r>
        <w:rPr>
          <w:rFonts w:hint="eastAsia"/>
          <w:lang w:eastAsia="zh-CN"/>
        </w:rPr>
        <w:t>〕</w:t>
      </w:r>
      <w:r>
        <w:rPr>
          <w:rFonts w:hint="eastAsia"/>
        </w:rPr>
        <w:t>3</w:t>
      </w:r>
      <w:r>
        <w:rPr>
          <w:rFonts w:hint="eastAsia"/>
          <w:lang w:val="en-US" w:eastAsia="zh-CN"/>
        </w:rPr>
        <w:t>5</w:t>
      </w:r>
      <w:r>
        <w:rPr>
          <w:rFonts w:hint="eastAsia"/>
        </w:rPr>
        <w:t>号）要求，为做好本次绩效自评工作，兰州新区卫生健康委员会于202</w:t>
      </w:r>
      <w:r>
        <w:rPr>
          <w:rFonts w:hint="eastAsia"/>
          <w:lang w:val="en-US" w:eastAsia="zh-CN"/>
        </w:rPr>
        <w:t>4</w:t>
      </w:r>
      <w:r>
        <w:rPr>
          <w:rFonts w:hint="eastAsia"/>
        </w:rPr>
        <w:t>年</w:t>
      </w:r>
      <w:r>
        <w:rPr>
          <w:rFonts w:hint="eastAsia"/>
          <w:lang w:val="en-US" w:eastAsia="zh-CN"/>
        </w:rPr>
        <w:t>3</w:t>
      </w:r>
      <w:r>
        <w:rPr>
          <w:rFonts w:hint="eastAsia"/>
        </w:rPr>
        <w:t>月</w:t>
      </w:r>
      <w:r>
        <w:rPr>
          <w:rFonts w:hint="eastAsia"/>
          <w:lang w:val="en-US" w:eastAsia="zh-CN"/>
        </w:rPr>
        <w:t>1</w:t>
      </w:r>
      <w:r>
        <w:rPr>
          <w:rFonts w:hint="eastAsia"/>
        </w:rPr>
        <w:t>日向相关处室、事业单位</w:t>
      </w:r>
      <w:r>
        <w:rPr>
          <w:rFonts w:hint="eastAsia"/>
          <w:lang w:eastAsia="zh-CN"/>
        </w:rPr>
        <w:t>转</w:t>
      </w:r>
      <w:r>
        <w:rPr>
          <w:rFonts w:hint="eastAsia"/>
        </w:rPr>
        <w:t>发</w:t>
      </w:r>
      <w:r>
        <w:rPr>
          <w:rFonts w:hint="eastAsia"/>
          <w:lang w:eastAsia="zh-CN"/>
        </w:rPr>
        <w:t>了</w:t>
      </w:r>
      <w:r>
        <w:rPr>
          <w:rFonts w:hint="eastAsia"/>
        </w:rPr>
        <w:t>《</w:t>
      </w:r>
      <w:r>
        <w:rPr>
          <w:rFonts w:hint="eastAsia"/>
          <w:lang w:eastAsia="zh-CN"/>
        </w:rPr>
        <w:t>兰州新区财政局关于开展</w:t>
      </w:r>
      <w:r>
        <w:rPr>
          <w:rFonts w:hint="eastAsia"/>
          <w:lang w:val="en-US" w:eastAsia="zh-CN"/>
        </w:rPr>
        <w:t>2023年度预算执行绩效单位自评工作的通知</w:t>
      </w:r>
      <w:r>
        <w:rPr>
          <w:rFonts w:hint="eastAsia"/>
        </w:rPr>
        <w:t>》，对绩效自评工作内容、要求及应提交的成果等进行明确。</w:t>
      </w:r>
    </w:p>
    <w:p w14:paraId="68CDB1AA">
      <w:pPr>
        <w:ind w:firstLine="643"/>
        <w:rPr>
          <w:b/>
          <w:bCs/>
        </w:rPr>
      </w:pPr>
      <w:r>
        <w:rPr>
          <w:rFonts w:hint="eastAsia"/>
          <w:b/>
          <w:bCs/>
        </w:rPr>
        <w:t>（2）现场指导</w:t>
      </w:r>
    </w:p>
    <w:p w14:paraId="44FFB87E">
      <w:r>
        <w:rPr>
          <w:rFonts w:hint="eastAsia"/>
        </w:rPr>
        <w:t>针对本次绩效自评工作要求，兰州新区卫生健康委员会组织人员采用现场指导的方式对各单位绩效自评工作给予指导，完成对部门及项目绩效自评表填写格式、指标设置、内容填写和自评报告撰写进行指导说明，保障此次绩效自评工作的质量及完成的及时性。</w:t>
      </w:r>
    </w:p>
    <w:p w14:paraId="4A71F6F4">
      <w:pPr>
        <w:ind w:firstLine="643"/>
        <w:rPr>
          <w:b/>
          <w:bCs/>
        </w:rPr>
      </w:pPr>
      <w:r>
        <w:rPr>
          <w:rFonts w:hint="eastAsia"/>
          <w:b/>
          <w:bCs/>
        </w:rPr>
        <w:t>（3）绩效自评打分</w:t>
      </w:r>
    </w:p>
    <w:p w14:paraId="4DFAB7D7">
      <w:r>
        <w:rPr>
          <w:rFonts w:hint="eastAsia"/>
        </w:rPr>
        <w:t>我委通过对收集到资料的整理分析，进行绩效自评打分，形成《预算项目支出绩效自评表》和《部门（单位）整体支出绩效自评表》。部门与项目绩效自评评价结果根据“甘财绩〔2020〕3号”文要求，采用评分和评级相结合的方式，总分设置为100分，等级一般划分为四挡：90分（含）-100分为优、80分（含）-90分为良、60分（含）-80分为中、60分以下为差。</w:t>
      </w:r>
    </w:p>
    <w:p w14:paraId="14D6A176">
      <w:pPr>
        <w:ind w:firstLine="643"/>
        <w:rPr>
          <w:b/>
          <w:bCs/>
        </w:rPr>
      </w:pPr>
      <w:r>
        <w:rPr>
          <w:rFonts w:hint="eastAsia"/>
          <w:b/>
          <w:bCs/>
        </w:rPr>
        <w:t>（4）撰写绩效自评报告</w:t>
      </w:r>
    </w:p>
    <w:p w14:paraId="4A5DFC56">
      <w:r>
        <w:rPr>
          <w:rFonts w:hint="eastAsia" w:hAnsi="Geneva" w:cs="仿宋_GB2312"/>
          <w:kern w:val="0"/>
          <w:szCs w:val="32"/>
        </w:rPr>
        <w:t>根据绩效自评结果，结合各项数据资料，对兰州新区卫生健康委员会202</w:t>
      </w:r>
      <w:r>
        <w:rPr>
          <w:rFonts w:hint="eastAsia" w:hAnsi="Geneva" w:cs="仿宋_GB2312"/>
          <w:kern w:val="0"/>
          <w:szCs w:val="32"/>
          <w:lang w:val="en-US" w:eastAsia="zh-CN"/>
        </w:rPr>
        <w:t>3</w:t>
      </w:r>
      <w:r>
        <w:rPr>
          <w:rFonts w:hint="eastAsia" w:hAnsi="Geneva" w:cs="仿宋_GB2312"/>
          <w:kern w:val="0"/>
          <w:szCs w:val="32"/>
        </w:rPr>
        <w:t>年度部门整体预算执行情况、部门预算项目实施情况、自评情况进行综合分析，按要求撰写形成部门预算执行情况绩效自评报告并</w:t>
      </w:r>
      <w:r>
        <w:rPr>
          <w:rFonts w:hint="eastAsia"/>
        </w:rPr>
        <w:t>上报</w:t>
      </w:r>
      <w:r>
        <w:rPr>
          <w:rFonts w:hint="eastAsia"/>
          <w:lang w:eastAsia="zh-CN"/>
        </w:rPr>
        <w:t>新区财政局</w:t>
      </w:r>
      <w:r>
        <w:rPr>
          <w:rFonts w:hint="eastAsia"/>
        </w:rPr>
        <w:t>。</w:t>
      </w:r>
    </w:p>
    <w:p w14:paraId="291BFC8A">
      <w:pPr>
        <w:ind w:firstLine="0" w:firstLineChars="0"/>
        <w:outlineLvl w:val="1"/>
        <w:rPr>
          <w:rFonts w:ascii="黑体" w:hAnsi="黑体" w:eastAsia="黑体" w:cs="黑体"/>
          <w:b/>
          <w:bCs/>
          <w:szCs w:val="32"/>
        </w:rPr>
      </w:pPr>
      <w:r>
        <w:rPr>
          <w:rFonts w:hint="eastAsia" w:ascii="黑体" w:hAnsi="黑体" w:eastAsia="黑体" w:cs="黑体"/>
          <w:b/>
          <w:bCs/>
          <w:szCs w:val="32"/>
        </w:rPr>
        <w:t>三、部门整体支出绩效自评情况分析</w:t>
      </w:r>
    </w:p>
    <w:p w14:paraId="6D3B2E9D">
      <w:pPr>
        <w:ind w:firstLine="0" w:firstLineChars="0"/>
        <w:rPr>
          <w:rFonts w:ascii="楷体_GB2312" w:hAnsi="楷体_GB2312" w:eastAsia="楷体_GB2312" w:cs="楷体_GB2312"/>
          <w:b/>
          <w:bCs/>
          <w:szCs w:val="32"/>
        </w:rPr>
      </w:pPr>
      <w:r>
        <w:rPr>
          <w:rFonts w:hint="eastAsia" w:ascii="楷体_GB2312" w:hAnsi="楷体_GB2312" w:eastAsia="楷体_GB2312" w:cs="楷体_GB2312"/>
          <w:b/>
          <w:bCs/>
          <w:szCs w:val="32"/>
        </w:rPr>
        <w:t>（一）部门决算情况。</w:t>
      </w:r>
    </w:p>
    <w:p w14:paraId="202210CE">
      <w:pPr>
        <w:ind w:firstLine="643"/>
        <w:rPr>
          <w:b/>
          <w:bCs/>
        </w:rPr>
      </w:pPr>
      <w:r>
        <w:rPr>
          <w:rFonts w:hint="eastAsia"/>
          <w:b/>
          <w:bCs/>
        </w:rPr>
        <w:t>1.收入决算情况</w:t>
      </w:r>
    </w:p>
    <w:p w14:paraId="492E665A">
      <w:pPr>
        <w:jc w:val="both"/>
      </w:pPr>
      <w:r>
        <w:rPr>
          <w:rFonts w:hint="eastAsia"/>
        </w:rPr>
        <w:t>202</w:t>
      </w:r>
      <w:r>
        <w:rPr>
          <w:rFonts w:hint="eastAsia"/>
          <w:lang w:val="en-US" w:eastAsia="zh-CN"/>
        </w:rPr>
        <w:t>3</w:t>
      </w:r>
      <w:r>
        <w:rPr>
          <w:rFonts w:hint="eastAsia"/>
        </w:rPr>
        <w:t>年度兰州新区卫生健康委员会收入合计为</w:t>
      </w:r>
      <w:r>
        <w:rPr>
          <w:rFonts w:hint="eastAsia"/>
          <w:lang w:val="en-US" w:eastAsia="zh-CN"/>
        </w:rPr>
        <w:t>11550.73</w:t>
      </w:r>
      <w:r>
        <w:rPr>
          <w:rFonts w:hint="eastAsia"/>
        </w:rPr>
        <w:t>万元，其中一般公共预算财政拨款收入</w:t>
      </w:r>
      <w:r>
        <w:rPr>
          <w:rFonts w:hint="eastAsia"/>
          <w:lang w:val="en-US" w:eastAsia="zh-CN"/>
        </w:rPr>
        <w:t>11387.16</w:t>
      </w:r>
      <w:r>
        <w:rPr>
          <w:rFonts w:hint="eastAsia"/>
        </w:rPr>
        <w:t>万元</w:t>
      </w:r>
      <w:r>
        <w:rPr>
          <w:rFonts w:hint="eastAsia"/>
          <w:lang w:eastAsia="zh-CN"/>
        </w:rPr>
        <w:t>，其他收入</w:t>
      </w:r>
      <w:r>
        <w:rPr>
          <w:rFonts w:hint="eastAsia"/>
          <w:lang w:val="en-US" w:eastAsia="zh-CN"/>
        </w:rPr>
        <w:t>136.03万元</w:t>
      </w:r>
      <w:r>
        <w:rPr>
          <w:rFonts w:hint="eastAsia"/>
        </w:rPr>
        <w:t>。年初结转和结余</w:t>
      </w:r>
      <w:r>
        <w:rPr>
          <w:rFonts w:hint="eastAsia"/>
          <w:lang w:val="en-US" w:eastAsia="zh-CN"/>
        </w:rPr>
        <w:t>27.55</w:t>
      </w:r>
      <w:r>
        <w:rPr>
          <w:rFonts w:hint="eastAsia"/>
        </w:rPr>
        <w:t>万元，202</w:t>
      </w:r>
      <w:r>
        <w:rPr>
          <w:rFonts w:hint="eastAsia"/>
          <w:lang w:val="en-US" w:eastAsia="zh-CN"/>
        </w:rPr>
        <w:t>3</w:t>
      </w:r>
      <w:r>
        <w:rPr>
          <w:rFonts w:hint="eastAsia"/>
        </w:rPr>
        <w:t>年度收入总计为</w:t>
      </w:r>
      <w:r>
        <w:rPr>
          <w:rFonts w:hint="eastAsia"/>
          <w:lang w:val="en-US" w:eastAsia="zh-CN"/>
        </w:rPr>
        <w:t>11550.73</w:t>
      </w:r>
      <w:r>
        <w:rPr>
          <w:rFonts w:hint="eastAsia"/>
        </w:rPr>
        <w:t>万元。</w:t>
      </w:r>
    </w:p>
    <w:p w14:paraId="5F59C70F">
      <w:pPr>
        <w:ind w:firstLine="643"/>
        <w:rPr>
          <w:b/>
          <w:bCs/>
        </w:rPr>
      </w:pPr>
      <w:r>
        <w:rPr>
          <w:rFonts w:hint="eastAsia"/>
          <w:b/>
          <w:bCs/>
        </w:rPr>
        <w:t>2.支出决算情况</w:t>
      </w:r>
    </w:p>
    <w:p w14:paraId="6719566C">
      <w:r>
        <w:rPr>
          <w:rFonts w:hint="eastAsia"/>
        </w:rPr>
        <w:t>202</w:t>
      </w:r>
      <w:r>
        <w:rPr>
          <w:rFonts w:hint="eastAsia"/>
          <w:lang w:val="en-US" w:eastAsia="zh-CN"/>
        </w:rPr>
        <w:t>3</w:t>
      </w:r>
      <w:r>
        <w:rPr>
          <w:rFonts w:hint="eastAsia"/>
        </w:rPr>
        <w:t>年度我委支出合计为</w:t>
      </w:r>
      <w:r>
        <w:rPr>
          <w:rFonts w:hint="eastAsia"/>
          <w:lang w:val="en-US" w:eastAsia="zh-CN"/>
        </w:rPr>
        <w:t>11550.73</w:t>
      </w:r>
      <w:r>
        <w:rPr>
          <w:rFonts w:hint="eastAsia"/>
        </w:rPr>
        <w:t>万元，其中基本支出</w:t>
      </w:r>
      <w:r>
        <w:rPr>
          <w:rFonts w:hint="eastAsia"/>
          <w:lang w:val="en-US" w:eastAsia="zh-CN"/>
        </w:rPr>
        <w:t>704.21</w:t>
      </w:r>
      <w:r>
        <w:rPr>
          <w:rFonts w:hint="eastAsia"/>
        </w:rPr>
        <w:t>万元，项目支出</w:t>
      </w:r>
      <w:r>
        <w:rPr>
          <w:rFonts w:hint="eastAsia"/>
          <w:lang w:val="en-US" w:eastAsia="zh-CN"/>
        </w:rPr>
        <w:t>10768.54</w:t>
      </w:r>
      <w:r>
        <w:rPr>
          <w:rFonts w:hint="eastAsia"/>
        </w:rPr>
        <w:t>万元，年末结转和结余</w:t>
      </w:r>
      <w:r>
        <w:rPr>
          <w:rFonts w:hint="eastAsia"/>
          <w:lang w:val="en-US" w:eastAsia="zh-CN"/>
        </w:rPr>
        <w:t>77.98</w:t>
      </w:r>
      <w:r>
        <w:rPr>
          <w:rFonts w:hint="eastAsia"/>
        </w:rPr>
        <w:t>万元，全部为</w:t>
      </w:r>
      <w:r>
        <w:rPr>
          <w:rFonts w:hint="eastAsia"/>
          <w:lang w:eastAsia="zh-CN"/>
        </w:rPr>
        <w:t>其他收入</w:t>
      </w:r>
      <w:r>
        <w:rPr>
          <w:rFonts w:hint="eastAsia"/>
        </w:rPr>
        <w:t>结转。</w:t>
      </w:r>
    </w:p>
    <w:p w14:paraId="11FCE806">
      <w:pPr>
        <w:ind w:firstLine="0" w:firstLineChars="0"/>
        <w:rPr>
          <w:rFonts w:ascii="楷体_GB2312" w:hAnsi="楷体_GB2312" w:eastAsia="楷体_GB2312" w:cs="楷体_GB2312"/>
          <w:b/>
          <w:bCs/>
          <w:szCs w:val="32"/>
        </w:rPr>
      </w:pPr>
      <w:r>
        <w:rPr>
          <w:rFonts w:hint="eastAsia" w:ascii="楷体_GB2312" w:hAnsi="楷体_GB2312" w:eastAsia="楷体_GB2312" w:cs="楷体_GB2312"/>
          <w:b/>
          <w:bCs/>
          <w:szCs w:val="32"/>
        </w:rPr>
        <w:t>（二）总体绩效目标完成情况分析。</w:t>
      </w:r>
    </w:p>
    <w:p w14:paraId="05BFFA9D">
      <w:pPr>
        <w:ind w:firstLine="643"/>
        <w:rPr>
          <w:b/>
          <w:bCs/>
        </w:rPr>
      </w:pPr>
      <w:r>
        <w:rPr>
          <w:rFonts w:hint="eastAsia"/>
          <w:b/>
          <w:bCs/>
        </w:rPr>
        <w:t>1.总体绩效目标</w:t>
      </w:r>
    </w:p>
    <w:p w14:paraId="097CB8CF">
      <w:r>
        <w:rPr>
          <w:rFonts w:hint="eastAsia"/>
        </w:rPr>
        <w:t>目标</w:t>
      </w:r>
      <w:r>
        <w:rPr>
          <w:rFonts w:hint="eastAsia"/>
          <w:lang w:val="en-US" w:eastAsia="zh-CN"/>
        </w:rPr>
        <w:t>1</w:t>
      </w:r>
      <w:r>
        <w:rPr>
          <w:rFonts w:hint="eastAsia"/>
        </w:rPr>
        <w:t>：通过开展</w:t>
      </w:r>
      <w:r>
        <w:rPr>
          <w:rFonts w:hint="eastAsia"/>
          <w:lang w:eastAsia="zh-CN"/>
        </w:rPr>
        <w:t>国家基本公共卫生服务和</w:t>
      </w:r>
      <w:r>
        <w:rPr>
          <w:rFonts w:hint="eastAsia"/>
        </w:rPr>
        <w:t>家庭签约服务，能最大限度合理截留基层普通病人基层首诊，发现需要上转治疗的，由家庭医生负责连接上级专家及医疗机构给病人提供快捷、高效的专业服务，在解决基层“看病难看病贵”的同时，也极大提高大医院优质医疗资源效益，推进我国医学科学进步发展。</w:t>
      </w:r>
    </w:p>
    <w:p w14:paraId="3C296355">
      <w:r>
        <w:rPr>
          <w:rFonts w:hint="eastAsia"/>
        </w:rPr>
        <w:t>目标</w:t>
      </w:r>
      <w:r>
        <w:rPr>
          <w:rFonts w:hint="eastAsia"/>
          <w:lang w:val="en-US" w:eastAsia="zh-CN"/>
        </w:rPr>
        <w:t>2</w:t>
      </w:r>
      <w:r>
        <w:rPr>
          <w:rFonts w:hint="eastAsia"/>
        </w:rPr>
        <w:t>：降低新区孕产妇、婴儿及儿童死亡率，加强母婴安全保健工作，提升新区基层工作人员的业务水平。通过学习考试保证医疗安全，促进医疗质量整体提升，进一步提升专业技术人员的基础理论知识水平。</w:t>
      </w:r>
    </w:p>
    <w:p w14:paraId="40C72122">
      <w:pPr>
        <w:rPr>
          <w:rFonts w:hint="eastAsia" w:cs="Times New Roman"/>
          <w:lang w:val="en-US" w:eastAsia="zh-CN"/>
        </w:rPr>
      </w:pPr>
      <w:r>
        <w:rPr>
          <w:rFonts w:hint="eastAsia"/>
        </w:rPr>
        <w:t>目标</w:t>
      </w:r>
      <w:r>
        <w:rPr>
          <w:rFonts w:hint="eastAsia"/>
          <w:lang w:val="en-US" w:eastAsia="zh-CN"/>
        </w:rPr>
        <w:t>3</w:t>
      </w:r>
      <w:r>
        <w:rPr>
          <w:rFonts w:hint="eastAsia"/>
        </w:rPr>
        <w:t>：</w:t>
      </w:r>
      <w:r>
        <w:rPr>
          <w:rFonts w:hint="eastAsia" w:cs="Times New Roman"/>
          <w:lang w:val="en-US" w:eastAsia="zh-CN"/>
        </w:rPr>
        <w:t>落实法治职责，提高依法行政水平，负责公共卫生的监测、调查、评估和监督，负责传染病防治监督，建立健全卫生健康综合监督体系提高饮用水卫生监督监测水平，有效保障城乡饮用水卫生安全，切实维护人民群众健康权益。</w:t>
      </w:r>
    </w:p>
    <w:p w14:paraId="71DCE538">
      <w:pPr>
        <w:rPr>
          <w:rFonts w:hint="eastAsia" w:cs="Times New Roman"/>
          <w:lang w:val="en-US" w:eastAsia="zh-CN"/>
        </w:rPr>
      </w:pPr>
      <w:r>
        <w:rPr>
          <w:rFonts w:hint="eastAsia"/>
          <w:highlight w:val="none"/>
        </w:rPr>
        <w:t>目标</w:t>
      </w:r>
      <w:r>
        <w:rPr>
          <w:rFonts w:hint="eastAsia"/>
          <w:highlight w:val="none"/>
          <w:lang w:val="en-US" w:eastAsia="zh-CN"/>
        </w:rPr>
        <w:t>4</w:t>
      </w:r>
      <w:r>
        <w:rPr>
          <w:rFonts w:hint="eastAsia"/>
          <w:highlight w:val="none"/>
        </w:rPr>
        <w:t>：</w:t>
      </w:r>
      <w:r>
        <w:rPr>
          <w:rFonts w:hint="eastAsia" w:cs="Times New Roman"/>
          <w:lang w:val="en-US" w:eastAsia="zh-CN"/>
        </w:rPr>
        <w:t xml:space="preserve">建成恒裕湖畔社区卫生服务站、上川镇卫生院提升改造项目；完成新康村社区卫生服务中心设备采购工作；支付小横路社区卫生服务中心业务用房改造及装饰装修工程、兰州新区秦川中心卫生院（小横路社区卫生服务中心）业务用房改造项目、瑞岭名郡社区卫生服务站装修改造及设备购置、瑞岭锦绣社区卫生服务站装修改造及设备购置、栖霞社区卫生服务中心、瑞岭馨苑社区卫生服务站装修改造及设备购置等历年基层医疗机构改扩建项目资金。  </w:t>
      </w:r>
    </w:p>
    <w:p w14:paraId="70784967">
      <w:pPr>
        <w:rPr>
          <w:rFonts w:hint="eastAsia"/>
        </w:rPr>
      </w:pPr>
      <w:r>
        <w:rPr>
          <w:rFonts w:hint="eastAsia"/>
        </w:rPr>
        <w:t>目标</w:t>
      </w:r>
      <w:r>
        <w:rPr>
          <w:rFonts w:hint="eastAsia"/>
          <w:lang w:val="en-US" w:eastAsia="zh-CN"/>
        </w:rPr>
        <w:t>5</w:t>
      </w:r>
      <w:r>
        <w:rPr>
          <w:rFonts w:hint="eastAsia"/>
        </w:rPr>
        <w:t>：为在岗村医参加城镇职工养老保险支付单位缴纳部分，为离岗村医按服务年限支付养老补助。</w:t>
      </w:r>
    </w:p>
    <w:p w14:paraId="39068FC2">
      <w:pPr>
        <w:pStyle w:val="5"/>
        <w:rPr>
          <w:rFonts w:hint="eastAsia"/>
        </w:rPr>
      </w:pPr>
      <w:r>
        <w:rPr>
          <w:rFonts w:hint="eastAsia"/>
        </w:rPr>
        <w:t>目标</w:t>
      </w:r>
      <w:r>
        <w:rPr>
          <w:rFonts w:hint="eastAsia"/>
          <w:lang w:val="en-US" w:eastAsia="zh-CN"/>
        </w:rPr>
        <w:t>6</w:t>
      </w:r>
      <w:r>
        <w:rPr>
          <w:rFonts w:hint="eastAsia"/>
        </w:rPr>
        <w:t>：全面推进新区医疗卫生体制改革工作稳步发展，进一步落实医疗安全核心制度，采取有力措施，以高度负责任的态度为人民群众提供高质量的医疗服务。</w:t>
      </w:r>
    </w:p>
    <w:p w14:paraId="08A88038">
      <w:pPr>
        <w:ind w:firstLine="643"/>
        <w:rPr>
          <w:rFonts w:ascii="楷体_GB2312" w:hAnsi="楷体_GB2312" w:eastAsia="楷体_GB2312" w:cs="楷体_GB2312"/>
          <w:b/>
          <w:bCs/>
          <w:szCs w:val="32"/>
        </w:rPr>
      </w:pPr>
      <w:r>
        <w:rPr>
          <w:rFonts w:hint="eastAsia"/>
          <w:b/>
          <w:bCs/>
        </w:rPr>
        <w:t>2.完成情况分析</w:t>
      </w:r>
    </w:p>
    <w:p w14:paraId="4C999884">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line="540" w:lineRule="exact"/>
        <w:ind w:firstLine="643" w:firstLineChars="200"/>
        <w:jc w:val="both"/>
        <w:textAlignment w:val="auto"/>
        <w:rPr>
          <w:rFonts w:hint="eastAsia" w:cs="仿宋_GB2312"/>
          <w:b/>
          <w:bCs/>
          <w:kern w:val="2"/>
          <w:sz w:val="32"/>
          <w:szCs w:val="32"/>
          <w:lang w:val="en-US" w:eastAsia="zh-CN" w:bidi="ar-SA"/>
        </w:rPr>
      </w:pPr>
      <w:r>
        <w:rPr>
          <w:rFonts w:hint="eastAsia" w:cs="仿宋_GB2312"/>
          <w:b/>
          <w:bCs/>
          <w:kern w:val="2"/>
          <w:sz w:val="32"/>
          <w:szCs w:val="32"/>
          <w:lang w:val="en-US" w:eastAsia="zh-CN" w:bidi="ar-SA"/>
        </w:rPr>
        <w:t>目标完成情况：</w:t>
      </w:r>
    </w:p>
    <w:p w14:paraId="6A43A3C6">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line="540" w:lineRule="exact"/>
        <w:ind w:firstLine="643"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深入开展“明星—粉丝”家庭医生签约“三清一满意”（服务数据清、重点人群清、病情近况清，不断提升群众满意度）行动。一是</w:t>
      </w:r>
      <w:r>
        <w:rPr>
          <w:rFonts w:hint="eastAsia" w:ascii="仿宋_GB2312" w:hAnsi="仿宋_GB2312" w:eastAsia="仿宋_GB2312" w:cs="仿宋_GB2312"/>
          <w:kern w:val="0"/>
          <w:sz w:val="32"/>
          <w:szCs w:val="32"/>
          <w:lang w:val="en-US" w:eastAsia="zh-CN" w:bidi="ar"/>
        </w:rPr>
        <w:t>在委属基层医疗机构全面推广“明星—粉丝”家庭医生签约模式，推出一批业务能力精、责任心强、会做群众工作的“明星”医生，吸引居民“粉丝”与之签约，不断提高群众获得感和满意度，</w:t>
      </w:r>
      <w:r>
        <w:rPr>
          <w:rFonts w:hint="eastAsia" w:ascii="仿宋_GB2312" w:hAnsi="仿宋_GB2312" w:eastAsia="仿宋_GB2312" w:cs="仿宋_GB2312"/>
          <w:kern w:val="0"/>
          <w:sz w:val="32"/>
          <w:szCs w:val="32"/>
          <w:u w:val="none"/>
          <w:lang w:val="en-US" w:eastAsia="zh-CN" w:bidi="ar"/>
        </w:rPr>
        <w:t>目前共签</w:t>
      </w:r>
      <w:r>
        <w:rPr>
          <w:rFonts w:hint="eastAsia" w:ascii="仿宋_GB2312" w:hAnsi="仿宋_GB2312" w:eastAsia="仿宋_GB2312" w:cs="仿宋_GB2312"/>
          <w:kern w:val="0"/>
          <w:sz w:val="32"/>
          <w:szCs w:val="32"/>
          <w:lang w:val="en-US" w:eastAsia="zh-CN" w:bidi="ar"/>
        </w:rPr>
        <w:t>约289190人</w:t>
      </w:r>
      <w:r>
        <w:rPr>
          <w:rFonts w:hint="eastAsia" w:ascii="仿宋_GB2312" w:hAnsi="仿宋_GB2312" w:eastAsia="仿宋_GB2312" w:cs="仿宋_GB2312"/>
          <w:kern w:val="0"/>
          <w:sz w:val="32"/>
          <w:szCs w:val="32"/>
          <w:u w:val="none"/>
          <w:lang w:val="en-US" w:eastAsia="zh-CN" w:bidi="ar"/>
        </w:rPr>
        <w:t>。</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kern w:val="0"/>
          <w:sz w:val="32"/>
          <w:szCs w:val="32"/>
          <w:lang w:val="en-US" w:eastAsia="zh-CN" w:bidi="ar"/>
        </w:rPr>
        <w:t>深入开展“三清一满意”（服务数据清、重点人群清、病情近况清，不断提升群众满意度）行动。深入开展“三清一满意”行动。截至12月26日，三轮次摸排73426户次341586人次，新增摸排建档 31949人，累计建档279505人，建档率93.17%。摸排心脑血管、慢性疼痛、肿瘤等其他疾病人群2215人。根据摸排结果提供个性化服务，群众对健康服务满意度明显提升，新区成为省市医保局明确给予资金支持的5个市县之一。目前共管理高血压患者23221人，全人群管理率85.72%，规范管理率75.71%；糖尿病患者5211人，全人群管理率49.98%，规范管理率92.86%；严重精神障碍患者1035人，规范管理率97.17%；累计管理肺结核124人，规范管理率100%。均超过省上定的目标要求。</w:t>
      </w:r>
      <w:r>
        <w:rPr>
          <w:rFonts w:hint="eastAsia" w:ascii="仿宋_GB2312" w:hAnsi="仿宋_GB2312" w:eastAsia="仿宋_GB2312" w:cs="仿宋_GB2312"/>
          <w:b/>
          <w:bCs/>
          <w:color w:val="000000"/>
          <w:kern w:val="2"/>
          <w:sz w:val="32"/>
          <w:szCs w:val="32"/>
          <w:lang w:val="en-US" w:eastAsia="zh-CN" w:bidi="ar-SA"/>
        </w:rPr>
        <w:t>三是</w:t>
      </w:r>
      <w:r>
        <w:rPr>
          <w:rFonts w:hint="eastAsia" w:ascii="仿宋_GB2312" w:hAnsi="仿宋_GB2312" w:eastAsia="仿宋_GB2312" w:cs="仿宋_GB2312"/>
          <w:color w:val="000000"/>
          <w:kern w:val="2"/>
          <w:sz w:val="32"/>
          <w:szCs w:val="32"/>
          <w:lang w:val="en-US" w:eastAsia="zh-CN" w:bidi="ar-SA"/>
        </w:rPr>
        <w:t>根据摸排结果进行个性化追踪服务，对需要住院的通过新区医共体途径积极送人就医，实现上下联动，群众对健康服务满意度明显提升，兰州新区成为省市医保局明确给予资金支持的5个市县之一。</w:t>
      </w:r>
      <w:r>
        <w:rPr>
          <w:rFonts w:hint="eastAsia" w:ascii="仿宋_GB2312" w:hAnsi="仿宋_GB2312" w:eastAsia="仿宋_GB2312" w:cs="仿宋_GB2312"/>
          <w:color w:val="auto"/>
          <w:kern w:val="2"/>
          <w:sz w:val="32"/>
          <w:szCs w:val="32"/>
          <w:u w:val="none"/>
          <w:lang w:val="en-US" w:eastAsia="zh-CN" w:bidi="ar-SA"/>
        </w:rPr>
        <w:t>在全省紧密型县域医共体建设现场推进会上新区卫生健康委作了交流发言，典型经验做法被省深化医药卫生体制改革领导小组以《兰州新区以家庭医生签约服务为抓手调动居民基层首诊积极性》专题简报向国家卫生健康委主任、副主任，省委书记、省长，省深化医药卫生体制改革领导小组成员单位主要领导，各市州、县区政府主要领导、分管领导和卫生健康局分送</w:t>
      </w:r>
    </w:p>
    <w:p w14:paraId="0545DE86">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b/>
          <w:bCs/>
          <w:kern w:val="2"/>
          <w:sz w:val="32"/>
          <w:szCs w:val="32"/>
          <w:lang w:val="en-US" w:eastAsia="zh-CN" w:bidi="ar-SA"/>
        </w:rPr>
        <w:t>深入推进紧密型县域医共体建设。一是</w:t>
      </w:r>
      <w:r>
        <w:rPr>
          <w:rFonts w:hint="eastAsia" w:ascii="仿宋_GB2312" w:hAnsi="仿宋_GB2312" w:eastAsia="仿宋_GB2312" w:cs="仿宋_GB2312"/>
          <w:color w:val="000000"/>
          <w:kern w:val="2"/>
          <w:sz w:val="32"/>
          <w:szCs w:val="32"/>
          <w:lang w:val="en-US" w:eastAsia="zh-CN" w:bidi="ar-SA"/>
        </w:rPr>
        <w:t>将委属8个基层医疗机构全部纳入紧密型医共体建设范围，</w:t>
      </w:r>
      <w:r>
        <w:rPr>
          <w:rFonts w:hint="eastAsia" w:ascii="仿宋_GB2312" w:hAnsi="仿宋_GB2312" w:eastAsia="仿宋_GB2312" w:cs="仿宋_GB2312"/>
          <w:spacing w:val="-6"/>
          <w:sz w:val="32"/>
          <w:szCs w:val="32"/>
          <w:lang w:eastAsia="zh-CN"/>
        </w:rPr>
        <w:t>向基层医疗机构下沉二级病种139种、药品246种；</w:t>
      </w:r>
      <w:r>
        <w:rPr>
          <w:rFonts w:hint="eastAsia" w:ascii="仿宋_GB2312" w:hAnsi="仿宋_GB2312" w:eastAsia="仿宋_GB2312" w:cs="仿宋_GB2312"/>
          <w:spacing w:val="-6"/>
          <w:sz w:val="32"/>
          <w:szCs w:val="32"/>
          <w:lang w:val="en-US" w:eastAsia="zh-CN"/>
        </w:rPr>
        <w:t>截至12月26日，已累计派出专家694人次，门诊接诊患者4320人次，各成员单位上转患者1380人次、新区第一人民医院下转患者2713人次，开展专题讲座145次、带教查房3318人次、讨论疑难病例56次，进行护理质控153次，下乡义诊与宣传服务活动45次。住院次均费用下降22%，住院患者费用中的医保支付比例逐月升高、个人自付比例逐月下降，大病重病患者向区内回流、常见多发病向基层回流的趋势愈发明显，基层医疗机构首诊率明显增加，全人群建档率提高了14%以上，高血压、糖尿病管理率分别提高了9%、6.98 %，</w:t>
      </w:r>
      <w:r>
        <w:rPr>
          <w:rFonts w:hint="eastAsia" w:ascii="仿宋_GB2312" w:hAnsi="仿宋_GB2312" w:eastAsia="仿宋_GB2312" w:cs="仿宋_GB2312"/>
          <w:color w:val="auto"/>
          <w:kern w:val="2"/>
          <w:sz w:val="32"/>
          <w:szCs w:val="32"/>
          <w:u w:val="none"/>
          <w:lang w:val="en-US" w:eastAsia="zh-CN" w:bidi="ar-SA"/>
        </w:rPr>
        <w:t>基本实现了“大病不出区、小病就近看、未病共同防、服务更优质、群众得实惠、社会反响好”的目标。</w:t>
      </w:r>
      <w:r>
        <w:rPr>
          <w:rFonts w:hint="eastAsia" w:ascii="仿宋_GB2312" w:hAnsi="仿宋_GB2312" w:eastAsia="仿宋_GB2312" w:cs="仿宋_GB2312"/>
          <w:b/>
          <w:bCs/>
          <w:color w:val="000000"/>
          <w:kern w:val="2"/>
          <w:sz w:val="32"/>
          <w:szCs w:val="32"/>
          <w:lang w:val="en-US" w:eastAsia="zh-CN" w:bidi="ar-SA"/>
        </w:rPr>
        <w:t>二是</w:t>
      </w:r>
      <w:r>
        <w:rPr>
          <w:rFonts w:hint="eastAsia" w:ascii="仿宋_GB2312" w:hAnsi="仿宋_GB2312" w:eastAsia="仿宋_GB2312" w:cs="仿宋_GB2312"/>
          <w:color w:val="000000"/>
          <w:kern w:val="2"/>
          <w:sz w:val="32"/>
          <w:szCs w:val="32"/>
          <w:lang w:val="en-US" w:eastAsia="zh-CN" w:bidi="ar-SA"/>
        </w:rPr>
        <w:t>通过优质医疗卫生资源、卫生人才、医疗技术“三下沉”，实现基层服务能力、诊疗水平、群众满意度“三提升”，构建了“基层首诊、双向转诊、急慢分治、上下联动”的分级诊疗和就医新格局。</w:t>
      </w:r>
      <w:r>
        <w:rPr>
          <w:rFonts w:hint="eastAsia" w:ascii="仿宋_GB2312" w:hAnsi="仿宋_GB2312" w:eastAsia="仿宋_GB2312" w:cs="仿宋_GB2312"/>
          <w:color w:val="auto"/>
          <w:kern w:val="2"/>
          <w:sz w:val="32"/>
          <w:szCs w:val="32"/>
          <w:u w:val="none"/>
          <w:lang w:val="en-US" w:eastAsia="zh-CN" w:bidi="ar-SA"/>
        </w:rPr>
        <w:t>国家疾病预防控制局副局长常继乐调研新区疾病预防控制体系建设工作，对新区紧密型县域医共体工作给予充分肯定。在深圳市召开的全国医共体会议上新区第一人民医院院长吕军讲了紧密型县域医共体课。</w:t>
      </w:r>
    </w:p>
    <w:p w14:paraId="5B50E93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深入开展托育服务工作。一是</w:t>
      </w:r>
      <w:r>
        <w:rPr>
          <w:rFonts w:hint="eastAsia" w:ascii="仿宋_GB2312" w:hAnsi="仿宋_GB2312" w:eastAsia="仿宋_GB2312" w:cs="仿宋_GB2312"/>
          <w:b w:val="0"/>
          <w:bCs w:val="0"/>
          <w:color w:val="000000"/>
          <w:sz w:val="32"/>
          <w:szCs w:val="32"/>
          <w:lang w:val="en-US" w:eastAsia="zh-CN"/>
        </w:rPr>
        <w:t>健全托育服务联席会议和联动监管机制，积极发展多种形式的托育机构，制作托育服务宣传片，持续做好托育机构监督工作、现场督查和专项培训工作，积极培育示范性托育机构。</w:t>
      </w:r>
      <w:r>
        <w:rPr>
          <w:rFonts w:hint="eastAsia" w:ascii="仿宋_GB2312" w:hAnsi="仿宋_GB2312" w:eastAsia="仿宋_GB2312" w:cs="仿宋_GB2312"/>
          <w:b/>
          <w:bCs/>
          <w:color w:val="000000"/>
          <w:sz w:val="32"/>
          <w:szCs w:val="32"/>
          <w:lang w:val="en-US" w:eastAsia="zh-CN"/>
        </w:rPr>
        <w:t>二是</w:t>
      </w:r>
      <w:r>
        <w:rPr>
          <w:rFonts w:hint="eastAsia" w:ascii="仿宋_GB2312" w:hAnsi="仿宋_GB2312" w:eastAsia="仿宋_GB2312" w:cs="仿宋_GB2312"/>
          <w:color w:val="000000"/>
          <w:kern w:val="2"/>
          <w:sz w:val="32"/>
          <w:szCs w:val="32"/>
          <w:lang w:val="en-US" w:eastAsia="zh-CN" w:bidi="ar-SA"/>
        </w:rPr>
        <w:t>新区现有托育机构13家，建设托位1080个，每千人口托位数3.6个，排名全省第一，被省卫健委通报表扬，在金昌市召开的2023年全省托育服务现场观摩推进会上作了交流发言，得到与会领导的一致肯定和好评。</w:t>
      </w:r>
    </w:p>
    <w:p w14:paraId="10B89B08">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line="540" w:lineRule="exact"/>
        <w:ind w:firstLine="643" w:firstLineChars="200"/>
        <w:jc w:val="both"/>
        <w:textAlignment w:val="auto"/>
        <w:outlineLvl w:val="9"/>
        <w:rPr>
          <w:rFonts w:hint="eastAsia" w:ascii="仿宋_GB2312" w:hAnsi="仿宋_GB2312" w:eastAsia="仿宋_GB2312" w:cs="仿宋_GB2312"/>
          <w:b w:val="0"/>
          <w:bCs w:val="0"/>
          <w:i w:val="0"/>
          <w:iCs w:val="0"/>
          <w:caps w:val="0"/>
          <w:color w:val="000000"/>
          <w:spacing w:val="0"/>
          <w:kern w:val="2"/>
          <w:sz w:val="32"/>
          <w:szCs w:val="32"/>
          <w:u w:val="none"/>
          <w:shd w:val="clear" w:color="auto" w:fill="FFFFFF"/>
          <w:lang w:val="en-US" w:eastAsia="zh-CN" w:bidi="ar-SA"/>
        </w:rPr>
      </w:pPr>
      <w:r>
        <w:rPr>
          <w:rFonts w:hint="eastAsia" w:ascii="仿宋_GB2312" w:hAnsi="仿宋_GB2312" w:eastAsia="仿宋_GB2312" w:cs="仿宋_GB2312"/>
          <w:b/>
          <w:bCs/>
          <w:color w:val="000000"/>
          <w:kern w:val="2"/>
          <w:sz w:val="32"/>
          <w:szCs w:val="32"/>
          <w:lang w:val="en-US" w:eastAsia="zh-CN" w:bidi="ar-SA"/>
        </w:rPr>
        <w:t>深入开展医防融合工作。一是</w:t>
      </w:r>
      <w:r>
        <w:rPr>
          <w:rFonts w:hint="eastAsia" w:ascii="仿宋_GB2312" w:hAnsi="仿宋_GB2312" w:eastAsia="仿宋_GB2312" w:cs="仿宋_GB2312"/>
          <w:b w:val="0"/>
          <w:bCs w:val="0"/>
          <w:i w:val="0"/>
          <w:iCs w:val="0"/>
          <w:caps w:val="0"/>
          <w:color w:val="000000"/>
          <w:spacing w:val="0"/>
          <w:kern w:val="2"/>
          <w:sz w:val="32"/>
          <w:szCs w:val="32"/>
          <w:u w:val="none"/>
          <w:shd w:val="clear" w:color="auto" w:fill="FFFFFF"/>
          <w:lang w:val="en-US" w:eastAsia="zh-CN" w:bidi="ar-SA"/>
        </w:rPr>
        <w:t>完善了专业公共卫生机构与医疗机构分工协作、优势互补、业务融合的合作机制，健全了传染病处置、预防干预、临床诊疗、慢性病管理、监测评估等一体化的公共卫生服务体系，提高重大传染病救治能力。</w:t>
      </w:r>
      <w:r>
        <w:rPr>
          <w:rFonts w:hint="eastAsia" w:ascii="仿宋_GB2312" w:hAnsi="仿宋_GB2312" w:eastAsia="仿宋_GB2312" w:cs="仿宋_GB2312"/>
          <w:b/>
          <w:bCs/>
          <w:i w:val="0"/>
          <w:iCs w:val="0"/>
          <w:caps w:val="0"/>
          <w:color w:val="000000"/>
          <w:spacing w:val="0"/>
          <w:kern w:val="2"/>
          <w:sz w:val="32"/>
          <w:szCs w:val="32"/>
          <w:u w:val="none"/>
          <w:shd w:val="clear" w:color="auto" w:fill="FFFFFF"/>
          <w:lang w:val="en-US" w:eastAsia="zh-CN" w:bidi="ar-SA"/>
        </w:rPr>
        <w:t>二是</w:t>
      </w:r>
      <w:r>
        <w:rPr>
          <w:rFonts w:hint="eastAsia" w:ascii="仿宋_GB2312" w:hAnsi="仿宋_GB2312" w:eastAsia="仿宋_GB2312" w:cs="仿宋_GB2312"/>
          <w:b w:val="0"/>
          <w:bCs w:val="0"/>
          <w:i w:val="0"/>
          <w:iCs w:val="0"/>
          <w:caps w:val="0"/>
          <w:color w:val="000000"/>
          <w:spacing w:val="0"/>
          <w:kern w:val="2"/>
          <w:sz w:val="32"/>
          <w:szCs w:val="32"/>
          <w:u w:val="none"/>
          <w:shd w:val="clear" w:color="auto" w:fill="FFFFFF"/>
          <w:lang w:val="en-US" w:eastAsia="zh-CN" w:bidi="ar-SA"/>
        </w:rPr>
        <w:t>积极争取国家和省疾控局将新区列入国家医防融合创新试点城市，全国只有浙江省温州市和甘肃省兰州新区。</w:t>
      </w:r>
    </w:p>
    <w:p w14:paraId="2A51224D">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000000"/>
          <w:kern w:val="2"/>
          <w:sz w:val="32"/>
          <w:szCs w:val="32"/>
          <w:lang w:val="en-US" w:eastAsia="zh-CN" w:bidi="ar-SA"/>
        </w:rPr>
        <w:t>深入推进重点特色科室、县域医学和救治中心建设。一是</w:t>
      </w:r>
      <w:r>
        <w:rPr>
          <w:rFonts w:hint="eastAsia" w:ascii="仿宋_GB2312" w:eastAsia="仿宋_GB2312" w:cs="Times New Roman"/>
          <w:color w:val="auto"/>
          <w:sz w:val="32"/>
          <w:szCs w:val="32"/>
          <w:rtl w:val="0"/>
          <w:lang w:val="en-US" w:eastAsia="zh-CN"/>
        </w:rPr>
        <w:t>新区第一人民医院</w:t>
      </w:r>
      <w:r>
        <w:rPr>
          <w:rFonts w:hint="eastAsia" w:ascii="仿宋_GB2312" w:hAnsi="仿宋_GB2312" w:eastAsia="仿宋_GB2312" w:cs="仿宋_GB2312"/>
          <w:b w:val="0"/>
          <w:bCs w:val="0"/>
          <w:i w:val="0"/>
          <w:iCs w:val="0"/>
          <w:caps w:val="0"/>
          <w:color w:val="000000"/>
          <w:spacing w:val="0"/>
          <w:kern w:val="2"/>
          <w:sz w:val="32"/>
          <w:szCs w:val="32"/>
          <w:u w:val="none"/>
          <w:shd w:val="clear" w:color="auto" w:fill="FFFFFF"/>
          <w:lang w:val="en-US" w:eastAsia="zh-CN" w:bidi="ar-SA"/>
        </w:rPr>
        <w:t>打</w:t>
      </w:r>
      <w:r>
        <w:rPr>
          <w:rFonts w:hint="eastAsia" w:ascii="仿宋_GB2312" w:hAnsi="仿宋_GB2312" w:eastAsia="仿宋_GB2312" w:cs="仿宋_GB2312"/>
          <w:color w:val="auto"/>
          <w:kern w:val="2"/>
          <w:sz w:val="32"/>
          <w:szCs w:val="32"/>
          <w:u w:val="none"/>
          <w:lang w:val="en-US" w:eastAsia="zh-CN" w:bidi="ar-SA"/>
        </w:rPr>
        <w:t>造了呼吸内分泌科、普外科等</w:t>
      </w:r>
      <w:r>
        <w:rPr>
          <w:rFonts w:hint="eastAsia" w:ascii="仿宋_GB2312" w:hAnsi="仿宋_GB2312" w:eastAsia="仿宋_GB2312" w:cs="仿宋_GB2312"/>
          <w:kern w:val="2"/>
          <w:sz w:val="32"/>
          <w:szCs w:val="32"/>
          <w:u w:val="none"/>
          <w:lang w:val="en-US" w:eastAsia="zh-CN" w:bidi="ar-SA"/>
        </w:rPr>
        <w:t>6个重点科室</w:t>
      </w:r>
      <w:r>
        <w:rPr>
          <w:rFonts w:hint="eastAsia"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kern w:val="2"/>
          <w:sz w:val="32"/>
          <w:szCs w:val="32"/>
          <w:u w:val="none"/>
          <w:lang w:val="en-US" w:eastAsia="zh-CN" w:bidi="ar-SA"/>
        </w:rPr>
        <w:t>8个基层医疗机构打造了中医科、妇幼保健科等16个特色科室，实现错位发展，促进学科整体水平的提升。</w:t>
      </w:r>
      <w:r>
        <w:rPr>
          <w:rFonts w:hint="eastAsia" w:ascii="仿宋_GB2312" w:hAnsi="仿宋_GB2312" w:eastAsia="仿宋_GB2312" w:cs="仿宋_GB2312"/>
          <w:b/>
          <w:bCs/>
          <w:kern w:val="2"/>
          <w:sz w:val="32"/>
          <w:szCs w:val="32"/>
          <w:u w:val="none"/>
          <w:lang w:val="en-US" w:eastAsia="zh-CN" w:bidi="ar-SA"/>
        </w:rPr>
        <w:t>二是</w:t>
      </w:r>
      <w:r>
        <w:rPr>
          <w:rFonts w:hint="eastAsia" w:ascii="仿宋_GB2312" w:eastAsia="仿宋_GB2312" w:cs="Times New Roman"/>
          <w:color w:val="auto"/>
          <w:sz w:val="32"/>
          <w:szCs w:val="32"/>
          <w:rtl w:val="0"/>
          <w:lang w:val="en-US" w:eastAsia="zh-CN"/>
        </w:rPr>
        <w:t>构建了以新区第一人民医院中医科为骨干，基层医疗机构中医科为基础，中医诊所为补充，覆盖城乡的中医医疗服务网络。新区第一人民医院建成中西医协同旗舰科室，</w:t>
      </w:r>
      <w:r>
        <w:rPr>
          <w:rFonts w:hint="eastAsia" w:ascii="仿宋_GB2312" w:hAnsi="仿宋_GB2312" w:eastAsia="仿宋_GB2312" w:cs="仿宋_GB2312"/>
          <w:kern w:val="2"/>
          <w:sz w:val="32"/>
          <w:szCs w:val="32"/>
          <w:u w:val="none"/>
          <w:lang w:val="en-US" w:eastAsia="zh-CN" w:bidi="ar-SA"/>
        </w:rPr>
        <w:t>乡镇卫生院（社区卫生服务中心）建成</w:t>
      </w:r>
      <w:r>
        <w:rPr>
          <w:rFonts w:hint="eastAsia" w:ascii="仿宋_GB2312" w:eastAsia="仿宋_GB2312" w:cs="Times New Roman"/>
          <w:color w:val="auto"/>
          <w:sz w:val="32"/>
          <w:szCs w:val="32"/>
          <w:rtl w:val="0"/>
          <w:lang w:val="en-US" w:eastAsia="zh-CN"/>
        </w:rPr>
        <w:t>7个“旗舰”中医馆，村卫生室（社区卫生服务站）</w:t>
      </w:r>
      <w:r>
        <w:rPr>
          <w:rFonts w:hint="eastAsia" w:ascii="仿宋_GB2312" w:hAnsi="仿宋_GB2312" w:eastAsia="仿宋_GB2312" w:cs="仿宋_GB2312"/>
          <w:kern w:val="2"/>
          <w:sz w:val="32"/>
          <w:szCs w:val="32"/>
          <w:u w:val="none"/>
          <w:lang w:val="en-US" w:eastAsia="zh-CN" w:bidi="ar-SA"/>
        </w:rPr>
        <w:t>建成</w:t>
      </w:r>
      <w:r>
        <w:rPr>
          <w:rFonts w:hint="eastAsia" w:ascii="仿宋_GB2312" w:eastAsia="仿宋_GB2312" w:cs="Times New Roman"/>
          <w:color w:val="auto"/>
          <w:sz w:val="32"/>
          <w:szCs w:val="32"/>
          <w:rtl w:val="0"/>
          <w:lang w:val="en-US" w:eastAsia="zh-CN"/>
        </w:rPr>
        <w:t>8个“旗舰”中医阁；新区第一人民医院能开展中医适宜技术45项，各基层医疗机构均能开展13项以上，各村卫生室（社区卫生服务站）均能开展6项以上。</w:t>
      </w:r>
      <w:r>
        <w:rPr>
          <w:rFonts w:hint="eastAsia" w:ascii="仿宋_GB2312" w:eastAsia="仿宋_GB2312" w:cs="Times New Roman"/>
          <w:b/>
          <w:bCs/>
          <w:color w:val="auto"/>
          <w:sz w:val="32"/>
          <w:szCs w:val="32"/>
          <w:rtl w:val="0"/>
          <w:lang w:val="en-US" w:eastAsia="zh-CN"/>
        </w:rPr>
        <w:t>三是</w:t>
      </w:r>
      <w:r>
        <w:rPr>
          <w:rFonts w:hint="eastAsia" w:ascii="仿宋_GB2312" w:eastAsia="仿宋_GB2312"/>
          <w:color w:val="auto"/>
          <w:sz w:val="32"/>
          <w:szCs w:val="32"/>
          <w:highlight w:val="none"/>
          <w:lang w:val="en-US" w:eastAsia="zh-CN"/>
        </w:rPr>
        <w:t>影像等5大县域医学中心互联互通，全面落实“乡检查、县诊断、乡治疗”，100%出具报告。新区第一人民医院开展省内检查检验结果互认100项。</w:t>
      </w:r>
      <w:r>
        <w:rPr>
          <w:rFonts w:hint="eastAsia" w:ascii="仿宋_GB2312" w:eastAsia="仿宋_GB2312"/>
          <w:b/>
          <w:bCs/>
          <w:color w:val="auto"/>
          <w:sz w:val="32"/>
          <w:szCs w:val="32"/>
          <w:highlight w:val="none"/>
          <w:lang w:val="en-US" w:eastAsia="zh-CN"/>
        </w:rPr>
        <w:t>四是</w:t>
      </w:r>
      <w:r>
        <w:rPr>
          <w:rFonts w:hint="eastAsia" w:ascii="仿宋_GB2312" w:hAnsi="仿宋_GB2312" w:eastAsia="仿宋_GB2312" w:cs="仿宋_GB2312"/>
          <w:kern w:val="2"/>
          <w:sz w:val="32"/>
          <w:szCs w:val="32"/>
          <w:u w:val="none"/>
          <w:lang w:val="en-US" w:eastAsia="zh-CN" w:bidi="ar-SA"/>
        </w:rPr>
        <w:t>新区第一人民医院</w:t>
      </w:r>
      <w:r>
        <w:rPr>
          <w:rFonts w:hint="eastAsia" w:ascii="仿宋_GB2312" w:hAnsi="仿宋_GB2312" w:eastAsia="仿宋_GB2312" w:cs="仿宋_GB2312"/>
          <w:sz w:val="32"/>
          <w:szCs w:val="32"/>
          <w:lang w:val="en-US" w:eastAsia="zh-CN"/>
        </w:rPr>
        <w:t>全力推进胸痛、卒中等5个急危重救治中心建设，卒中中心和创伤中心已通过省级验收；胸痛中心已通过省级预检，等待国家验收；危重新生儿救治中心、危重孕产妇救治中心已通过市级验收</w:t>
      </w:r>
      <w:r>
        <w:rPr>
          <w:rFonts w:hint="eastAsia" w:ascii="仿宋_GB2312" w:hAnsi="仿宋_GB2312" w:eastAsia="仿宋_GB2312" w:cs="仿宋_GB2312"/>
          <w:kern w:val="2"/>
          <w:sz w:val="32"/>
          <w:szCs w:val="32"/>
          <w:u w:val="none"/>
          <w:lang w:val="en-US" w:eastAsia="zh-CN" w:bidi="ar-SA"/>
        </w:rPr>
        <w:t>。</w:t>
      </w:r>
      <w:r>
        <w:rPr>
          <w:rFonts w:hint="eastAsia" w:ascii="仿宋_GB2312" w:hAnsi="仿宋_GB2312" w:eastAsia="仿宋_GB2312" w:cs="仿宋_GB2312"/>
          <w:b/>
          <w:bCs/>
          <w:kern w:val="2"/>
          <w:sz w:val="32"/>
          <w:szCs w:val="32"/>
          <w:u w:val="none"/>
          <w:lang w:val="en-US" w:eastAsia="zh-CN" w:bidi="ar-SA"/>
        </w:rPr>
        <w:t>五是</w:t>
      </w:r>
      <w:r>
        <w:rPr>
          <w:rFonts w:hint="eastAsia" w:ascii="仿宋_GB2312" w:hAnsi="仿宋_GB2312" w:eastAsia="仿宋_GB2312" w:cs="仿宋_GB2312"/>
          <w:sz w:val="32"/>
          <w:szCs w:val="32"/>
          <w:lang w:val="en-US" w:eastAsia="zh-CN"/>
        </w:rPr>
        <w:t>积极组织参加由省卫生健康委等部门举办的各类竞赛，获得团体和个人一等奖6项、二等奖8项、三等奖13项。</w:t>
      </w:r>
    </w:p>
    <w:p w14:paraId="7811A9D0">
      <w:pPr>
        <w:ind w:firstLine="0" w:firstLineChars="0"/>
        <w:rPr>
          <w:rFonts w:ascii="楷体_GB2312" w:hAnsi="楷体_GB2312" w:eastAsia="楷体_GB2312" w:cs="楷体_GB2312"/>
          <w:b/>
          <w:bCs/>
          <w:szCs w:val="32"/>
        </w:rPr>
      </w:pPr>
      <w:r>
        <w:rPr>
          <w:rFonts w:hint="eastAsia" w:ascii="楷体_GB2312" w:hAnsi="楷体_GB2312" w:eastAsia="楷体_GB2312" w:cs="楷体_GB2312"/>
          <w:b/>
          <w:bCs/>
          <w:szCs w:val="32"/>
        </w:rPr>
        <w:t>（三）各项指标完成情况分析。</w:t>
      </w:r>
    </w:p>
    <w:p w14:paraId="5EC2C5AD">
      <w:r>
        <w:rPr>
          <w:rFonts w:hint="eastAsia"/>
        </w:rPr>
        <w:t>根据本次自评工作要求，兰州新区卫生健康委员会结合202</w:t>
      </w:r>
      <w:r>
        <w:rPr>
          <w:rFonts w:hint="eastAsia"/>
          <w:lang w:val="en-US" w:eastAsia="zh-CN"/>
        </w:rPr>
        <w:t>3</w:t>
      </w:r>
      <w:r>
        <w:rPr>
          <w:rFonts w:hint="eastAsia"/>
        </w:rPr>
        <w:t>年度履职工作实际，从部门管理、履职效果、能力建设及服务对象满意度四个方面开展部门整体支出绩效自评。经对各项履职工作相关资料的整理、汇总分析，</w:t>
      </w:r>
      <w:r>
        <w:rPr>
          <w:rFonts w:hint="eastAsia"/>
          <w:highlight w:val="none"/>
        </w:rPr>
        <w:t>综合评分为98.4分。各项指标完成情况分析如</w:t>
      </w:r>
      <w:r>
        <w:rPr>
          <w:rFonts w:hint="eastAsia"/>
        </w:rPr>
        <w:t>下：</w:t>
      </w:r>
    </w:p>
    <w:p w14:paraId="00B37ECE">
      <w:pPr>
        <w:ind w:firstLine="643"/>
        <w:rPr>
          <w:b/>
          <w:bCs/>
        </w:rPr>
      </w:pPr>
      <w:r>
        <w:rPr>
          <w:rFonts w:hint="eastAsia"/>
          <w:b/>
          <w:bCs/>
        </w:rPr>
        <w:t>1.部门整体支出</w:t>
      </w:r>
    </w:p>
    <w:p w14:paraId="217DA66D">
      <w:r>
        <w:rPr>
          <w:rFonts w:hint="eastAsia"/>
        </w:rPr>
        <w:t>部门整体支出指标分值10分，20</w:t>
      </w:r>
      <w:r>
        <w:rPr>
          <w:rFonts w:hint="eastAsia"/>
          <w:lang w:val="en-US" w:eastAsia="zh-CN"/>
        </w:rPr>
        <w:t>23</w:t>
      </w:r>
      <w:r>
        <w:rPr>
          <w:rFonts w:hint="eastAsia"/>
        </w:rPr>
        <w:t>年度我委部门整体支出年初预算数为</w:t>
      </w:r>
      <w:r>
        <w:rPr>
          <w:rFonts w:hint="eastAsia"/>
          <w:lang w:val="en-US" w:eastAsia="zh-CN"/>
        </w:rPr>
        <w:t>5500.27</w:t>
      </w:r>
      <w:r>
        <w:rPr>
          <w:rFonts w:hint="eastAsia"/>
        </w:rPr>
        <w:t>万元，全年预算数为</w:t>
      </w:r>
      <w:r>
        <w:rPr>
          <w:rFonts w:hint="eastAsia"/>
          <w:lang w:val="en-US" w:eastAsia="zh-CN"/>
        </w:rPr>
        <w:t>12384.73</w:t>
      </w:r>
      <w:r>
        <w:rPr>
          <w:rFonts w:hint="eastAsia"/>
        </w:rPr>
        <w:t>万元，实际支出数为</w:t>
      </w:r>
      <w:r>
        <w:rPr>
          <w:rFonts w:hint="eastAsia"/>
          <w:lang w:val="en-US" w:eastAsia="zh-CN"/>
        </w:rPr>
        <w:t>11472.75</w:t>
      </w:r>
      <w:r>
        <w:rPr>
          <w:rFonts w:hint="eastAsia"/>
        </w:rPr>
        <w:t>万元，执行率为9</w:t>
      </w:r>
      <w:r>
        <w:rPr>
          <w:rFonts w:hint="eastAsia"/>
          <w:lang w:val="en-US" w:eastAsia="zh-CN"/>
        </w:rPr>
        <w:t>2.19</w:t>
      </w:r>
      <w:r>
        <w:rPr>
          <w:rFonts w:hint="eastAsia"/>
        </w:rPr>
        <w:t>%，按比例，指标得分为</w:t>
      </w:r>
      <w:r>
        <w:rPr>
          <w:rFonts w:hint="eastAsia"/>
          <w:lang w:val="en-US" w:eastAsia="zh-CN"/>
        </w:rPr>
        <w:t>9.22</w:t>
      </w:r>
      <w:r>
        <w:rPr>
          <w:rFonts w:hint="eastAsia"/>
        </w:rPr>
        <w:t>分。</w:t>
      </w:r>
    </w:p>
    <w:p w14:paraId="3C03FD16">
      <w:pPr>
        <w:ind w:firstLine="643"/>
        <w:rPr>
          <w:b/>
          <w:bCs/>
        </w:rPr>
      </w:pPr>
      <w:r>
        <w:rPr>
          <w:rFonts w:hint="eastAsia"/>
          <w:b/>
          <w:bCs/>
        </w:rPr>
        <w:t>2.部门管理</w:t>
      </w:r>
    </w:p>
    <w:p w14:paraId="4D4EAB5E">
      <w:r>
        <w:rPr>
          <w:rFonts w:hint="eastAsia"/>
        </w:rPr>
        <w:t>部门管理指标分值20分，从资金投入、财务管理、采购管理、资产管理、人员管理及重点工作管理六方面对我委20</w:t>
      </w:r>
      <w:r>
        <w:rPr>
          <w:rFonts w:hint="eastAsia"/>
          <w:lang w:val="en-US" w:eastAsia="zh-CN"/>
        </w:rPr>
        <w:t>23</w:t>
      </w:r>
      <w:r>
        <w:rPr>
          <w:rFonts w:hint="eastAsia"/>
        </w:rPr>
        <w:t>年度部门管理情况进行自评分析，得分为19.</w:t>
      </w:r>
      <w:r>
        <w:rPr>
          <w:rFonts w:hint="eastAsia"/>
          <w:lang w:val="en-US" w:eastAsia="zh-CN"/>
        </w:rPr>
        <w:t>44</w:t>
      </w:r>
      <w:r>
        <w:rPr>
          <w:rFonts w:hint="eastAsia"/>
        </w:rPr>
        <w:t>分。</w:t>
      </w:r>
    </w:p>
    <w:p w14:paraId="427F6BD2">
      <w:pPr>
        <w:ind w:firstLine="643"/>
        <w:rPr>
          <w:b/>
          <w:bCs/>
        </w:rPr>
      </w:pPr>
      <w:r>
        <w:rPr>
          <w:rFonts w:hint="eastAsia"/>
          <w:b/>
          <w:bCs/>
        </w:rPr>
        <w:t>（1）资金投入</w:t>
      </w:r>
    </w:p>
    <w:p w14:paraId="4BFCDC16">
      <w:r>
        <w:rPr>
          <w:rFonts w:hint="eastAsia"/>
        </w:rPr>
        <w:t>资金投入指标分值为8分，得7.</w:t>
      </w:r>
      <w:r>
        <w:rPr>
          <w:rFonts w:hint="eastAsia"/>
          <w:lang w:val="en-US" w:eastAsia="zh-CN"/>
        </w:rPr>
        <w:t>44</w:t>
      </w:r>
      <w:r>
        <w:rPr>
          <w:rFonts w:hint="eastAsia"/>
        </w:rPr>
        <w:t>分。202</w:t>
      </w:r>
      <w:r>
        <w:rPr>
          <w:rFonts w:hint="eastAsia"/>
          <w:lang w:val="en-US" w:eastAsia="zh-CN"/>
        </w:rPr>
        <w:t>3</w:t>
      </w:r>
      <w:r>
        <w:rPr>
          <w:rFonts w:hint="eastAsia"/>
        </w:rPr>
        <w:t>年度兰州新区卫生健康委员会基本支出预算执行率为100%，项目支出预算执行率为</w:t>
      </w:r>
      <w:r>
        <w:rPr>
          <w:rFonts w:hint="eastAsia"/>
          <w:lang w:val="en-US" w:eastAsia="zh-CN"/>
        </w:rPr>
        <w:t>92.19</w:t>
      </w:r>
      <w:r>
        <w:rPr>
          <w:rFonts w:hint="eastAsia"/>
        </w:rPr>
        <w:t>%，“三公经费”支出为年初预算数的</w:t>
      </w:r>
      <w:r>
        <w:rPr>
          <w:rFonts w:hint="eastAsia"/>
          <w:lang w:val="en-US" w:eastAsia="zh-CN"/>
        </w:rPr>
        <w:t>53.96</w:t>
      </w:r>
      <w:r>
        <w:rPr>
          <w:rFonts w:hint="eastAsia"/>
        </w:rPr>
        <w:t>%，结转结余资金比上年</w:t>
      </w:r>
      <w:r>
        <w:rPr>
          <w:rFonts w:hint="eastAsia"/>
          <w:lang w:eastAsia="zh-CN"/>
        </w:rPr>
        <w:t>增长了</w:t>
      </w:r>
      <w:r>
        <w:rPr>
          <w:rFonts w:hint="eastAsia"/>
          <w:lang w:val="en-US" w:eastAsia="zh-CN"/>
        </w:rPr>
        <w:t>183.04</w:t>
      </w:r>
      <w:r>
        <w:rPr>
          <w:rFonts w:hint="eastAsia"/>
        </w:rPr>
        <w:t>%，</w:t>
      </w:r>
      <w:r>
        <w:rPr>
          <w:rFonts w:hint="eastAsia"/>
          <w:lang w:eastAsia="zh-CN"/>
        </w:rPr>
        <w:t>三公经费上涨的原因主要为公务车辆因使用年限较长，维修保养次数增多，造成车辆运行费用上涨；结转结余资金主要为</w:t>
      </w:r>
      <w:r>
        <w:rPr>
          <w:rFonts w:hint="eastAsia"/>
          <w:lang w:val="en-US" w:eastAsia="zh-CN"/>
        </w:rPr>
        <w:t>2023年12月底省卫生健康委拨付的2024年卫生相关考务工作经费和2024年甘肃省骨干人才青年人才培养经费。</w:t>
      </w:r>
      <w:r>
        <w:rPr>
          <w:rFonts w:hint="eastAsia"/>
        </w:rPr>
        <w:t>“三公经费”</w:t>
      </w:r>
      <w:r>
        <w:rPr>
          <w:rFonts w:hint="eastAsia"/>
          <w:lang w:eastAsia="zh-CN"/>
        </w:rPr>
        <w:t>使用过程中我委</w:t>
      </w:r>
      <w:r>
        <w:rPr>
          <w:rFonts w:hint="eastAsia"/>
        </w:rPr>
        <w:t>严格执行中央八项规定和省委双十条规定，加强管理，厉行节约，减少不必要支出,以上指标均实现本年度指标值。在项目支出方面，全年</w:t>
      </w:r>
      <w:r>
        <w:rPr>
          <w:rFonts w:hint="eastAsia"/>
          <w:lang w:val="en-US" w:eastAsia="zh-CN"/>
        </w:rPr>
        <w:t>23</w:t>
      </w:r>
      <w:r>
        <w:rPr>
          <w:rFonts w:hint="eastAsia"/>
        </w:rPr>
        <w:t>个项目均基本实施完成，少数未支出金额为</w:t>
      </w:r>
      <w:r>
        <w:rPr>
          <w:rFonts w:hint="eastAsia"/>
          <w:lang w:eastAsia="zh-CN"/>
        </w:rPr>
        <w:t>项目实施完毕结余资金</w:t>
      </w:r>
      <w:r>
        <w:rPr>
          <w:rFonts w:hint="eastAsia"/>
        </w:rPr>
        <w:t>，项目支出预算执行率为</w:t>
      </w:r>
      <w:r>
        <w:rPr>
          <w:rFonts w:hint="eastAsia"/>
          <w:lang w:val="en-US" w:eastAsia="zh-CN"/>
        </w:rPr>
        <w:t>93.27</w:t>
      </w:r>
      <w:r>
        <w:rPr>
          <w:rFonts w:hint="eastAsia"/>
        </w:rPr>
        <w:t>%，按比例，项目支出预算执行率指标得分为</w:t>
      </w:r>
      <w:r>
        <w:rPr>
          <w:rFonts w:hint="eastAsia"/>
          <w:lang w:val="en-US" w:eastAsia="zh-CN"/>
        </w:rPr>
        <w:t>7.44</w:t>
      </w:r>
      <w:r>
        <w:rPr>
          <w:rFonts w:hint="eastAsia"/>
        </w:rPr>
        <w:t>分。</w:t>
      </w:r>
    </w:p>
    <w:p w14:paraId="7B8905E5">
      <w:pPr>
        <w:ind w:firstLine="643"/>
        <w:rPr>
          <w:b/>
          <w:bCs/>
        </w:rPr>
      </w:pPr>
      <w:r>
        <w:rPr>
          <w:rFonts w:hint="eastAsia"/>
          <w:b/>
          <w:bCs/>
        </w:rPr>
        <w:t>（2）财务管理</w:t>
      </w:r>
    </w:p>
    <w:p w14:paraId="0670CAB3">
      <w:r>
        <w:rPr>
          <w:rFonts w:hint="eastAsia"/>
        </w:rPr>
        <w:t>财务管理指标分值为4分，得4分。根据部门履职需求，我委制订了部门财务资产管理办法，明确预决算管理、收入与支出管理、审批与报销和监督检查等管理要求，确保部门财务管理工作的有效开展。同时，为加强资金管理，提高资金的使用效益，我委制定了多项专项资金管理办法，有效保障资金使用的合规性。</w:t>
      </w:r>
    </w:p>
    <w:p w14:paraId="049227FE">
      <w:pPr>
        <w:ind w:firstLine="643"/>
        <w:rPr>
          <w:b/>
          <w:bCs/>
        </w:rPr>
      </w:pPr>
      <w:r>
        <w:rPr>
          <w:rFonts w:hint="eastAsia"/>
          <w:b/>
          <w:bCs/>
        </w:rPr>
        <w:t>（3）采购管理</w:t>
      </w:r>
    </w:p>
    <w:p w14:paraId="31D3CD85">
      <w:r>
        <w:rPr>
          <w:rFonts w:hint="eastAsia"/>
        </w:rPr>
        <w:t>采购管理指标分值为2分，得2分。各项采购工作严格按照政府采购要求进行，程序合规、各项手续齐全，整体采购管理工作规范。</w:t>
      </w:r>
    </w:p>
    <w:p w14:paraId="2B8A0906">
      <w:pPr>
        <w:ind w:firstLine="643"/>
        <w:rPr>
          <w:b/>
          <w:bCs/>
        </w:rPr>
      </w:pPr>
      <w:r>
        <w:rPr>
          <w:rFonts w:hint="eastAsia"/>
          <w:b/>
          <w:bCs/>
        </w:rPr>
        <w:t>（4）资产管理</w:t>
      </w:r>
    </w:p>
    <w:p w14:paraId="5F982D45">
      <w:r>
        <w:rPr>
          <w:rFonts w:hint="eastAsia"/>
        </w:rPr>
        <w:t>资产管理指标分值为2分，得2分。为进一步规范和加强行政事业性国有资产管理，维护资产的安全和完整，提高资产使用效益。兰州新区卫生健康委员会根据《财政部关于贯彻实施政府会计准则制度的通知》（财会</w:t>
      </w:r>
      <w:r>
        <w:rPr>
          <w:rFonts w:hint="eastAsia" w:cs="仿宋_GB2312"/>
        </w:rPr>
        <w:t>〔2018〕21号</w:t>
      </w:r>
      <w:r>
        <w:rPr>
          <w:rFonts w:hint="eastAsia"/>
        </w:rPr>
        <w:t>）《甘肃省行政事业单位国有资产管理办法》（省政府令</w:t>
      </w:r>
      <w:r>
        <w:rPr>
          <w:rFonts w:hint="eastAsia" w:cs="仿宋_GB2312"/>
        </w:rPr>
        <w:t>第52号</w:t>
      </w:r>
      <w:r>
        <w:rPr>
          <w:rFonts w:hint="eastAsia"/>
        </w:rPr>
        <w:t>）以及甘肃省国有资产管理相关规定，制定了国有资产管理办法，对资产配置、资产使用和管理、资产处置等内容进行明确。并根据相关要求按期完成涉改单位国有资产清查工作。</w:t>
      </w:r>
    </w:p>
    <w:p w14:paraId="0661AC02">
      <w:pPr>
        <w:ind w:left="640" w:leftChars="200" w:firstLine="0" w:firstLineChars="0"/>
        <w:rPr>
          <w:b/>
          <w:bCs/>
        </w:rPr>
      </w:pPr>
      <w:r>
        <w:rPr>
          <w:rFonts w:hint="eastAsia"/>
          <w:b/>
          <w:bCs/>
        </w:rPr>
        <w:t>（5）人员管理</w:t>
      </w:r>
    </w:p>
    <w:p w14:paraId="5F9568F2">
      <w:pPr>
        <w:rPr>
          <w:b/>
          <w:bCs/>
        </w:rPr>
      </w:pPr>
      <w:r>
        <w:rPr>
          <w:rFonts w:hint="eastAsia"/>
        </w:rPr>
        <w:t>人员管理指标分值为2分，得2分。我委编制人数为34人。截止20</w:t>
      </w:r>
      <w:r>
        <w:rPr>
          <w:rFonts w:hint="eastAsia"/>
          <w:lang w:val="en-US" w:eastAsia="zh-CN"/>
        </w:rPr>
        <w:t>23</w:t>
      </w:r>
      <w:r>
        <w:rPr>
          <w:rFonts w:hint="eastAsia"/>
        </w:rPr>
        <w:t>年底，在职人员</w:t>
      </w:r>
      <w:r>
        <w:rPr>
          <w:rFonts w:hint="eastAsia"/>
          <w:lang w:val="en-US" w:eastAsia="zh-CN"/>
        </w:rPr>
        <w:t>30</w:t>
      </w:r>
      <w:r>
        <w:rPr>
          <w:rFonts w:hint="eastAsia"/>
        </w:rPr>
        <w:t>人（其中在职行政1</w:t>
      </w:r>
      <w:r>
        <w:rPr>
          <w:rFonts w:hint="eastAsia"/>
          <w:lang w:val="en-US" w:eastAsia="zh-CN"/>
        </w:rPr>
        <w:t>6</w:t>
      </w:r>
      <w:r>
        <w:rPr>
          <w:rFonts w:hint="eastAsia"/>
        </w:rPr>
        <w:t>人，在职事业</w:t>
      </w:r>
      <w:r>
        <w:rPr>
          <w:rFonts w:hint="eastAsia"/>
          <w:lang w:val="en-US" w:eastAsia="zh-CN"/>
        </w:rPr>
        <w:t>9</w:t>
      </w:r>
      <w:r>
        <w:rPr>
          <w:rFonts w:hint="eastAsia"/>
        </w:rPr>
        <w:t>人，其他</w:t>
      </w:r>
      <w:r>
        <w:rPr>
          <w:rFonts w:hint="eastAsia"/>
          <w:lang w:val="en-US" w:eastAsia="zh-CN"/>
        </w:rPr>
        <w:t>5</w:t>
      </w:r>
      <w:r>
        <w:rPr>
          <w:rFonts w:hint="eastAsia"/>
        </w:rPr>
        <w:t>人），在职人员控制率为</w:t>
      </w:r>
      <w:r>
        <w:rPr>
          <w:rFonts w:hint="eastAsia"/>
          <w:lang w:val="en-US" w:eastAsia="zh-CN"/>
        </w:rPr>
        <w:t>88.23</w:t>
      </w:r>
      <w:r>
        <w:rPr>
          <w:rFonts w:hint="eastAsia"/>
        </w:rPr>
        <w:t>%，实现年初指标值。</w:t>
      </w:r>
    </w:p>
    <w:p w14:paraId="7A1318A9">
      <w:pPr>
        <w:ind w:firstLine="643"/>
        <w:rPr>
          <w:b/>
          <w:bCs/>
        </w:rPr>
      </w:pPr>
      <w:r>
        <w:rPr>
          <w:rFonts w:hint="eastAsia"/>
          <w:b/>
          <w:bCs/>
        </w:rPr>
        <w:t>（6）重点工作管理制度健全性</w:t>
      </w:r>
    </w:p>
    <w:p w14:paraId="4F6D0F1F">
      <w:pPr>
        <w:rPr>
          <w:rFonts w:ascii="楷体_GB2312" w:hAnsi="楷体_GB2312" w:eastAsia="楷体_GB2312" w:cs="楷体_GB2312"/>
          <w:b/>
          <w:bCs/>
          <w:szCs w:val="32"/>
        </w:rPr>
      </w:pPr>
      <w:r>
        <w:rPr>
          <w:rFonts w:hint="eastAsia"/>
        </w:rPr>
        <w:t>重点工作管理制度健全性指标分值为2分，得2分。为统筹我委202</w:t>
      </w:r>
      <w:r>
        <w:rPr>
          <w:rFonts w:hint="eastAsia"/>
          <w:lang w:val="en-US" w:eastAsia="zh-CN"/>
        </w:rPr>
        <w:t>3</w:t>
      </w:r>
      <w:r>
        <w:rPr>
          <w:rFonts w:hint="eastAsia"/>
        </w:rPr>
        <w:t>年度各项重点工作的落实，印发重点工作任务通知，对相关工作任务进行细化分解，明确职责，做好计划控制、目标管理、责任到人，保障各项重点工作的落实。同时，根据重点工作安排，制定相应的资金管理办法，从业务及资金两方面统筹做好重点工作的管理。在各项重点工作实施过程中，需进一步完善各项管理制度并强化制其执行力度。</w:t>
      </w:r>
    </w:p>
    <w:p w14:paraId="78210560">
      <w:pPr>
        <w:ind w:left="640" w:leftChars="200" w:firstLine="0" w:firstLineChars="0"/>
        <w:rPr>
          <w:b/>
          <w:bCs/>
        </w:rPr>
      </w:pPr>
      <w:r>
        <w:rPr>
          <w:rFonts w:hint="eastAsia"/>
          <w:b/>
          <w:bCs/>
        </w:rPr>
        <w:t>3.履职效果</w:t>
      </w:r>
    </w:p>
    <w:p w14:paraId="018F0301">
      <w:pPr>
        <w:ind w:firstLine="643"/>
        <w:rPr>
          <w:b/>
          <w:bCs/>
        </w:rPr>
      </w:pPr>
      <w:r>
        <w:rPr>
          <w:rFonts w:hint="eastAsia"/>
          <w:b/>
          <w:bCs/>
        </w:rPr>
        <w:t>（1）部门履职目标</w:t>
      </w:r>
    </w:p>
    <w:p w14:paraId="680E712C">
      <w:pPr>
        <w:rPr>
          <w:rFonts w:ascii="楷体_GB2312" w:hAnsi="楷体_GB2312" w:eastAsia="楷体_GB2312" w:cs="楷体_GB2312"/>
          <w:b/>
          <w:bCs/>
          <w:color w:val="auto"/>
          <w:szCs w:val="32"/>
          <w:highlight w:val="none"/>
        </w:rPr>
      </w:pPr>
      <w:r>
        <w:rPr>
          <w:rFonts w:hint="eastAsia"/>
        </w:rPr>
        <w:t>部门履职目标指标根据我委工作职责及年度工作安排，从基本公卫宣传数、卫生监督覆盖率、建设项目完成率、健康档案建立覆盖率、</w:t>
      </w:r>
      <w:r>
        <w:rPr>
          <w:rFonts w:hint="eastAsia" w:ascii="仿宋_GB2312" w:hAnsi="仿宋_GB2312" w:eastAsia="仿宋_GB2312" w:cs="仿宋_GB2312"/>
          <w:b w:val="0"/>
          <w:bCs w:val="0"/>
          <w:kern w:val="2"/>
          <w:sz w:val="32"/>
          <w:szCs w:val="32"/>
          <w:lang w:val="en-US" w:eastAsia="zh-CN" w:bidi="ar-SA"/>
        </w:rPr>
        <w:t>“明星—粉丝”家庭医生签约</w:t>
      </w:r>
      <w:r>
        <w:rPr>
          <w:rFonts w:hint="eastAsia" w:cs="仿宋_GB2312"/>
          <w:b w:val="0"/>
          <w:bCs w:val="0"/>
          <w:kern w:val="2"/>
          <w:sz w:val="32"/>
          <w:szCs w:val="32"/>
          <w:lang w:val="en-US" w:eastAsia="zh-CN" w:bidi="ar-SA"/>
        </w:rPr>
        <w:t>完成率、</w:t>
      </w:r>
      <w:r>
        <w:rPr>
          <w:rFonts w:hint="eastAsia"/>
        </w:rPr>
        <w:t>党建工作完成率等方面对我委202</w:t>
      </w:r>
      <w:r>
        <w:rPr>
          <w:rFonts w:hint="eastAsia"/>
          <w:lang w:val="en-US" w:eastAsia="zh-CN"/>
        </w:rPr>
        <w:t>3</w:t>
      </w:r>
      <w:r>
        <w:rPr>
          <w:rFonts w:hint="eastAsia"/>
        </w:rPr>
        <w:t>年度部门履职工作完成情况进行分析说明。</w:t>
      </w:r>
      <w:r>
        <w:rPr>
          <w:rFonts w:hint="eastAsia"/>
          <w:color w:val="auto"/>
          <w:highlight w:val="none"/>
        </w:rPr>
        <w:t>履职数量指标分值为</w:t>
      </w:r>
      <w:r>
        <w:rPr>
          <w:rFonts w:hint="eastAsia"/>
          <w:color w:val="auto"/>
          <w:highlight w:val="none"/>
          <w:lang w:val="en-US" w:eastAsia="zh-CN"/>
        </w:rPr>
        <w:t>50</w:t>
      </w:r>
      <w:r>
        <w:rPr>
          <w:rFonts w:hint="eastAsia"/>
          <w:color w:val="auto"/>
          <w:highlight w:val="none"/>
        </w:rPr>
        <w:t>分，所有工作任务均稳步推进实施，因此该指标得</w:t>
      </w:r>
      <w:r>
        <w:rPr>
          <w:rFonts w:hint="eastAsia"/>
          <w:color w:val="auto"/>
          <w:highlight w:val="none"/>
          <w:lang w:val="en-US" w:eastAsia="zh-CN"/>
        </w:rPr>
        <w:t>50</w:t>
      </w:r>
      <w:r>
        <w:rPr>
          <w:rFonts w:hint="eastAsia"/>
          <w:color w:val="auto"/>
          <w:highlight w:val="none"/>
        </w:rPr>
        <w:t>分。</w:t>
      </w:r>
    </w:p>
    <w:p w14:paraId="4BA36A41">
      <w:pPr>
        <w:keepNext w:val="0"/>
        <w:keepLines w:val="0"/>
        <w:pageBreakBefore w:val="0"/>
        <w:kinsoku/>
        <w:wordWrap/>
        <w:overflowPunct/>
        <w:topLinePunct w:val="0"/>
        <w:autoSpaceDE/>
        <w:autoSpaceDN/>
        <w:bidi w:val="0"/>
        <w:adjustRightInd w:val="0"/>
        <w:snapToGrid w:val="0"/>
        <w:spacing w:line="540" w:lineRule="exact"/>
        <w:ind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楷体_GB2312" w:hAnsi="楷体_GB2312" w:eastAsia="楷体_GB2312" w:cs="楷体_GB2312"/>
          <w:b/>
          <w:bCs/>
          <w:szCs w:val="32"/>
        </w:rPr>
        <w:t>①</w:t>
      </w:r>
      <w:r>
        <w:rPr>
          <w:rFonts w:hint="eastAsia" w:ascii="仿宋_GB2312" w:hAnsi="仿宋_GB2312" w:eastAsia="仿宋_GB2312" w:cs="仿宋_GB2312"/>
          <w:b/>
          <w:bCs/>
          <w:color w:val="000000"/>
          <w:kern w:val="2"/>
          <w:sz w:val="32"/>
          <w:szCs w:val="32"/>
          <w:lang w:val="en-US" w:eastAsia="zh-CN" w:bidi="ar-SA"/>
        </w:rPr>
        <w:t>切实加强党的建设和行风建设。</w:t>
      </w:r>
      <w:r>
        <w:rPr>
          <w:rFonts w:hint="eastAsia" w:cs="仿宋_GB2312"/>
          <w:b w:val="0"/>
          <w:bCs w:val="0"/>
          <w:color w:val="000000"/>
          <w:kern w:val="2"/>
          <w:sz w:val="32"/>
          <w:szCs w:val="32"/>
          <w:lang w:val="en-US" w:eastAsia="zh-CN" w:bidi="ar-SA"/>
        </w:rPr>
        <w:t>分值5分，得分5分。</w:t>
      </w:r>
      <w:r>
        <w:rPr>
          <w:rFonts w:hint="eastAsia" w:ascii="仿宋_GB2312" w:hAnsi="仿宋_GB2312" w:eastAsia="仿宋_GB2312" w:cs="仿宋_GB2312"/>
          <w:b/>
          <w:bCs/>
          <w:color w:val="000000"/>
          <w:kern w:val="2"/>
          <w:sz w:val="32"/>
          <w:szCs w:val="32"/>
          <w:lang w:val="en-US" w:eastAsia="zh-CN" w:bidi="ar-SA"/>
        </w:rPr>
        <w:t>一是</w:t>
      </w:r>
      <w:r>
        <w:rPr>
          <w:rFonts w:hint="eastAsia" w:ascii="仿宋_GB2312" w:hAnsi="仿宋_GB2312" w:eastAsia="仿宋_GB2312" w:cs="仿宋_GB2312"/>
          <w:kern w:val="2"/>
          <w:sz w:val="32"/>
          <w:szCs w:val="32"/>
          <w:u w:val="none"/>
          <w:lang w:val="en-US" w:eastAsia="zh-CN" w:bidi="ar-SA"/>
        </w:rPr>
        <w:t>印发了《党建工作要点及基层党建重点任务清单》、《全面从严治党暨党风廉政建设任务清单》、《意识形态工作任务清单》等文件，督促落实并进行考核。各党支部及时召开“三会一课”，并在甘肃党建APP上传。培训系统入党积极分子58人、发展对象13人，发展中共预备党员12人。批复成立党支部1个。开展警示、红色教育等主题党日活动12次。</w:t>
      </w:r>
      <w:r>
        <w:rPr>
          <w:rFonts w:hint="eastAsia" w:ascii="仿宋_GB2312" w:hAnsi="仿宋_GB2312" w:eastAsia="仿宋_GB2312" w:cs="仿宋_GB2312"/>
          <w:b/>
          <w:bCs/>
          <w:kern w:val="2"/>
          <w:sz w:val="32"/>
          <w:szCs w:val="32"/>
          <w:u w:val="none"/>
          <w:lang w:val="en-US" w:eastAsia="zh-CN" w:bidi="ar-SA"/>
        </w:rPr>
        <w:t>三是</w:t>
      </w:r>
      <w:r>
        <w:rPr>
          <w:rFonts w:hint="eastAsia" w:ascii="仿宋_GB2312" w:hAnsi="仿宋_GB2312" w:eastAsia="仿宋_GB2312" w:cs="仿宋_GB2312"/>
          <w:kern w:val="2"/>
          <w:sz w:val="32"/>
          <w:szCs w:val="32"/>
          <w:u w:val="none"/>
          <w:lang w:val="en-US" w:eastAsia="zh-CN" w:bidi="ar-SA"/>
        </w:rPr>
        <w:t>全面落实党风廉政建设主体责任，召开卫生健康工作暨党风廉政建设会议，不定期开展违纪违法案件学习等警示教育活动。认真落实“工作约谈”“提醒约谈”等机制，对重点岗位、关键环节领导干部约谈127次209人次。</w:t>
      </w:r>
      <w:r>
        <w:rPr>
          <w:rFonts w:hint="eastAsia" w:ascii="仿宋_GB2312" w:hAnsi="仿宋_GB2312" w:eastAsia="仿宋_GB2312" w:cs="仿宋_GB2312"/>
          <w:b/>
          <w:bCs/>
          <w:kern w:val="2"/>
          <w:sz w:val="32"/>
          <w:szCs w:val="32"/>
          <w:u w:val="none"/>
          <w:lang w:val="en-US" w:eastAsia="zh-CN" w:bidi="ar-SA"/>
        </w:rPr>
        <w:t>三是</w:t>
      </w:r>
      <w:r>
        <w:rPr>
          <w:rFonts w:hint="eastAsia" w:ascii="仿宋_GB2312" w:hAnsi="仿宋_GB2312" w:eastAsia="仿宋_GB2312" w:cs="仿宋_GB2312"/>
          <w:b w:val="0"/>
          <w:bCs w:val="0"/>
          <w:color w:val="auto"/>
          <w:kern w:val="2"/>
          <w:sz w:val="32"/>
          <w:szCs w:val="32"/>
          <w:lang w:val="en-US" w:eastAsia="zh-CN" w:bidi="ar-SA"/>
        </w:rPr>
        <w:t>坚持以“五学联动”为抓手，严格落实党组理论中心组学习、每周五集中学习、“三会一课”、集中宣讲培训、科室自学等制度，今年以来累计开展委党组理论中心组学习22次、委务会学习27次、周五集中学习33次，</w:t>
      </w:r>
      <w:r>
        <w:rPr>
          <w:rFonts w:hint="eastAsia" w:ascii="仿宋_GB2312" w:hAnsi="仿宋_GB2312" w:eastAsia="仿宋_GB2312" w:cs="仿宋_GB2312"/>
          <w:color w:val="auto"/>
          <w:sz w:val="32"/>
          <w:szCs w:val="32"/>
          <w:lang w:val="en-US" w:eastAsia="zh-CN"/>
        </w:rPr>
        <w:t>重点学习习近平新时代中国特色社会主义思想、党的二十大报告</w:t>
      </w:r>
      <w:r>
        <w:rPr>
          <w:rFonts w:hint="eastAsia" w:ascii="仿宋_GB2312" w:hAnsi="仿宋_GB2312" w:eastAsia="仿宋_GB2312" w:cs="仿宋_GB2312"/>
          <w:b w:val="0"/>
          <w:bCs w:val="0"/>
          <w:color w:val="auto"/>
          <w:kern w:val="2"/>
          <w:sz w:val="32"/>
          <w:szCs w:val="32"/>
          <w:lang w:val="en-US" w:eastAsia="zh-CN" w:bidi="ar-SA"/>
        </w:rPr>
        <w:t>等，</w:t>
      </w:r>
      <w:r>
        <w:rPr>
          <w:rFonts w:hint="eastAsia" w:ascii="仿宋_GB2312" w:hAnsi="仿宋_GB2312" w:eastAsia="仿宋_GB2312" w:cs="仿宋_GB2312"/>
          <w:color w:val="auto"/>
          <w:sz w:val="32"/>
          <w:szCs w:val="32"/>
          <w:lang w:val="en-US" w:eastAsia="zh-CN"/>
        </w:rPr>
        <w:t>及时传达学习中央、省、市、新区重要文件和会议精神，不断提高干部思想理论水平</w:t>
      </w:r>
      <w:r>
        <w:rPr>
          <w:rFonts w:hint="eastAsia" w:ascii="仿宋_GB2312" w:hAnsi="仿宋_GB2312" w:eastAsia="仿宋_GB2312" w:cs="仿宋_GB2312"/>
          <w:kern w:val="2"/>
          <w:sz w:val="32"/>
          <w:szCs w:val="32"/>
          <w:u w:val="none"/>
          <w:lang w:val="en-US" w:eastAsia="zh-CN" w:bidi="ar-SA"/>
        </w:rPr>
        <w:t>。</w:t>
      </w:r>
      <w:r>
        <w:rPr>
          <w:rFonts w:hint="eastAsia" w:ascii="仿宋_GB2312" w:hAnsi="仿宋_GB2312" w:eastAsia="仿宋_GB2312" w:cs="仿宋_GB2312"/>
          <w:b/>
          <w:bCs/>
          <w:kern w:val="2"/>
          <w:sz w:val="32"/>
          <w:szCs w:val="32"/>
          <w:u w:val="none"/>
          <w:lang w:val="en-US" w:eastAsia="zh-CN" w:bidi="ar-SA"/>
        </w:rPr>
        <w:t>四是</w:t>
      </w:r>
      <w:r>
        <w:rPr>
          <w:rFonts w:hint="eastAsia" w:ascii="仿宋_GB2312" w:hAnsi="仿宋_GB2312" w:eastAsia="仿宋_GB2312" w:cs="仿宋_GB2312"/>
          <w:kern w:val="2"/>
          <w:sz w:val="32"/>
          <w:szCs w:val="32"/>
          <w:u w:val="none"/>
          <w:lang w:val="en-US" w:eastAsia="zh-CN" w:bidi="ar-SA"/>
        </w:rPr>
        <w:t>严格落实意识形态工作责任制。认真学习贯彻习近平总书记关于意识形态、网络安全的重要论述，加强舆情监测，及时解决投诉和信访事项，累计办理各类投诉事项282件，办结率100%，切实维护意识形态和网络安全。委微信公众号发布信息183篇，编发简报101期，新区“三抓三促”行动办采用2篇，兰新先锋公众号采用1篇。</w:t>
      </w:r>
      <w:r>
        <w:rPr>
          <w:rFonts w:hint="eastAsia" w:ascii="仿宋_GB2312" w:hAnsi="仿宋_GB2312" w:eastAsia="仿宋_GB2312" w:cs="仿宋_GB2312"/>
          <w:b/>
          <w:bCs/>
          <w:kern w:val="2"/>
          <w:sz w:val="32"/>
          <w:szCs w:val="32"/>
          <w:u w:val="none"/>
          <w:lang w:val="en-US" w:eastAsia="zh-CN" w:bidi="ar-SA"/>
        </w:rPr>
        <w:t>五是</w:t>
      </w:r>
      <w:r>
        <w:rPr>
          <w:rFonts w:hint="eastAsia" w:ascii="仿宋_GB2312" w:hAnsi="仿宋_GB2312" w:eastAsia="仿宋_GB2312" w:cs="仿宋_GB2312"/>
          <w:kern w:val="2"/>
          <w:sz w:val="32"/>
          <w:szCs w:val="32"/>
          <w:u w:val="none"/>
          <w:lang w:val="en-US" w:eastAsia="zh-CN" w:bidi="ar-SA"/>
        </w:rPr>
        <w:t>持续加强系统行风建设。印发了《新区医疗机构贯彻落实&lt;医疗机构工作人员廉洁从业九项准则&gt;实施方案》等文件，督促各医疗机构每季度开展医德医风教育并纳入月度绩效考核，定期对医共体工作进行督促检查并及时进行通报，持续优化服务。全面开展医药领域腐败问题集中整治，</w:t>
      </w:r>
      <w:r>
        <w:rPr>
          <w:rFonts w:hint="default" w:ascii="仿宋_GB2312" w:hAnsi="仿宋_GB2312" w:eastAsia="仿宋_GB2312" w:cs="仿宋_GB2312"/>
          <w:kern w:val="2"/>
          <w:sz w:val="32"/>
          <w:szCs w:val="32"/>
          <w:u w:val="none"/>
          <w:lang w:val="en-US" w:eastAsia="zh-CN" w:bidi="ar-SA"/>
        </w:rPr>
        <w:t>组织</w:t>
      </w:r>
      <w:r>
        <w:rPr>
          <w:rFonts w:hint="eastAsia" w:ascii="仿宋_GB2312" w:hAnsi="仿宋_GB2312" w:eastAsia="仿宋_GB2312" w:cs="仿宋_GB2312"/>
          <w:kern w:val="2"/>
          <w:sz w:val="32"/>
          <w:szCs w:val="32"/>
          <w:u w:val="none"/>
          <w:lang w:val="en-US" w:eastAsia="zh-CN" w:bidi="ar-SA"/>
        </w:rPr>
        <w:t>新区</w:t>
      </w:r>
      <w:r>
        <w:rPr>
          <w:rFonts w:hint="default" w:ascii="仿宋_GB2312" w:hAnsi="仿宋_GB2312" w:eastAsia="仿宋_GB2312" w:cs="仿宋_GB2312"/>
          <w:kern w:val="2"/>
          <w:sz w:val="32"/>
          <w:szCs w:val="32"/>
          <w:u w:val="none"/>
          <w:lang w:val="en-US" w:eastAsia="zh-CN" w:bidi="ar-SA"/>
        </w:rPr>
        <w:t>卫生、医保、药监行政部门和公立医疗卫生机构、医药企业</w:t>
      </w:r>
      <w:r>
        <w:rPr>
          <w:rFonts w:hint="eastAsia" w:ascii="仿宋_GB2312" w:hAnsi="仿宋_GB2312" w:eastAsia="仿宋_GB2312" w:cs="仿宋_GB2312"/>
          <w:kern w:val="2"/>
          <w:sz w:val="32"/>
          <w:szCs w:val="32"/>
          <w:u w:val="none"/>
          <w:lang w:val="en-US" w:eastAsia="zh-CN" w:bidi="ar-SA"/>
        </w:rPr>
        <w:t>严格</w:t>
      </w:r>
      <w:r>
        <w:rPr>
          <w:rFonts w:hint="default" w:ascii="仿宋_GB2312" w:hAnsi="仿宋_GB2312" w:eastAsia="仿宋_GB2312" w:cs="仿宋_GB2312"/>
          <w:kern w:val="2"/>
          <w:sz w:val="32"/>
          <w:szCs w:val="32"/>
          <w:u w:val="none"/>
          <w:lang w:val="en-US" w:eastAsia="zh-CN" w:bidi="ar-SA"/>
        </w:rPr>
        <w:t>对照6个方面30项重点问题清单进行全面自查自纠</w:t>
      </w:r>
      <w:r>
        <w:rPr>
          <w:rFonts w:hint="eastAsia"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en-US" w:eastAsia="zh-CN" w:bidi="ar-SA"/>
        </w:rPr>
        <w:t>对10家</w:t>
      </w:r>
      <w:r>
        <w:rPr>
          <w:rFonts w:hint="eastAsia" w:ascii="仿宋_GB2312" w:hAnsi="仿宋_GB2312" w:eastAsia="仿宋_GB2312" w:cs="仿宋_GB2312"/>
          <w:kern w:val="2"/>
          <w:sz w:val="32"/>
          <w:szCs w:val="32"/>
          <w:u w:val="none"/>
          <w:lang w:val="en-US" w:eastAsia="zh-CN" w:bidi="ar-SA"/>
        </w:rPr>
        <w:t>委属</w:t>
      </w:r>
      <w:r>
        <w:rPr>
          <w:rFonts w:hint="default" w:ascii="仿宋_GB2312" w:hAnsi="仿宋_GB2312" w:eastAsia="仿宋_GB2312" w:cs="仿宋_GB2312"/>
          <w:kern w:val="2"/>
          <w:sz w:val="32"/>
          <w:szCs w:val="32"/>
          <w:u w:val="none"/>
          <w:lang w:val="en-US" w:eastAsia="zh-CN" w:bidi="ar-SA"/>
        </w:rPr>
        <w:t>公立医疗卫生</w:t>
      </w:r>
      <w:r>
        <w:rPr>
          <w:rFonts w:hint="eastAsia" w:ascii="仿宋_GB2312" w:hAnsi="仿宋_GB2312" w:eastAsia="仿宋_GB2312" w:cs="仿宋_GB2312"/>
          <w:kern w:val="2"/>
          <w:sz w:val="32"/>
          <w:szCs w:val="32"/>
          <w:u w:val="none"/>
          <w:lang w:val="en-US" w:eastAsia="zh-CN" w:bidi="ar-SA"/>
        </w:rPr>
        <w:t>单位</w:t>
      </w:r>
      <w:r>
        <w:rPr>
          <w:rFonts w:hint="default" w:ascii="仿宋_GB2312" w:hAnsi="仿宋_GB2312" w:eastAsia="仿宋_GB2312" w:cs="仿宋_GB2312"/>
          <w:kern w:val="2"/>
          <w:sz w:val="32"/>
          <w:szCs w:val="32"/>
          <w:u w:val="none"/>
          <w:lang w:val="en-US" w:eastAsia="zh-CN" w:bidi="ar-SA"/>
        </w:rPr>
        <w:t>的设备、药品、耗材采购等</w:t>
      </w:r>
      <w:r>
        <w:rPr>
          <w:rFonts w:hint="eastAsia" w:ascii="仿宋_GB2312" w:hAnsi="仿宋_GB2312" w:eastAsia="仿宋_GB2312" w:cs="仿宋_GB2312"/>
          <w:kern w:val="2"/>
          <w:sz w:val="32"/>
          <w:szCs w:val="32"/>
          <w:u w:val="none"/>
          <w:lang w:val="en-US" w:eastAsia="zh-CN" w:bidi="ar-SA"/>
        </w:rPr>
        <w:t>全面</w:t>
      </w:r>
      <w:r>
        <w:rPr>
          <w:rFonts w:hint="default" w:ascii="仿宋_GB2312" w:hAnsi="仿宋_GB2312" w:eastAsia="仿宋_GB2312" w:cs="仿宋_GB2312"/>
          <w:kern w:val="2"/>
          <w:sz w:val="32"/>
          <w:szCs w:val="32"/>
          <w:u w:val="none"/>
          <w:lang w:val="en-US" w:eastAsia="zh-CN" w:bidi="ar-SA"/>
        </w:rPr>
        <w:t>进行自查，</w:t>
      </w:r>
      <w:r>
        <w:rPr>
          <w:rFonts w:hint="eastAsia" w:ascii="仿宋_GB2312" w:hAnsi="仿宋_GB2312" w:eastAsia="仿宋_GB2312" w:cs="仿宋_GB2312"/>
          <w:kern w:val="2"/>
          <w:sz w:val="32"/>
          <w:szCs w:val="32"/>
          <w:u w:val="none"/>
          <w:lang w:val="en-US" w:eastAsia="zh-CN" w:bidi="ar-SA"/>
        </w:rPr>
        <w:t>加强</w:t>
      </w:r>
      <w:r>
        <w:rPr>
          <w:rFonts w:hint="default" w:ascii="仿宋_GB2312" w:hAnsi="仿宋_GB2312" w:eastAsia="仿宋_GB2312" w:cs="仿宋_GB2312"/>
          <w:kern w:val="2"/>
          <w:sz w:val="32"/>
          <w:szCs w:val="32"/>
          <w:u w:val="none"/>
          <w:lang w:val="en-US" w:eastAsia="zh-CN" w:bidi="ar-SA"/>
        </w:rPr>
        <w:t>正面</w:t>
      </w:r>
      <w:r>
        <w:rPr>
          <w:rFonts w:hint="eastAsia" w:ascii="仿宋_GB2312" w:hAnsi="仿宋_GB2312" w:eastAsia="仿宋_GB2312" w:cs="仿宋_GB2312"/>
          <w:kern w:val="2"/>
          <w:sz w:val="32"/>
          <w:szCs w:val="32"/>
          <w:u w:val="none"/>
          <w:lang w:val="en-US" w:eastAsia="zh-CN" w:bidi="ar-SA"/>
        </w:rPr>
        <w:t>宣传</w:t>
      </w:r>
      <w:r>
        <w:rPr>
          <w:rFonts w:hint="default" w:ascii="仿宋_GB2312" w:hAnsi="仿宋_GB2312" w:eastAsia="仿宋_GB2312" w:cs="仿宋_GB2312"/>
          <w:kern w:val="2"/>
          <w:sz w:val="32"/>
          <w:szCs w:val="32"/>
          <w:u w:val="none"/>
          <w:lang w:val="en-US" w:eastAsia="zh-CN" w:bidi="ar-SA"/>
        </w:rPr>
        <w:t>引导，稳妥有序推进集中整治工作</w:t>
      </w:r>
      <w:r>
        <w:rPr>
          <w:rFonts w:hint="eastAsia" w:ascii="仿宋_GB2312" w:hAnsi="仿宋_GB2312" w:eastAsia="仿宋_GB2312" w:cs="仿宋_GB2312"/>
          <w:kern w:val="2"/>
          <w:sz w:val="32"/>
          <w:szCs w:val="32"/>
          <w:u w:val="none"/>
          <w:lang w:val="en-US" w:eastAsia="zh-CN" w:bidi="ar-SA"/>
        </w:rPr>
        <w:t>。</w:t>
      </w:r>
      <w:r>
        <w:rPr>
          <w:rFonts w:hint="eastAsia" w:ascii="仿宋_GB2312" w:hAnsi="仿宋_GB2312" w:eastAsia="仿宋_GB2312" w:cs="仿宋_GB2312"/>
          <w:b/>
          <w:bCs/>
          <w:kern w:val="2"/>
          <w:sz w:val="32"/>
          <w:szCs w:val="32"/>
          <w:u w:val="none"/>
          <w:lang w:val="en-US" w:eastAsia="zh-CN" w:bidi="ar-SA"/>
        </w:rPr>
        <w:t>六是</w:t>
      </w:r>
      <w:r>
        <w:rPr>
          <w:rFonts w:hint="eastAsia" w:ascii="仿宋_GB2312" w:hAnsi="仿宋_GB2312" w:eastAsia="仿宋_GB2312" w:cs="仿宋_GB2312"/>
          <w:kern w:val="2"/>
          <w:sz w:val="32"/>
          <w:szCs w:val="32"/>
          <w:u w:val="none"/>
          <w:lang w:val="en-US" w:eastAsia="zh-CN" w:bidi="ar-SA"/>
        </w:rPr>
        <w:t>认真学习贯彻总体国家安全观，严格落实安全生产主体责任和管行业必管安全的监管责任，深刻吸取“4.18”北京长峰医院火灾和“6.21”宁夏烧烤店燃气爆炸事故教训，联合新区消防救援支队对新区医疗卫生单位开展专项检查，重点加强五一、中秋、国庆等重大节假日和积石山地震后系统安全生产工作，累计检查10次，发现的安全隐患督促全部整改到位。</w:t>
      </w:r>
      <w:r>
        <w:rPr>
          <w:rFonts w:hint="eastAsia" w:ascii="仿宋_GB2312" w:hAnsi="仿宋_GB2312" w:eastAsia="仿宋_GB2312" w:cs="仿宋_GB2312"/>
          <w:b/>
          <w:bCs/>
          <w:kern w:val="2"/>
          <w:sz w:val="32"/>
          <w:szCs w:val="32"/>
          <w:u w:val="none"/>
          <w:lang w:val="en-US" w:eastAsia="zh-CN" w:bidi="ar-SA"/>
        </w:rPr>
        <w:t>七是</w:t>
      </w:r>
      <w:r>
        <w:rPr>
          <w:rFonts w:hint="eastAsia" w:ascii="仿宋_GB2312" w:hAnsi="仿宋_GB2312" w:eastAsia="仿宋_GB2312" w:cs="仿宋_GB2312"/>
          <w:kern w:val="2"/>
          <w:sz w:val="32"/>
          <w:szCs w:val="32"/>
          <w:u w:val="none"/>
          <w:lang w:val="en-US" w:eastAsia="zh-CN" w:bidi="ar-SA"/>
        </w:rPr>
        <w:t>全力抓好审计反馈问题整改，反馈的53个问题，已整改52 个，1个正在整改。认真抓好新区党工委第二巡察组巡察反馈4个方面12项31个问题整改工作，已完成整改28个，强化督促指导，健全规章制度，补齐短板漏洞，确保按时限要求高质量全部完成剩余问题的整改。</w:t>
      </w:r>
    </w:p>
    <w:p w14:paraId="27E9EDA2">
      <w:pPr>
        <w:pStyle w:val="11"/>
        <w:keepNext w:val="0"/>
        <w:keepLines w:val="0"/>
        <w:pageBreakBefore w:val="0"/>
        <w:kinsoku/>
        <w:wordWrap/>
        <w:overflowPunct/>
        <w:topLinePunct w:val="0"/>
        <w:autoSpaceDN/>
        <w:bidi w:val="0"/>
        <w:spacing w:line="540" w:lineRule="exact"/>
        <w:ind w:left="0" w:leftChars="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cs="仿宋_GB2312"/>
          <w:b/>
          <w:bCs/>
          <w:szCs w:val="32"/>
          <w:shd w:val="solid" w:color="FFFFFF" w:fill="FFFFFF"/>
        </w:rPr>
        <w:t>②</w:t>
      </w:r>
      <w:r>
        <w:rPr>
          <w:rFonts w:hint="eastAsia" w:ascii="仿宋_GB2312" w:hAnsi="仿宋_GB2312" w:eastAsia="仿宋_GB2312" w:cs="仿宋_GB2312"/>
          <w:b/>
          <w:bCs/>
          <w:color w:val="000000"/>
          <w:kern w:val="2"/>
          <w:sz w:val="32"/>
          <w:szCs w:val="32"/>
          <w:lang w:val="en-US" w:eastAsia="zh-CN" w:bidi="ar-SA"/>
        </w:rPr>
        <w:t>认真开展学习贯彻习近平新时代中国特色</w:t>
      </w:r>
      <w:r>
        <w:rPr>
          <w:rFonts w:hint="eastAsia" w:cs="仿宋_GB2312"/>
          <w:b/>
          <w:bCs/>
          <w:color w:val="000000"/>
          <w:kern w:val="2"/>
          <w:sz w:val="32"/>
          <w:szCs w:val="32"/>
          <w:lang w:val="en-US" w:eastAsia="zh-CN" w:bidi="ar-SA"/>
        </w:rPr>
        <w:t>社会</w:t>
      </w:r>
      <w:r>
        <w:rPr>
          <w:rFonts w:hint="eastAsia" w:ascii="仿宋_GB2312" w:hAnsi="仿宋_GB2312" w:eastAsia="仿宋_GB2312" w:cs="仿宋_GB2312"/>
          <w:b/>
          <w:bCs/>
          <w:color w:val="000000"/>
          <w:kern w:val="2"/>
          <w:sz w:val="32"/>
          <w:szCs w:val="32"/>
          <w:lang w:val="en-US" w:eastAsia="zh-CN" w:bidi="ar-SA"/>
        </w:rPr>
        <w:t>主义思想主题教育。</w:t>
      </w:r>
      <w:r>
        <w:rPr>
          <w:rFonts w:hint="eastAsia" w:cs="仿宋_GB2312"/>
          <w:b w:val="0"/>
          <w:bCs w:val="0"/>
          <w:color w:val="000000"/>
          <w:kern w:val="2"/>
          <w:sz w:val="32"/>
          <w:szCs w:val="32"/>
          <w:lang w:val="en-US" w:eastAsia="zh-CN" w:bidi="ar-SA"/>
        </w:rPr>
        <w:t>分值3分，得分3分。</w:t>
      </w:r>
      <w:r>
        <w:rPr>
          <w:rFonts w:hint="eastAsia" w:ascii="仿宋_GB2312" w:hAnsi="仿宋_GB2312" w:eastAsia="仿宋_GB2312" w:cs="仿宋_GB2312"/>
          <w:b/>
          <w:bCs/>
          <w:color w:val="000000"/>
          <w:kern w:val="2"/>
          <w:sz w:val="32"/>
          <w:szCs w:val="32"/>
          <w:lang w:val="en-US" w:eastAsia="zh-CN" w:bidi="ar-SA"/>
        </w:rPr>
        <w:t>一是</w:t>
      </w:r>
      <w:r>
        <w:rPr>
          <w:rFonts w:hint="eastAsia" w:ascii="仿宋_GB2312" w:hAnsi="仿宋_GB2312" w:eastAsia="仿宋_GB2312" w:cs="仿宋_GB2312"/>
          <w:kern w:val="2"/>
          <w:sz w:val="32"/>
          <w:szCs w:val="32"/>
          <w:u w:val="none"/>
          <w:lang w:val="en-US" w:eastAsia="zh-CN" w:bidi="ar-SA"/>
        </w:rPr>
        <w:t>根据新区主题教育统一要求，成立了主题教育领导小组并印发了实施方案，召开了系统主题教育动员部署会议，全面安排部署了主题教育工作。</w:t>
      </w:r>
      <w:r>
        <w:rPr>
          <w:rFonts w:hint="eastAsia" w:ascii="仿宋_GB2312" w:hAnsi="仿宋_GB2312" w:eastAsia="仿宋_GB2312" w:cs="仿宋_GB2312"/>
          <w:b/>
          <w:bCs/>
          <w:kern w:val="2"/>
          <w:sz w:val="32"/>
          <w:szCs w:val="32"/>
          <w:u w:val="none"/>
          <w:lang w:val="en-US" w:eastAsia="zh-CN" w:bidi="ar-SA"/>
        </w:rPr>
        <w:t>二是</w:t>
      </w:r>
      <w:r>
        <w:rPr>
          <w:rFonts w:hint="eastAsia" w:ascii="仿宋_GB2312" w:hAnsi="仿宋_GB2312" w:eastAsia="仿宋_GB2312" w:cs="仿宋_GB2312"/>
          <w:kern w:val="2"/>
          <w:sz w:val="32"/>
          <w:szCs w:val="32"/>
          <w:u w:val="none"/>
          <w:lang w:val="en-US" w:eastAsia="zh-CN" w:bidi="ar-SA"/>
        </w:rPr>
        <w:t>新区卫生健康委7名县级领导干部参加了新区主题教育读书班，1名县级领导提交了书面交流发言。举办了委党组主题教育读书班，组织党员、干部认真了中央、省、新区主题教育相关会议精神和《党的二十大报告》、《中国共产党章程》、《习近平新时代中国特色社会主义思想专题摘编》等9本著作、读本。邀请兰州大学魏占兴副教授作了专题辅导。组织集体观看了《航拍中国—甘肃篇》、《忏悔与警示》等专题纪录片。</w:t>
      </w:r>
      <w:r>
        <w:rPr>
          <w:rFonts w:hint="eastAsia" w:ascii="仿宋_GB2312" w:hAnsi="仿宋_GB2312" w:eastAsia="仿宋_GB2312" w:cs="仿宋_GB2312"/>
          <w:b/>
          <w:bCs/>
          <w:kern w:val="2"/>
          <w:sz w:val="32"/>
          <w:szCs w:val="32"/>
          <w:u w:val="none"/>
          <w:lang w:val="en-US" w:eastAsia="zh-CN" w:bidi="ar-SA"/>
        </w:rPr>
        <w:t>三是</w:t>
      </w:r>
      <w:r>
        <w:rPr>
          <w:rFonts w:hint="eastAsia" w:ascii="仿宋_GB2312" w:hAnsi="仿宋_GB2312" w:eastAsia="仿宋_GB2312" w:cs="仿宋_GB2312"/>
          <w:kern w:val="2"/>
          <w:sz w:val="32"/>
          <w:szCs w:val="32"/>
          <w:u w:val="none"/>
          <w:lang w:val="en-US" w:eastAsia="zh-CN" w:bidi="ar-SA"/>
        </w:rPr>
        <w:t>系统14位党员、干部分别围绕“新区卫生健康事业发展”“全面深化医药卫生体制改革”等主题结合实际作了学习交流发言。</w:t>
      </w:r>
      <w:r>
        <w:rPr>
          <w:rFonts w:hint="eastAsia" w:ascii="仿宋_GB2312" w:hAnsi="仿宋_GB2312" w:eastAsia="仿宋_GB2312" w:cs="仿宋_GB2312"/>
          <w:b/>
          <w:bCs/>
          <w:kern w:val="2"/>
          <w:sz w:val="32"/>
          <w:szCs w:val="32"/>
          <w:u w:val="none"/>
          <w:lang w:val="en-US" w:eastAsia="zh-CN" w:bidi="ar-SA"/>
        </w:rPr>
        <w:t>四是</w:t>
      </w:r>
      <w:r>
        <w:rPr>
          <w:rFonts w:hint="eastAsia" w:ascii="仿宋_GB2312" w:hAnsi="仿宋_GB2312" w:eastAsia="仿宋_GB2312" w:cs="仿宋_GB2312"/>
          <w:kern w:val="2"/>
          <w:sz w:val="32"/>
          <w:szCs w:val="32"/>
          <w:u w:val="none"/>
          <w:lang w:val="en-US" w:eastAsia="zh-CN" w:bidi="ar-SA"/>
        </w:rPr>
        <w:t>县级领导干部在委机关和联系单位党支部讲了专题党课。领导班子和县级领导共确定调研课题9个，按要求完成调研并高质量召开了调研成果交流会，凝聚了加快新区卫生健康事业高质量发展的思想共识。</w:t>
      </w:r>
    </w:p>
    <w:p w14:paraId="044DE0AF">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jc w:val="both"/>
        <w:textAlignment w:val="auto"/>
        <w:rPr>
          <w:rFonts w:hint="eastAsia" w:ascii="仿宋_GB2312" w:hAnsi="仿宋_GB2312" w:eastAsia="仿宋_GB2312" w:cs="仿宋_GB2312"/>
          <w:kern w:val="2"/>
          <w:sz w:val="36"/>
          <w:szCs w:val="36"/>
          <w:u w:val="none"/>
          <w:lang w:val="en-US" w:eastAsia="zh-CN" w:bidi="ar-SA"/>
        </w:rPr>
      </w:pPr>
      <w:r>
        <w:rPr>
          <w:rFonts w:hint="eastAsia" w:cs="仿宋_GB2312"/>
          <w:b/>
          <w:bCs/>
          <w:color w:val="000000"/>
          <w:kern w:val="2"/>
          <w:sz w:val="32"/>
          <w:szCs w:val="32"/>
          <w:lang w:val="en-US" w:eastAsia="zh-CN" w:bidi="ar-SA"/>
        </w:rPr>
        <w:t>③</w:t>
      </w:r>
      <w:r>
        <w:rPr>
          <w:rFonts w:hint="eastAsia" w:ascii="仿宋_GB2312" w:hAnsi="仿宋_GB2312" w:eastAsia="仿宋_GB2312" w:cs="仿宋_GB2312"/>
          <w:b/>
          <w:bCs/>
          <w:color w:val="000000"/>
          <w:kern w:val="2"/>
          <w:sz w:val="32"/>
          <w:szCs w:val="32"/>
          <w:lang w:val="en-US" w:eastAsia="zh-CN" w:bidi="ar-SA"/>
        </w:rPr>
        <w:t>主要经济指标稳步增长。</w:t>
      </w:r>
      <w:r>
        <w:rPr>
          <w:rFonts w:hint="eastAsia" w:cs="仿宋_GB2312"/>
          <w:b w:val="0"/>
          <w:bCs w:val="0"/>
          <w:color w:val="000000"/>
          <w:kern w:val="2"/>
          <w:sz w:val="32"/>
          <w:szCs w:val="32"/>
          <w:lang w:val="en-US" w:eastAsia="zh-CN" w:bidi="ar-SA"/>
        </w:rPr>
        <w:t>分值5分，得分5分。</w:t>
      </w:r>
      <w:r>
        <w:rPr>
          <w:rFonts w:hint="eastAsia" w:ascii="仿宋_GB2312" w:hAnsi="仿宋_GB2312" w:eastAsia="仿宋_GB2312" w:cs="仿宋_GB2312"/>
          <w:b/>
          <w:bCs/>
          <w:color w:val="000000"/>
          <w:kern w:val="2"/>
          <w:sz w:val="32"/>
          <w:szCs w:val="32"/>
          <w:lang w:val="en-US" w:eastAsia="zh-CN" w:bidi="ar-SA"/>
        </w:rPr>
        <w:t>一是</w:t>
      </w:r>
      <w:r>
        <w:rPr>
          <w:rFonts w:hint="eastAsia" w:ascii="仿宋_GB2312" w:hAnsi="仿宋_GB2312" w:eastAsia="仿宋_GB2312" w:cs="仿宋_GB2312"/>
          <w:kern w:val="2"/>
          <w:sz w:val="32"/>
          <w:szCs w:val="32"/>
          <w:u w:val="none"/>
          <w:lang w:val="en-US" w:eastAsia="zh-CN" w:bidi="ar-SA"/>
        </w:rPr>
        <w:t>医疗收入、手术、门诊量、住院人次均保持了两位数增长。截至12月26日，委属公立医疗机构门诊总量61.25万人次，同比增长34.56%；住院患者2.36万人次，同比增长51.88%；手术3200台次，同比增长15.6%；医疗收入1.88亿元,同比增长26.95%。其中，新区第一人民医院门诊总量28.61万人次，同比增长1.11%；住院患者1.4万人次，同比增长14.93%；手术3014台，同比增长12.72%，医疗收入1.27亿元,同比增长25.04%。各基层医疗机构门诊总量32.64万人次，同比增长89.51%；住院患者0.95万人次，同比增长188.2%；手术186台，同比增长95.79%；医疗收入6095.1万元,同比增长31.14%。</w:t>
      </w:r>
      <w:r>
        <w:rPr>
          <w:rFonts w:hint="eastAsia" w:ascii="仿宋_GB2312" w:hAnsi="仿宋_GB2312" w:eastAsia="仿宋_GB2312" w:cs="仿宋_GB2312"/>
          <w:b/>
          <w:bCs/>
          <w:kern w:val="2"/>
          <w:sz w:val="32"/>
          <w:szCs w:val="32"/>
          <w:u w:val="none"/>
          <w:lang w:val="en-US" w:eastAsia="zh-CN" w:bidi="ar-SA"/>
        </w:rPr>
        <w:t>二是</w:t>
      </w:r>
      <w:r>
        <w:rPr>
          <w:rFonts w:hint="eastAsia" w:ascii="仿宋_GB2312" w:hAnsi="仿宋_GB2312" w:eastAsia="仿宋_GB2312" w:cs="仿宋_GB2312"/>
          <w:kern w:val="2"/>
          <w:sz w:val="32"/>
          <w:szCs w:val="32"/>
          <w:u w:val="none"/>
          <w:lang w:val="en-US" w:eastAsia="zh-CN" w:bidi="ar-SA"/>
        </w:rPr>
        <w:t>招商引资任务超额完成。2023年任务3个，已引进5个；签约金额8.73亿元。梳理和谋划甘肃民正康复医院有限责任公司医疗设施设备购置等招商引资线索项目3个。</w:t>
      </w:r>
      <w:r>
        <w:rPr>
          <w:rFonts w:hint="eastAsia" w:ascii="仿宋_GB2312" w:hAnsi="仿宋_GB2312" w:eastAsia="仿宋_GB2312" w:cs="仿宋_GB2312"/>
          <w:b/>
          <w:bCs/>
          <w:kern w:val="2"/>
          <w:sz w:val="32"/>
          <w:szCs w:val="32"/>
          <w:u w:val="none"/>
          <w:lang w:val="en-US" w:eastAsia="zh-CN" w:bidi="ar-SA"/>
        </w:rPr>
        <w:t>三是</w:t>
      </w:r>
      <w:r>
        <w:rPr>
          <w:rFonts w:hint="eastAsia" w:ascii="仿宋_GB2312" w:hAnsi="仿宋_GB2312" w:eastAsia="仿宋_GB2312" w:cs="仿宋_GB2312"/>
          <w:kern w:val="2"/>
          <w:sz w:val="32"/>
          <w:szCs w:val="32"/>
          <w:u w:val="none"/>
          <w:lang w:val="en-US" w:eastAsia="zh-CN" w:bidi="ar-SA"/>
        </w:rPr>
        <w:t>1-11月完成向上争取资金1.34亿元，完成全行业固投4.99亿元。</w:t>
      </w:r>
      <w:r>
        <w:rPr>
          <w:rFonts w:hint="eastAsia" w:ascii="仿宋_GB2312" w:hAnsi="仿宋_GB2312" w:eastAsia="仿宋_GB2312" w:cs="仿宋_GB2312"/>
          <w:b/>
          <w:bCs/>
          <w:kern w:val="2"/>
          <w:sz w:val="32"/>
          <w:szCs w:val="32"/>
          <w:u w:val="none"/>
          <w:lang w:val="en-US" w:eastAsia="zh-CN" w:bidi="ar-SA"/>
        </w:rPr>
        <w:t>四是</w:t>
      </w:r>
      <w:r>
        <w:rPr>
          <w:rFonts w:hint="eastAsia" w:ascii="仿宋_GB2312" w:hAnsi="仿宋_GB2312" w:eastAsia="仿宋_GB2312" w:cs="仿宋_GB2312"/>
          <w:kern w:val="2"/>
          <w:sz w:val="32"/>
          <w:szCs w:val="32"/>
          <w:u w:val="none"/>
          <w:lang w:val="en-US" w:eastAsia="zh-CN" w:bidi="ar-SA"/>
        </w:rPr>
        <w:t>全力加快重点项目建设。2023年新区在建医疗卫生项目7个，其中新区项目5个（兰州新区疾控中心、隔离点、物资库项目，兰州空港国际健康驿站项目，移民安置区社区卫生服务中心，恒裕湖畔社区卫生服务站、上川镇卫生院提标扩能项目），省级项目2个（省人民医院新区分院老年康复养护区项目，省公共卫生医学中心项目）。目前，恒裕湖畔社区卫生服务站、上川镇卫生院提标扩能等2个项目均已完成;兰州空港国际健康驿站项目集中隔离区814间隔离用房具备投运条件，方舱医院区完成桩基施工;新区疾控中心、隔离点、物资库，省人民医院新区分院老年康复养护区，省疾控中心公共卫生中心一期，新康村社区卫生服务中心等4个项目已完成主体施工。</w:t>
      </w:r>
      <w:r>
        <w:rPr>
          <w:rFonts w:hint="eastAsia" w:ascii="仿宋_GB2312" w:hAnsi="仿宋_GB2312" w:eastAsia="仿宋_GB2312" w:cs="仿宋_GB2312"/>
          <w:kern w:val="2"/>
          <w:sz w:val="36"/>
          <w:szCs w:val="36"/>
          <w:u w:val="none"/>
          <w:lang w:val="en-US" w:eastAsia="zh-CN" w:bidi="ar-SA"/>
        </w:rPr>
        <w:t xml:space="preserve"> </w:t>
      </w:r>
    </w:p>
    <w:p w14:paraId="033ACAF8">
      <w:pPr>
        <w:pStyle w:val="41"/>
        <w:keepNext w:val="0"/>
        <w:keepLines w:val="0"/>
        <w:pageBreakBefore w:val="0"/>
        <w:numPr>
          <w:ilvl w:val="0"/>
          <w:numId w:val="0"/>
        </w:numPr>
        <w:kinsoku/>
        <w:wordWrap/>
        <w:overflowPunct/>
        <w:topLinePunct w:val="0"/>
        <w:autoSpaceDN/>
        <w:bidi w:val="0"/>
        <w:spacing w:line="540" w:lineRule="exact"/>
        <w:ind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color w:val="000000"/>
          <w:kern w:val="2"/>
          <w:sz w:val="32"/>
          <w:szCs w:val="32"/>
          <w:lang w:val="en-US" w:eastAsia="zh-CN" w:bidi="ar-SA"/>
        </w:rPr>
        <w:t>④持续加强医疗卫生人才队伍建设。</w:t>
      </w:r>
      <w:r>
        <w:rPr>
          <w:rFonts w:hint="eastAsia" w:cs="仿宋_GB2312"/>
          <w:b w:val="0"/>
          <w:bCs w:val="0"/>
          <w:color w:val="000000"/>
          <w:kern w:val="2"/>
          <w:sz w:val="32"/>
          <w:szCs w:val="32"/>
          <w:lang w:val="en-US" w:eastAsia="zh-CN" w:bidi="ar-SA"/>
        </w:rPr>
        <w:t>分值3分，得分3分。</w:t>
      </w:r>
      <w:r>
        <w:rPr>
          <w:rFonts w:hint="eastAsia" w:ascii="仿宋_GB2312" w:hAnsi="仿宋_GB2312" w:eastAsia="仿宋_GB2312" w:cs="仿宋_GB2312"/>
          <w:b/>
          <w:bCs/>
          <w:color w:val="000000"/>
          <w:kern w:val="2"/>
          <w:sz w:val="32"/>
          <w:szCs w:val="32"/>
          <w:lang w:val="en-US" w:eastAsia="zh-CN" w:bidi="ar-SA"/>
        </w:rPr>
        <w:t>一是</w:t>
      </w:r>
      <w:r>
        <w:rPr>
          <w:rFonts w:hint="eastAsia" w:ascii="仿宋_GB2312" w:hAnsi="仿宋_GB2312" w:eastAsia="仿宋_GB2312" w:cs="仿宋_GB2312"/>
          <w:kern w:val="2"/>
          <w:sz w:val="32"/>
          <w:szCs w:val="32"/>
          <w:u w:val="none"/>
          <w:lang w:val="en-US" w:eastAsia="zh-CN" w:bidi="ar-SA"/>
        </w:rPr>
        <w:t>完善人才绩效考核机制，修订完善了《新区卫生健康委员会2023年委机关绩效考核办法》、《新区2023年卫生健康系统绩效考核办法》。</w:t>
      </w:r>
      <w:r>
        <w:rPr>
          <w:rFonts w:hint="eastAsia" w:ascii="仿宋_GB2312" w:hAnsi="仿宋_GB2312" w:eastAsia="仿宋_GB2312" w:cs="仿宋_GB2312"/>
          <w:b/>
          <w:bCs/>
          <w:kern w:val="2"/>
          <w:sz w:val="32"/>
          <w:szCs w:val="32"/>
          <w:u w:val="none"/>
          <w:lang w:val="en-US" w:eastAsia="zh-CN" w:bidi="ar-SA"/>
        </w:rPr>
        <w:t>二是</w:t>
      </w:r>
      <w:r>
        <w:rPr>
          <w:rFonts w:hint="eastAsia" w:ascii="仿宋_GB2312" w:hAnsi="仿宋_GB2312" w:eastAsia="仿宋_GB2312" w:cs="仿宋_GB2312"/>
          <w:kern w:val="2"/>
          <w:sz w:val="32"/>
          <w:szCs w:val="32"/>
          <w:u w:val="none"/>
          <w:lang w:val="en-US" w:eastAsia="zh-CN" w:bidi="ar-SA"/>
        </w:rPr>
        <w:t>今年累计引进各类卫生专业技术人员127名，同比增长26.77%。签订新考录农村定向医学生7名。</w:t>
      </w:r>
      <w:r>
        <w:rPr>
          <w:rFonts w:hint="eastAsia" w:ascii="仿宋_GB2312" w:hAnsi="仿宋_GB2312" w:eastAsia="仿宋_GB2312" w:cs="仿宋_GB2312"/>
          <w:color w:val="auto"/>
          <w:kern w:val="2"/>
          <w:sz w:val="32"/>
          <w:szCs w:val="32"/>
          <w:lang w:val="en-US" w:eastAsia="zh-CN" w:bidi="ar-SA"/>
        </w:rPr>
        <w:t>推荐甘肃省优秀专家1名、全省卫生健康骨干人才1名、全省卫生健康优秀青年人才3名。</w:t>
      </w:r>
      <w:r>
        <w:rPr>
          <w:rFonts w:hint="eastAsia" w:ascii="仿宋_GB2312" w:hAnsi="仿宋_GB2312" w:eastAsia="仿宋_GB2312" w:cs="仿宋_GB2312"/>
          <w:b/>
          <w:bCs/>
          <w:color w:val="auto"/>
          <w:kern w:val="2"/>
          <w:sz w:val="32"/>
          <w:szCs w:val="32"/>
          <w:lang w:val="en-US" w:eastAsia="zh-CN" w:bidi="ar-SA"/>
        </w:rPr>
        <w:t>三是</w:t>
      </w:r>
      <w:r>
        <w:rPr>
          <w:rFonts w:hint="eastAsia" w:ascii="仿宋_GB2312" w:hAnsi="仿宋_GB2312" w:eastAsia="仿宋_GB2312" w:cs="仿宋_GB2312"/>
          <w:kern w:val="2"/>
          <w:sz w:val="32"/>
          <w:szCs w:val="32"/>
          <w:u w:val="none"/>
          <w:lang w:val="en-US" w:eastAsia="zh-CN" w:bidi="ar-SA"/>
        </w:rPr>
        <w:t>柔性引进外籍专家萨米尔·伊萨到新区第一人民医院坐诊1次；从4家省级医院柔性引进7名专家，建立7个名医工作站，充分发挥名医在技术指导、师承培带等方面的引领带动作用。</w:t>
      </w:r>
      <w:r>
        <w:rPr>
          <w:rFonts w:hint="default" w:ascii="仿宋_GB2312" w:eastAsia="仿宋_GB2312" w:cs="Times New Roman"/>
          <w:color w:val="auto"/>
          <w:sz w:val="32"/>
          <w:szCs w:val="32"/>
          <w:rtl w:val="0"/>
          <w:lang w:val="en-US" w:eastAsia="zh-CN"/>
        </w:rPr>
        <w:t>确定</w:t>
      </w:r>
      <w:r>
        <w:rPr>
          <w:rFonts w:hint="eastAsia" w:ascii="仿宋_GB2312" w:eastAsia="仿宋_GB2312" w:cs="Times New Roman"/>
          <w:color w:val="auto"/>
          <w:sz w:val="32"/>
          <w:szCs w:val="32"/>
          <w:rtl w:val="0"/>
          <w:lang w:val="en-US" w:eastAsia="zh-CN"/>
        </w:rPr>
        <w:t>12名省级专家、44</w:t>
      </w:r>
      <w:r>
        <w:rPr>
          <w:rFonts w:hint="default" w:ascii="仿宋_GB2312" w:eastAsia="仿宋_GB2312" w:cs="Times New Roman"/>
          <w:color w:val="auto"/>
          <w:sz w:val="32"/>
          <w:szCs w:val="32"/>
          <w:rtl w:val="0"/>
          <w:lang w:val="en-US" w:eastAsia="zh-CN"/>
        </w:rPr>
        <w:t>名</w:t>
      </w:r>
      <w:r>
        <w:rPr>
          <w:rFonts w:hint="eastAsia" w:ascii="仿宋_GB2312" w:eastAsia="仿宋_GB2312" w:cs="Times New Roman"/>
          <w:color w:val="auto"/>
          <w:sz w:val="32"/>
          <w:szCs w:val="32"/>
          <w:rtl w:val="0"/>
          <w:lang w:val="en-US" w:eastAsia="zh-CN"/>
        </w:rPr>
        <w:t>市</w:t>
      </w:r>
      <w:r>
        <w:rPr>
          <w:rFonts w:hint="default" w:ascii="仿宋_GB2312" w:eastAsia="仿宋_GB2312" w:cs="Times New Roman"/>
          <w:color w:val="auto"/>
          <w:sz w:val="32"/>
          <w:szCs w:val="32"/>
          <w:rtl w:val="0"/>
          <w:lang w:val="en-US" w:eastAsia="zh-CN"/>
        </w:rPr>
        <w:t>级医院医生对基层家庭医生开展业务指导。</w:t>
      </w:r>
      <w:r>
        <w:rPr>
          <w:rFonts w:hint="eastAsia" w:ascii="仿宋_GB2312" w:hAnsi="宋体" w:eastAsia="仿宋_GB2312"/>
          <w:b/>
          <w:bCs/>
          <w:color w:val="000000"/>
          <w:sz w:val="32"/>
          <w:szCs w:val="32"/>
          <w:lang w:eastAsia="zh-CN"/>
        </w:rPr>
        <w:t>四是</w:t>
      </w:r>
      <w:r>
        <w:rPr>
          <w:rFonts w:hint="eastAsia" w:ascii="仿宋_GB2312" w:hAnsi="仿宋_GB2312" w:eastAsia="仿宋_GB2312" w:cs="仿宋_GB2312"/>
          <w:kern w:val="2"/>
          <w:sz w:val="32"/>
          <w:szCs w:val="32"/>
          <w:u w:val="none"/>
          <w:lang w:val="en-US" w:eastAsia="zh-CN" w:bidi="ar-SA"/>
        </w:rPr>
        <w:t>56人分别聘任到高级、中级、初级岗位。</w:t>
      </w:r>
      <w:r>
        <w:rPr>
          <w:rFonts w:hint="eastAsia" w:ascii="仿宋_GB2312" w:hAnsi="宋体" w:eastAsia="仿宋_GB2312"/>
          <w:color w:val="000000"/>
          <w:sz w:val="32"/>
          <w:szCs w:val="32"/>
          <w:lang w:eastAsia="zh-CN"/>
        </w:rPr>
        <w:t>聘用</w:t>
      </w:r>
      <w:r>
        <w:rPr>
          <w:rFonts w:hint="eastAsia" w:ascii="仿宋_GB2312" w:hAnsi="宋体" w:eastAsia="仿宋_GB2312"/>
          <w:color w:val="000000"/>
          <w:sz w:val="32"/>
          <w:szCs w:val="32"/>
          <w:lang w:val="en-US" w:eastAsia="zh-CN"/>
        </w:rPr>
        <w:t>41名毕业生充实村医队伍</w:t>
      </w:r>
      <w:r>
        <w:rPr>
          <w:rFonts w:hint="eastAsia" w:ascii="仿宋_GB2312" w:hAnsi="宋体" w:eastAsia="仿宋_GB2312"/>
          <w:color w:val="000000"/>
          <w:sz w:val="32"/>
          <w:szCs w:val="32"/>
          <w:lang w:eastAsia="zh-CN"/>
        </w:rPr>
        <w:t>。</w:t>
      </w:r>
      <w:r>
        <w:rPr>
          <w:rFonts w:hint="eastAsia" w:ascii="仿宋_GB2312" w:hAnsi="宋体" w:eastAsia="仿宋_GB2312"/>
          <w:b/>
          <w:bCs/>
          <w:color w:val="000000"/>
          <w:sz w:val="32"/>
          <w:szCs w:val="32"/>
          <w:lang w:eastAsia="zh-CN"/>
        </w:rPr>
        <w:t>五是</w:t>
      </w:r>
      <w:r>
        <w:rPr>
          <w:rFonts w:hint="eastAsia" w:ascii="仿宋_GB2312" w:eastAsia="仿宋_GB2312" w:cs="Times New Roman"/>
          <w:color w:val="auto"/>
          <w:sz w:val="32"/>
          <w:szCs w:val="32"/>
          <w:rtl w:val="0"/>
          <w:lang w:val="en-US" w:eastAsia="zh-CN"/>
        </w:rPr>
        <w:t>各医疗机构累计派出132人次参加省内外进修、规培</w:t>
      </w:r>
      <w:r>
        <w:rPr>
          <w:rFonts w:hint="eastAsia" w:ascii="仿宋_GB2312" w:hAnsi="仿宋_GB2312" w:eastAsia="仿宋_GB2312" w:cs="仿宋_GB2312"/>
          <w:kern w:val="2"/>
          <w:sz w:val="32"/>
          <w:szCs w:val="32"/>
          <w:u w:val="none"/>
          <w:lang w:val="en-US" w:eastAsia="zh-CN" w:bidi="ar-SA"/>
        </w:rPr>
        <w:t>。</w:t>
      </w:r>
    </w:p>
    <w:p w14:paraId="3D6C2FB8">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cs="仿宋_GB2312"/>
          <w:b/>
          <w:bCs/>
          <w:color w:val="000000"/>
          <w:kern w:val="2"/>
          <w:sz w:val="32"/>
          <w:szCs w:val="32"/>
          <w:lang w:val="en-US" w:eastAsia="zh-CN" w:bidi="ar-SA"/>
        </w:rPr>
        <w:t>⑤</w:t>
      </w:r>
      <w:r>
        <w:rPr>
          <w:rFonts w:hint="eastAsia" w:ascii="仿宋_GB2312" w:hAnsi="仿宋_GB2312" w:eastAsia="仿宋_GB2312" w:cs="仿宋_GB2312"/>
          <w:b/>
          <w:bCs/>
          <w:color w:val="000000"/>
          <w:kern w:val="2"/>
          <w:sz w:val="32"/>
          <w:szCs w:val="32"/>
          <w:lang w:val="en-US" w:eastAsia="zh-CN" w:bidi="ar-SA"/>
        </w:rPr>
        <w:t>强力推进中医药产业提质增效。</w:t>
      </w:r>
      <w:r>
        <w:rPr>
          <w:rFonts w:hint="eastAsia" w:cs="仿宋_GB2312"/>
          <w:b w:val="0"/>
          <w:bCs w:val="0"/>
          <w:color w:val="000000"/>
          <w:kern w:val="2"/>
          <w:sz w:val="32"/>
          <w:szCs w:val="32"/>
          <w:lang w:val="en-US" w:eastAsia="zh-CN" w:bidi="ar-SA"/>
        </w:rPr>
        <w:t>分值5分，得分5分。</w:t>
      </w:r>
      <w:r>
        <w:rPr>
          <w:rFonts w:hint="eastAsia" w:ascii="仿宋_GB2312" w:hAnsi="仿宋_GB2312" w:eastAsia="仿宋_GB2312" w:cs="仿宋_GB2312"/>
          <w:b/>
          <w:bCs/>
          <w:color w:val="000000"/>
          <w:kern w:val="2"/>
          <w:sz w:val="32"/>
          <w:szCs w:val="32"/>
          <w:lang w:val="en-US" w:eastAsia="zh-CN" w:bidi="ar-SA"/>
        </w:rPr>
        <w:t>一是</w:t>
      </w:r>
      <w:r>
        <w:rPr>
          <w:rFonts w:hint="eastAsia" w:ascii="仿宋_GB2312" w:hAnsi="仿宋_GB2312" w:eastAsia="仿宋_GB2312" w:cs="仿宋_GB2312"/>
          <w:kern w:val="2"/>
          <w:sz w:val="32"/>
          <w:szCs w:val="32"/>
          <w:u w:val="none"/>
          <w:lang w:val="en-US" w:eastAsia="zh-CN" w:bidi="ar-SA"/>
        </w:rPr>
        <w:t>抢抓国家中医药产业发展综合试验区机遇，成立新区建设国家中医药产业发展综合试验区协调推进领导小组，印发《新区中医药产业发展2023年工作要点》、《新区中医药振兴发展重大工程实施方案》等文件，累计建成省级及以上中医药工程研究中心、创新平台14个，13个品种被列入陇药大品种大品牌。</w:t>
      </w:r>
      <w:r>
        <w:rPr>
          <w:rFonts w:hint="eastAsia" w:ascii="仿宋_GB2312" w:hAnsi="仿宋_GB2312" w:eastAsia="仿宋_GB2312" w:cs="仿宋_GB2312"/>
          <w:b/>
          <w:bCs/>
          <w:kern w:val="2"/>
          <w:sz w:val="32"/>
          <w:szCs w:val="32"/>
          <w:u w:val="none"/>
          <w:lang w:val="en-US" w:eastAsia="zh-CN" w:bidi="ar-SA"/>
        </w:rPr>
        <w:t>二是</w:t>
      </w:r>
      <w:r>
        <w:rPr>
          <w:rFonts w:hint="eastAsia" w:ascii="仿宋_GB2312" w:hAnsi="仿宋_GB2312" w:eastAsia="仿宋_GB2312" w:cs="仿宋_GB2312"/>
          <w:kern w:val="2"/>
          <w:sz w:val="32"/>
          <w:szCs w:val="32"/>
          <w:u w:val="none"/>
          <w:lang w:val="en-US" w:eastAsia="zh-CN" w:bidi="ar-SA"/>
        </w:rPr>
        <w:t>落实“一企一策”帮扶措施，深入中医药企业调研并积极帮助解决生产经营中的困难问题，推荐佛慈、和盛堂成功纳入省级工业“白名单”企业，兰州佛慈制药获评新区首个“国家工业旅游示范基地”和“甘肃省中医药文化宣传教育基地”。</w:t>
      </w:r>
      <w:r>
        <w:rPr>
          <w:rFonts w:hint="eastAsia" w:ascii="仿宋_GB2312" w:hAnsi="仿宋_GB2312" w:eastAsia="仿宋_GB2312" w:cs="仿宋_GB2312"/>
          <w:b/>
          <w:bCs/>
          <w:kern w:val="2"/>
          <w:sz w:val="32"/>
          <w:szCs w:val="32"/>
          <w:u w:val="none"/>
          <w:lang w:val="en-US" w:eastAsia="zh-CN" w:bidi="ar-SA"/>
        </w:rPr>
        <w:t>三是</w:t>
      </w:r>
      <w:r>
        <w:rPr>
          <w:rFonts w:hint="eastAsia" w:ascii="仿宋_GB2312" w:hAnsi="仿宋_GB2312" w:eastAsia="仿宋_GB2312" w:cs="仿宋_GB2312"/>
          <w:kern w:val="2"/>
          <w:sz w:val="32"/>
          <w:szCs w:val="32"/>
          <w:u w:val="none"/>
          <w:lang w:val="en-US" w:eastAsia="zh-CN" w:bidi="ar-SA"/>
        </w:rPr>
        <w:t>今年1-11月新区完成中医药全产业链产值33.45亿元，同比增长21.64%；完成中医药产业增加值7.52亿元，同比增长2.04%。组织和盛堂等21家企业参加中国（甘肃）第四届中医药产业博览会。</w:t>
      </w:r>
    </w:p>
    <w:p w14:paraId="3E00FD25">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cs="仿宋_GB2312"/>
          <w:b/>
          <w:bCs/>
          <w:color w:val="000000"/>
          <w:kern w:val="2"/>
          <w:sz w:val="32"/>
          <w:szCs w:val="32"/>
          <w:lang w:val="en-US" w:eastAsia="zh-CN" w:bidi="ar-SA"/>
        </w:rPr>
        <w:t>⑥</w:t>
      </w:r>
      <w:r>
        <w:rPr>
          <w:rFonts w:hint="eastAsia" w:ascii="仿宋_GB2312" w:hAnsi="仿宋_GB2312" w:eastAsia="仿宋_GB2312" w:cs="仿宋_GB2312"/>
          <w:b/>
          <w:bCs/>
          <w:color w:val="000000"/>
          <w:kern w:val="2"/>
          <w:sz w:val="32"/>
          <w:szCs w:val="32"/>
          <w:lang w:val="en-US" w:eastAsia="zh-CN" w:bidi="ar-SA"/>
        </w:rPr>
        <w:t>科学精准防控传染病。</w:t>
      </w:r>
      <w:r>
        <w:rPr>
          <w:rFonts w:hint="eastAsia" w:cs="仿宋_GB2312"/>
          <w:b w:val="0"/>
          <w:bCs w:val="0"/>
          <w:color w:val="000000"/>
          <w:kern w:val="2"/>
          <w:sz w:val="32"/>
          <w:szCs w:val="32"/>
          <w:lang w:val="en-US" w:eastAsia="zh-CN" w:bidi="ar-SA"/>
        </w:rPr>
        <w:t>分值3分，得分3分。</w:t>
      </w:r>
      <w:r>
        <w:rPr>
          <w:rFonts w:hint="eastAsia" w:ascii="仿宋_GB2312" w:hAnsi="仿宋_GB2312" w:eastAsia="仿宋_GB2312" w:cs="仿宋_GB2312"/>
          <w:b/>
          <w:bCs/>
          <w:color w:val="000000"/>
          <w:kern w:val="2"/>
          <w:sz w:val="32"/>
          <w:szCs w:val="32"/>
          <w:lang w:val="en-US" w:eastAsia="zh-CN" w:bidi="ar-SA"/>
        </w:rPr>
        <w:t>一是</w:t>
      </w:r>
      <w:r>
        <w:rPr>
          <w:rFonts w:hint="eastAsia" w:ascii="仿宋_GB2312" w:hAnsi="仿宋_GB2312" w:eastAsia="仿宋_GB2312" w:cs="仿宋_GB2312"/>
          <w:b w:val="0"/>
          <w:i w:val="0"/>
          <w:color w:val="000000"/>
          <w:spacing w:val="0"/>
          <w:w w:val="100"/>
          <w:kern w:val="2"/>
          <w:sz w:val="32"/>
          <w:szCs w:val="32"/>
          <w:lang w:val="en-US" w:eastAsia="zh-CN" w:bidi="ar-SA"/>
        </w:rPr>
        <w:t>制定应对第二波新冠疫情预案和入境监测、常态化防控等工作方案，做好监测预警、口岸防控、医疗救治、物资储备、疫苗接种、科普宣传等工作，强化人员培训与应急演练。</w:t>
      </w:r>
      <w:r>
        <w:rPr>
          <w:rFonts w:hint="eastAsia" w:ascii="仿宋_GB2312" w:hAnsi="仿宋_GB2312" w:eastAsia="仿宋_GB2312" w:cs="仿宋_GB2312"/>
          <w:sz w:val="32"/>
          <w:szCs w:val="32"/>
          <w:lang w:val="en-US" w:eastAsia="zh-CN"/>
        </w:rPr>
        <w:t>组织开展猴痘疫情防控应急处置桌面推演。</w:t>
      </w:r>
      <w:r>
        <w:rPr>
          <w:rFonts w:hint="eastAsia" w:ascii="仿宋_GB2312" w:hAnsi="仿宋_GB2312" w:eastAsia="仿宋_GB2312" w:cs="仿宋_GB2312"/>
          <w:b/>
          <w:bCs/>
          <w:i w:val="0"/>
          <w:color w:val="000000"/>
          <w:spacing w:val="0"/>
          <w:w w:val="100"/>
          <w:kern w:val="2"/>
          <w:sz w:val="32"/>
          <w:szCs w:val="32"/>
          <w:lang w:val="en-US" w:eastAsia="zh-CN" w:bidi="ar-SA"/>
        </w:rPr>
        <w:t>二是</w:t>
      </w:r>
      <w:r>
        <w:rPr>
          <w:rFonts w:hint="eastAsia" w:ascii="仿宋_GB2312" w:hAnsi="仿宋_GB2312" w:eastAsia="仿宋_GB2312" w:cs="仿宋_GB2312"/>
          <w:b w:val="0"/>
          <w:i w:val="0"/>
          <w:color w:val="000000"/>
          <w:spacing w:val="0"/>
          <w:w w:val="100"/>
          <w:kern w:val="2"/>
          <w:sz w:val="32"/>
          <w:szCs w:val="32"/>
          <w:lang w:val="en-US" w:eastAsia="zh-CN" w:bidi="ar-SA"/>
        </w:rPr>
        <w:t>成立口岸防控专班，建立入境筛查、交流协作、共享协商制度，加强境外输入疫情和病毒变异株监测及猴痘监测。机场口岸自4月11日恢复出入境航班以来，累计查验入境航班</w:t>
      </w:r>
      <w:r>
        <w:rPr>
          <w:rFonts w:hint="eastAsia" w:ascii="仿宋_GB2312" w:hAnsi="仿宋_GB2312" w:eastAsia="仿宋_GB2312" w:cs="仿宋_GB2312"/>
          <w:sz w:val="32"/>
          <w:szCs w:val="32"/>
          <w:lang w:val="en-US" w:eastAsia="zh-CN"/>
        </w:rPr>
        <w:t>107架，海关抽检采样522份，实验室检出新冠病毒阳性样本21份，</w:t>
      </w:r>
      <w:r>
        <w:rPr>
          <w:rFonts w:hint="eastAsia" w:ascii="仿宋_GB2312" w:hAnsi="仿宋_GB2312" w:eastAsia="仿宋_GB2312" w:cs="仿宋_GB2312"/>
          <w:b w:val="0"/>
          <w:i w:val="0"/>
          <w:color w:val="000000"/>
          <w:spacing w:val="0"/>
          <w:w w:val="100"/>
          <w:kern w:val="2"/>
          <w:sz w:val="32"/>
          <w:szCs w:val="32"/>
          <w:lang w:val="en-US" w:eastAsia="zh-CN" w:bidi="ar-SA"/>
        </w:rPr>
        <w:t>均向本人告知并向目的地推送信息。</w:t>
      </w:r>
      <w:r>
        <w:rPr>
          <w:rFonts w:hint="eastAsia" w:ascii="仿宋_GB2312" w:hAnsi="仿宋_GB2312" w:eastAsia="仿宋_GB2312" w:cs="仿宋_GB2312"/>
          <w:b/>
          <w:bCs/>
          <w:i w:val="0"/>
          <w:color w:val="000000"/>
          <w:spacing w:val="0"/>
          <w:w w:val="100"/>
          <w:kern w:val="2"/>
          <w:sz w:val="32"/>
          <w:szCs w:val="32"/>
          <w:lang w:val="en-US" w:eastAsia="zh-CN" w:bidi="ar-SA"/>
        </w:rPr>
        <w:t>三是</w:t>
      </w:r>
      <w:r>
        <w:rPr>
          <w:rFonts w:hint="eastAsia" w:ascii="仿宋_GB2312" w:hAnsi="仿宋_GB2312" w:eastAsia="仿宋_GB2312" w:cs="仿宋_GB2312"/>
          <w:b w:val="0"/>
          <w:i w:val="0"/>
          <w:color w:val="000000"/>
          <w:spacing w:val="0"/>
          <w:w w:val="100"/>
          <w:kern w:val="2"/>
          <w:sz w:val="32"/>
          <w:szCs w:val="32"/>
          <w:lang w:val="en-US" w:eastAsia="zh-CN" w:bidi="ar-SA"/>
        </w:rPr>
        <w:t>抽取中川园区新安社区开展城市社区人群监测，抽取秦川园区小横路社区开展农村地区社区人群监测。选择新区第一污水处理厂开展污水新冠病毒监测工作，共采集</w:t>
      </w:r>
      <w:r>
        <w:rPr>
          <w:rFonts w:hint="eastAsia" w:ascii="仿宋_GB2312" w:hAnsi="仿宋_GB2312" w:eastAsia="仿宋_GB2312" w:cs="仿宋_GB2312"/>
          <w:sz w:val="32"/>
          <w:szCs w:val="32"/>
          <w:lang w:val="en-US" w:eastAsia="zh-CN"/>
        </w:rPr>
        <w:t>26次，污水样本中未检出阳性结果。</w:t>
      </w:r>
    </w:p>
    <w:p w14:paraId="1B75767B">
      <w:pPr>
        <w:pStyle w:val="21"/>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3" w:firstLineChars="2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cs="仿宋_GB2312"/>
          <w:b/>
          <w:bCs/>
          <w:color w:val="000000"/>
          <w:kern w:val="2"/>
          <w:sz w:val="32"/>
          <w:szCs w:val="32"/>
          <w:lang w:val="en-US" w:eastAsia="zh-CN" w:bidi="ar-SA"/>
        </w:rPr>
        <w:t>⑦</w:t>
      </w:r>
      <w:r>
        <w:rPr>
          <w:rFonts w:hint="eastAsia" w:ascii="仿宋_GB2312" w:hAnsi="仿宋_GB2312" w:eastAsia="仿宋_GB2312" w:cs="仿宋_GB2312"/>
          <w:b/>
          <w:bCs/>
          <w:color w:val="000000"/>
          <w:kern w:val="2"/>
          <w:sz w:val="32"/>
          <w:szCs w:val="32"/>
          <w:lang w:val="en-US" w:eastAsia="zh-CN" w:bidi="ar-SA"/>
        </w:rPr>
        <w:t>基本</w:t>
      </w:r>
      <w:r>
        <w:rPr>
          <w:rFonts w:hint="eastAsia" w:ascii="仿宋_GB2312" w:hAnsi="仿宋_GB2312" w:cs="仿宋_GB2312"/>
          <w:b/>
          <w:bCs/>
          <w:color w:val="000000"/>
          <w:kern w:val="2"/>
          <w:sz w:val="32"/>
          <w:szCs w:val="32"/>
          <w:lang w:val="en-US" w:eastAsia="zh-CN" w:bidi="ar-SA"/>
        </w:rPr>
        <w:t>公共卫生</w:t>
      </w:r>
      <w:r>
        <w:rPr>
          <w:rFonts w:hint="eastAsia" w:ascii="仿宋_GB2312" w:hAnsi="仿宋_GB2312" w:eastAsia="仿宋_GB2312" w:cs="仿宋_GB2312"/>
          <w:b/>
          <w:bCs/>
          <w:color w:val="000000"/>
          <w:kern w:val="2"/>
          <w:sz w:val="32"/>
          <w:szCs w:val="32"/>
          <w:lang w:val="en-US" w:eastAsia="zh-CN" w:bidi="ar-SA"/>
        </w:rPr>
        <w:t>工作成效显著。</w:t>
      </w:r>
      <w:r>
        <w:rPr>
          <w:rFonts w:hint="eastAsia" w:cs="仿宋_GB2312"/>
          <w:b w:val="0"/>
          <w:bCs w:val="0"/>
          <w:color w:val="000000"/>
          <w:kern w:val="2"/>
          <w:sz w:val="32"/>
          <w:szCs w:val="32"/>
          <w:lang w:val="en-US" w:eastAsia="zh-CN" w:bidi="ar-SA"/>
        </w:rPr>
        <w:t>分值6分，得分6分。</w:t>
      </w:r>
      <w:r>
        <w:rPr>
          <w:rFonts w:hint="eastAsia" w:ascii="仿宋_GB2312" w:hAnsi="仿宋_GB2312" w:cs="仿宋_GB2312"/>
          <w:b/>
          <w:bCs/>
          <w:color w:val="000000"/>
          <w:kern w:val="2"/>
          <w:sz w:val="32"/>
          <w:szCs w:val="32"/>
          <w:lang w:val="en-US" w:eastAsia="zh-CN" w:bidi="ar-SA"/>
        </w:rPr>
        <w:t>一是</w:t>
      </w:r>
      <w:r>
        <w:rPr>
          <w:rFonts w:hint="eastAsia" w:ascii="仿宋_GB2312" w:hAnsi="仿宋_GB2312" w:eastAsia="仿宋_GB2312" w:cs="仿宋_GB2312"/>
          <w:b w:val="0"/>
          <w:i w:val="0"/>
          <w:color w:val="000000"/>
          <w:spacing w:val="0"/>
          <w:w w:val="100"/>
          <w:kern w:val="2"/>
          <w:sz w:val="32"/>
          <w:szCs w:val="32"/>
          <w:lang w:val="en-US" w:eastAsia="zh-CN" w:bidi="ar-SA"/>
        </w:rPr>
        <w:t>新区在2022年度全省基本公共卫生绩效考核中位居第一，省上奖励69.78万元。2023年省上下达新区为民办实事两癌筛查任务1100人，基本公卫两癌任务1350人，总计2450人，新区已完成2539人，超额完成省上定的任务。</w:t>
      </w:r>
      <w:r>
        <w:rPr>
          <w:rFonts w:hint="eastAsia" w:ascii="仿宋_GB2312" w:hAnsi="仿宋_GB2312" w:cs="仿宋_GB2312"/>
          <w:b/>
          <w:bCs/>
          <w:i w:val="0"/>
          <w:color w:val="000000"/>
          <w:spacing w:val="0"/>
          <w:w w:val="100"/>
          <w:kern w:val="2"/>
          <w:sz w:val="32"/>
          <w:szCs w:val="32"/>
          <w:lang w:val="en-US" w:eastAsia="zh-CN" w:bidi="ar-SA"/>
        </w:rPr>
        <w:t>二是</w:t>
      </w:r>
      <w:r>
        <w:rPr>
          <w:rFonts w:hint="eastAsia" w:ascii="仿宋_GB2312" w:hAnsi="仿宋_GB2312" w:eastAsia="仿宋_GB2312" w:cs="仿宋_GB2312"/>
          <w:b w:val="0"/>
          <w:i w:val="0"/>
          <w:color w:val="000000"/>
          <w:spacing w:val="0"/>
          <w:w w:val="100"/>
          <w:kern w:val="2"/>
          <w:sz w:val="32"/>
          <w:szCs w:val="32"/>
          <w:lang w:val="en-US" w:eastAsia="zh-CN" w:bidi="ar-SA"/>
        </w:rPr>
        <w:t>新区秦川中心卫生院等4家基层医疗卫生机构达到“国家优质服务基层行”服务能力推荐标准，受到国家通报表扬。目前，新区“国家优质服务基层行”活动基本标准达标率100%，推荐标准达标率57.14%</w:t>
      </w:r>
      <w:r>
        <w:rPr>
          <w:rFonts w:hint="eastAsia" w:ascii="仿宋_GB2312" w:hAnsi="仿宋_GB2312" w:cs="仿宋_GB2312"/>
          <w:b w:val="0"/>
          <w:i w:val="0"/>
          <w:color w:val="000000"/>
          <w:spacing w:val="0"/>
          <w:w w:val="100"/>
          <w:kern w:val="2"/>
          <w:sz w:val="32"/>
          <w:szCs w:val="32"/>
          <w:lang w:val="en-US" w:eastAsia="zh-CN" w:bidi="ar-SA"/>
        </w:rPr>
        <w:t>，</w:t>
      </w:r>
      <w:r>
        <w:rPr>
          <w:rFonts w:hint="eastAsia" w:ascii="仿宋_GB2312" w:hAnsi="仿宋_GB2312" w:eastAsia="仿宋_GB2312" w:cs="仿宋_GB2312"/>
          <w:b w:val="0"/>
          <w:i w:val="0"/>
          <w:color w:val="000000"/>
          <w:spacing w:val="0"/>
          <w:w w:val="100"/>
          <w:kern w:val="2"/>
          <w:sz w:val="32"/>
          <w:szCs w:val="32"/>
          <w:lang w:val="en-US" w:eastAsia="zh-CN" w:bidi="ar-SA"/>
        </w:rPr>
        <w:t>排名全省第一。</w:t>
      </w:r>
      <w:r>
        <w:rPr>
          <w:rFonts w:hint="eastAsia" w:ascii="仿宋_GB2312" w:hAnsi="仿宋_GB2312" w:cs="仿宋_GB2312"/>
          <w:b/>
          <w:bCs/>
          <w:i w:val="0"/>
          <w:color w:val="000000"/>
          <w:spacing w:val="0"/>
          <w:w w:val="100"/>
          <w:kern w:val="2"/>
          <w:sz w:val="32"/>
          <w:szCs w:val="32"/>
          <w:lang w:val="en-US" w:eastAsia="zh-CN" w:bidi="ar-SA"/>
        </w:rPr>
        <w:t>三是</w:t>
      </w:r>
      <w:r>
        <w:rPr>
          <w:rFonts w:hint="eastAsia" w:ascii="仿宋_GB2312" w:hAnsi="仿宋_GB2312" w:eastAsia="仿宋_GB2312" w:cs="仿宋_GB2312"/>
          <w:b w:val="0"/>
          <w:i w:val="0"/>
          <w:color w:val="000000"/>
          <w:spacing w:val="0"/>
          <w:w w:val="100"/>
          <w:kern w:val="2"/>
          <w:sz w:val="32"/>
          <w:szCs w:val="32"/>
          <w:lang w:val="en-US" w:eastAsia="zh-CN" w:bidi="ar-SA"/>
        </w:rPr>
        <w:t>完成2023年度计划生育家庭奖励扶助1398人和特别扶助54人的乡镇、园区、市级三级资格审核以及国家人口统筹系统信息录入及年审上报工作。</w:t>
      </w:r>
      <w:r>
        <w:rPr>
          <w:rFonts w:hint="eastAsia" w:ascii="仿宋_GB2312" w:hAnsi="仿宋_GB2312" w:cs="仿宋_GB2312"/>
          <w:b/>
          <w:bCs/>
          <w:i w:val="0"/>
          <w:color w:val="000000"/>
          <w:spacing w:val="0"/>
          <w:w w:val="100"/>
          <w:kern w:val="2"/>
          <w:sz w:val="32"/>
          <w:szCs w:val="32"/>
          <w:lang w:val="en-US" w:eastAsia="zh-CN" w:bidi="ar-SA"/>
        </w:rPr>
        <w:t>四是</w:t>
      </w:r>
      <w:r>
        <w:rPr>
          <w:rFonts w:hint="eastAsia" w:ascii="仿宋_GB2312" w:hAnsi="仿宋_GB2312" w:eastAsia="仿宋_GB2312" w:cs="仿宋_GB2312"/>
          <w:b w:val="0"/>
          <w:i w:val="0"/>
          <w:color w:val="000000"/>
          <w:spacing w:val="0"/>
          <w:w w:val="100"/>
          <w:kern w:val="2"/>
          <w:sz w:val="32"/>
          <w:szCs w:val="32"/>
          <w:lang w:val="en-US" w:eastAsia="zh-CN" w:bidi="ar-SA"/>
        </w:rPr>
        <w:t>发放叶酸4218瓶，完成率100.4%，孕前优生检查233对，完成率104.5%</w:t>
      </w:r>
      <w:r>
        <w:rPr>
          <w:rFonts w:hint="eastAsia" w:ascii="仿宋_GB2312" w:hAnsi="仿宋_GB2312" w:cs="仿宋_GB2312"/>
          <w:b w:val="0"/>
          <w:i w:val="0"/>
          <w:color w:val="000000"/>
          <w:spacing w:val="0"/>
          <w:w w:val="100"/>
          <w:kern w:val="2"/>
          <w:sz w:val="32"/>
          <w:szCs w:val="32"/>
          <w:lang w:val="en-US" w:eastAsia="zh-CN" w:bidi="ar-SA"/>
        </w:rPr>
        <w:t>。持续</w:t>
      </w:r>
      <w:r>
        <w:rPr>
          <w:rFonts w:hint="default" w:ascii="仿宋_GB2312" w:hAnsi="仿宋_GB2312" w:eastAsia="仿宋_GB2312" w:cs="仿宋_GB2312"/>
          <w:b w:val="0"/>
          <w:i w:val="0"/>
          <w:color w:val="000000"/>
          <w:spacing w:val="0"/>
          <w:w w:val="100"/>
          <w:kern w:val="2"/>
          <w:sz w:val="32"/>
          <w:szCs w:val="32"/>
          <w:lang w:val="en-US" w:eastAsia="zh-CN" w:bidi="ar-SA"/>
        </w:rPr>
        <w:t>完善危重孕产妇和新生儿救治体系，</w:t>
      </w:r>
      <w:r>
        <w:rPr>
          <w:rFonts w:hint="eastAsia" w:ascii="仿宋_GB2312" w:hAnsi="仿宋_GB2312" w:eastAsia="仿宋_GB2312" w:cs="仿宋_GB2312"/>
          <w:b w:val="0"/>
          <w:i w:val="0"/>
          <w:color w:val="000000"/>
          <w:spacing w:val="0"/>
          <w:w w:val="100"/>
          <w:kern w:val="2"/>
          <w:sz w:val="32"/>
          <w:szCs w:val="32"/>
          <w:lang w:val="en-US" w:eastAsia="zh-CN" w:bidi="ar-SA"/>
        </w:rPr>
        <w:t>降低出生缺陷发生风险，提高出生人口素质，切实提高妇女儿童健康水平。</w:t>
      </w:r>
      <w:r>
        <w:rPr>
          <w:rFonts w:hint="eastAsia" w:ascii="仿宋_GB2312" w:hAnsi="仿宋_GB2312" w:cs="仿宋_GB2312"/>
          <w:b/>
          <w:bCs/>
          <w:i w:val="0"/>
          <w:color w:val="000000"/>
          <w:spacing w:val="0"/>
          <w:w w:val="100"/>
          <w:kern w:val="2"/>
          <w:sz w:val="32"/>
          <w:szCs w:val="32"/>
          <w:lang w:val="en-US" w:eastAsia="zh-CN" w:bidi="ar-SA"/>
        </w:rPr>
        <w:t>五是</w:t>
      </w:r>
      <w:r>
        <w:rPr>
          <w:rFonts w:hint="eastAsia" w:ascii="仿宋_GB2312" w:hAnsi="仿宋_GB2312" w:eastAsia="仿宋_GB2312" w:cs="仿宋_GB2312"/>
          <w:b w:val="0"/>
          <w:i w:val="0"/>
          <w:color w:val="000000"/>
          <w:spacing w:val="0"/>
          <w:w w:val="100"/>
          <w:kern w:val="2"/>
          <w:sz w:val="32"/>
          <w:szCs w:val="32"/>
          <w:lang w:val="en-US" w:eastAsia="zh-CN" w:bidi="ar-SA"/>
        </w:rPr>
        <w:t>印发了《新区安宁疗护服务试点工作通知》,栖霞社区卫生服务中心为安宁疗护试点单位。中心与新区福利院签订服务协议，为需要健康服务的老年人提供包含中医适宜技术的医疗服务。</w:t>
      </w:r>
      <w:r>
        <w:rPr>
          <w:rFonts w:hint="eastAsia" w:ascii="仿宋_GB2312" w:hAnsi="仿宋_GB2312" w:cs="仿宋_GB2312"/>
          <w:b/>
          <w:bCs/>
          <w:i w:val="0"/>
          <w:color w:val="000000"/>
          <w:spacing w:val="0"/>
          <w:w w:val="100"/>
          <w:kern w:val="2"/>
          <w:sz w:val="32"/>
          <w:szCs w:val="32"/>
          <w:lang w:val="en-US" w:eastAsia="zh-CN" w:bidi="ar-SA"/>
        </w:rPr>
        <w:t>六是</w:t>
      </w:r>
      <w:r>
        <w:rPr>
          <w:rFonts w:hint="eastAsia" w:ascii="仿宋_GB2312" w:hAnsi="仿宋_GB2312" w:eastAsia="仿宋_GB2312" w:cs="仿宋_GB2312"/>
          <w:b w:val="0"/>
          <w:i w:val="0"/>
          <w:color w:val="000000"/>
          <w:spacing w:val="0"/>
          <w:w w:val="100"/>
          <w:kern w:val="2"/>
          <w:sz w:val="32"/>
          <w:szCs w:val="32"/>
          <w:lang w:val="en-US" w:eastAsia="zh-CN" w:bidi="ar-SA"/>
        </w:rPr>
        <w:t>完成老年人体检17773人，体检率92.64%。公立医疗机构对60岁以上老年人开展门诊服务时减免普通门诊诊查费2元，减免副主任医师以上专家诊查费1元，进一步减轻老年人就医负担。积极创建老年友好型社区，栖霞社区被评为为2023年全国示范性老年友好型社区。各基层医疗机构与新区第一人民医院深化医联体合作，融合疾控、妇幼保健等公共卫生资源，建立了以家庭医生为主体、全科专科有效联动、医防深度融合的服务模式，提升老年人慢性病管理水平，新区家庭医生签约服务模式入选国家基层公共卫生工作经验资料汇编。</w:t>
      </w:r>
      <w:r>
        <w:rPr>
          <w:rFonts w:hint="eastAsia" w:ascii="仿宋_GB2312" w:hAnsi="仿宋_GB2312" w:cs="仿宋_GB2312"/>
          <w:b/>
          <w:bCs/>
          <w:i w:val="0"/>
          <w:color w:val="000000"/>
          <w:spacing w:val="0"/>
          <w:w w:val="100"/>
          <w:kern w:val="2"/>
          <w:sz w:val="32"/>
          <w:szCs w:val="32"/>
          <w:lang w:val="en-US" w:eastAsia="zh-CN" w:bidi="ar-SA"/>
        </w:rPr>
        <w:t>七是</w:t>
      </w:r>
      <w:r>
        <w:rPr>
          <w:rFonts w:hint="eastAsia" w:ascii="仿宋_GB2312" w:hAnsi="仿宋_GB2312" w:eastAsia="仿宋_GB2312" w:cs="仿宋_GB2312"/>
          <w:b w:val="0"/>
          <w:i w:val="0"/>
          <w:color w:val="000000"/>
          <w:spacing w:val="0"/>
          <w:w w:val="100"/>
          <w:kern w:val="2"/>
          <w:sz w:val="32"/>
          <w:szCs w:val="32"/>
          <w:lang w:val="en-US" w:eastAsia="zh-CN" w:bidi="ar-SA"/>
        </w:rPr>
        <w:t>新区选送的作品《我是一名战士》在全国家医风采展现晚会上表演并获观众投票第三名，授予“健康文艺风采奖”；反映新区抗疫工作的视频短片《战疫的奉献》被中国社区卫生协会展播，在省内外卫生系统引起强烈反响。</w:t>
      </w:r>
    </w:p>
    <w:p w14:paraId="38B4589E">
      <w:pPr>
        <w:pStyle w:val="21"/>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3" w:firstLineChars="2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cs="仿宋_GB2312"/>
          <w:b/>
          <w:bCs/>
          <w:color w:val="000000"/>
          <w:kern w:val="2"/>
          <w:sz w:val="32"/>
          <w:szCs w:val="32"/>
          <w:lang w:val="en-US" w:eastAsia="zh-CN" w:bidi="ar-SA"/>
        </w:rPr>
        <w:t>⑧</w:t>
      </w:r>
      <w:r>
        <w:rPr>
          <w:rFonts w:hint="eastAsia" w:ascii="仿宋_GB2312" w:hAnsi="仿宋_GB2312" w:eastAsia="仿宋_GB2312" w:cs="仿宋_GB2312"/>
          <w:b/>
          <w:bCs/>
          <w:color w:val="000000"/>
          <w:kern w:val="2"/>
          <w:sz w:val="32"/>
          <w:szCs w:val="32"/>
          <w:lang w:val="en-US" w:eastAsia="zh-CN" w:bidi="ar-SA"/>
        </w:rPr>
        <w:t>持续提升卫生监督执法和放管服改革</w:t>
      </w:r>
      <w:r>
        <w:rPr>
          <w:rFonts w:hint="eastAsia" w:ascii="仿宋_GB2312" w:hAnsi="仿宋_GB2312" w:cs="仿宋_GB2312"/>
          <w:b/>
          <w:bCs/>
          <w:color w:val="000000"/>
          <w:kern w:val="2"/>
          <w:sz w:val="32"/>
          <w:szCs w:val="32"/>
          <w:lang w:val="en-US" w:eastAsia="zh-CN" w:bidi="ar-SA"/>
        </w:rPr>
        <w:t>水平</w:t>
      </w:r>
      <w:r>
        <w:rPr>
          <w:rFonts w:hint="eastAsia" w:ascii="仿宋_GB2312" w:hAnsi="仿宋_GB2312" w:eastAsia="仿宋_GB2312" w:cs="仿宋_GB2312"/>
          <w:b/>
          <w:bCs/>
          <w:color w:val="000000"/>
          <w:kern w:val="2"/>
          <w:sz w:val="32"/>
          <w:szCs w:val="32"/>
          <w:lang w:val="en-US" w:eastAsia="zh-CN" w:bidi="ar-SA"/>
        </w:rPr>
        <w:t>。</w:t>
      </w:r>
      <w:r>
        <w:rPr>
          <w:rFonts w:hint="eastAsia" w:cs="仿宋_GB2312"/>
          <w:b w:val="0"/>
          <w:bCs w:val="0"/>
          <w:color w:val="000000"/>
          <w:kern w:val="2"/>
          <w:sz w:val="32"/>
          <w:szCs w:val="32"/>
          <w:lang w:val="en-US" w:eastAsia="zh-CN" w:bidi="ar-SA"/>
        </w:rPr>
        <w:t>分值4分，得分4分。</w:t>
      </w:r>
      <w:r>
        <w:rPr>
          <w:rFonts w:hint="eastAsia" w:ascii="仿宋_GB2312" w:hAnsi="仿宋_GB2312" w:eastAsia="仿宋_GB2312" w:cs="仿宋_GB2312"/>
          <w:b/>
          <w:bCs/>
          <w:color w:val="000000"/>
          <w:kern w:val="2"/>
          <w:sz w:val="32"/>
          <w:szCs w:val="32"/>
          <w:lang w:val="en-US" w:eastAsia="zh-CN" w:bidi="ar-SA"/>
        </w:rPr>
        <w:t>一是</w:t>
      </w:r>
      <w:r>
        <w:rPr>
          <w:rFonts w:hint="eastAsia" w:ascii="仿宋_GB2312" w:hAnsi="仿宋_GB2312" w:eastAsia="仿宋_GB2312" w:cs="仿宋_GB2312"/>
          <w:b w:val="0"/>
          <w:i w:val="0"/>
          <w:color w:val="000000"/>
          <w:spacing w:val="0"/>
          <w:w w:val="100"/>
          <w:kern w:val="2"/>
          <w:sz w:val="32"/>
          <w:szCs w:val="32"/>
          <w:lang w:val="en-US" w:eastAsia="zh-CN" w:bidi="ar-SA"/>
        </w:rPr>
        <w:t>持续开展医疗乱象、医疗美容机构、抗（抑）菌专项、非法应用人类辅助生殖技术等专项整治，对公立医疗机构，民营医院，医疗美容、生活美容机构全覆盖，对公共场所、供水单位、学校、餐饮具集中消毒单位开展全方位卫生监督检查</w:t>
      </w:r>
      <w:r>
        <w:rPr>
          <w:rFonts w:hint="eastAsia" w:ascii="仿宋_GB2312" w:hAnsi="仿宋_GB2312" w:cs="仿宋_GB2312"/>
          <w:b w:val="0"/>
          <w:i w:val="0"/>
          <w:color w:val="000000"/>
          <w:spacing w:val="0"/>
          <w:w w:val="100"/>
          <w:kern w:val="2"/>
          <w:sz w:val="32"/>
          <w:szCs w:val="32"/>
          <w:lang w:val="en-US" w:eastAsia="zh-CN" w:bidi="ar-SA"/>
        </w:rPr>
        <w:t>和专题培训</w:t>
      </w:r>
      <w:r>
        <w:rPr>
          <w:rFonts w:hint="eastAsia" w:ascii="仿宋_GB2312" w:hAnsi="仿宋_GB2312" w:eastAsia="仿宋_GB2312" w:cs="仿宋_GB2312"/>
          <w:b w:val="0"/>
          <w:i w:val="0"/>
          <w:color w:val="000000"/>
          <w:spacing w:val="0"/>
          <w:w w:val="100"/>
          <w:kern w:val="2"/>
          <w:sz w:val="32"/>
          <w:szCs w:val="32"/>
          <w:lang w:val="en-US" w:eastAsia="zh-CN" w:bidi="ar-SA"/>
        </w:rPr>
        <w:t>，</w:t>
      </w:r>
      <w:r>
        <w:rPr>
          <w:rFonts w:hint="eastAsia" w:ascii="仿宋_GB2312" w:hAnsi="仿宋_GB2312" w:cs="仿宋_GB2312"/>
          <w:b w:val="0"/>
          <w:i w:val="0"/>
          <w:color w:val="000000"/>
          <w:spacing w:val="0"/>
          <w:w w:val="100"/>
          <w:kern w:val="2"/>
          <w:sz w:val="32"/>
          <w:szCs w:val="32"/>
          <w:lang w:val="en-US" w:eastAsia="zh-CN" w:bidi="ar-SA"/>
        </w:rPr>
        <w:t>并对</w:t>
      </w:r>
      <w:r>
        <w:rPr>
          <w:rFonts w:hint="eastAsia" w:ascii="仿宋_GB2312" w:hAnsi="仿宋_GB2312" w:eastAsia="仿宋_GB2312" w:cs="仿宋_GB2312"/>
          <w:b w:val="0"/>
          <w:i w:val="0"/>
          <w:color w:val="000000"/>
          <w:spacing w:val="0"/>
          <w:w w:val="100"/>
          <w:kern w:val="2"/>
          <w:sz w:val="32"/>
          <w:szCs w:val="32"/>
          <w:lang w:val="en-US" w:eastAsia="zh-CN" w:bidi="ar-SA"/>
        </w:rPr>
        <w:t>供水单位、餐饮具</w:t>
      </w:r>
      <w:r>
        <w:rPr>
          <w:rFonts w:hint="eastAsia" w:ascii="仿宋_GB2312" w:hAnsi="仿宋_GB2312" w:cs="仿宋_GB2312"/>
          <w:b w:val="0"/>
          <w:i w:val="0"/>
          <w:color w:val="000000"/>
          <w:spacing w:val="0"/>
          <w:w w:val="100"/>
          <w:kern w:val="2"/>
          <w:sz w:val="32"/>
          <w:szCs w:val="32"/>
          <w:lang w:val="en-US" w:eastAsia="zh-CN" w:bidi="ar-SA"/>
        </w:rPr>
        <w:t>企业进行集体约谈，</w:t>
      </w:r>
      <w:r>
        <w:rPr>
          <w:rFonts w:hint="eastAsia" w:ascii="仿宋_GB2312" w:hAnsi="仿宋_GB2312" w:eastAsia="仿宋_GB2312" w:cs="仿宋_GB2312"/>
          <w:b w:val="0"/>
          <w:i w:val="0"/>
          <w:color w:val="000000"/>
          <w:spacing w:val="0"/>
          <w:w w:val="100"/>
          <w:kern w:val="2"/>
          <w:sz w:val="32"/>
          <w:szCs w:val="32"/>
          <w:lang w:val="en-US" w:eastAsia="zh-CN" w:bidi="ar-SA"/>
        </w:rPr>
        <w:t>下达卫生监督意见书共180余份，对涉嫌违法违规行为立案12起，罚款9万余元。同时，结合“两轻一免”柔性执法，推动执法有温度、效果有力度。在卫生健康领域全面开展“互联网＋监管”与“双随机一公开”监管，共录入监管信息144条，“双随机一公开”信息29条。并对监管处罚信息进行双公示，双公示及时率、合规率均为100%。持续开展医疗机构卫生、人文环境专项大整治，整治延伸至村级卫生室，新区医疗环境及服务质量加速提升。以省级职业健康分级分类监管试点为契机，扎实推进新区职业病防治工作，已对281家企业完成分级分类评价，依据评价等级</w:t>
      </w:r>
      <w:r>
        <w:rPr>
          <w:rFonts w:hint="eastAsia" w:ascii="仿宋_GB2312" w:hAnsi="仿宋_GB2312" w:cs="仿宋_GB2312"/>
          <w:b w:val="0"/>
          <w:i w:val="0"/>
          <w:color w:val="000000"/>
          <w:spacing w:val="0"/>
          <w:w w:val="100"/>
          <w:kern w:val="2"/>
          <w:sz w:val="32"/>
          <w:szCs w:val="32"/>
          <w:lang w:val="en-US" w:eastAsia="zh-CN" w:bidi="ar-SA"/>
        </w:rPr>
        <w:t>开展</w:t>
      </w:r>
      <w:r>
        <w:rPr>
          <w:rFonts w:hint="eastAsia" w:ascii="仿宋_GB2312" w:hAnsi="仿宋_GB2312" w:eastAsia="仿宋_GB2312" w:cs="仿宋_GB2312"/>
          <w:b w:val="0"/>
          <w:i w:val="0"/>
          <w:color w:val="000000"/>
          <w:spacing w:val="0"/>
          <w:w w:val="100"/>
          <w:kern w:val="2"/>
          <w:sz w:val="32"/>
          <w:szCs w:val="32"/>
          <w:lang w:val="en-US" w:eastAsia="zh-CN" w:bidi="ar-SA"/>
        </w:rPr>
        <w:t>差异化监督执法。</w:t>
      </w:r>
      <w:r>
        <w:rPr>
          <w:rFonts w:hint="eastAsia" w:ascii="仿宋_GB2312" w:hAnsi="仿宋_GB2312" w:cs="仿宋_GB2312"/>
          <w:b/>
          <w:bCs/>
          <w:i w:val="0"/>
          <w:color w:val="000000"/>
          <w:spacing w:val="0"/>
          <w:w w:val="100"/>
          <w:kern w:val="2"/>
          <w:sz w:val="32"/>
          <w:szCs w:val="32"/>
          <w:lang w:val="en-US" w:eastAsia="zh-CN" w:bidi="ar-SA"/>
        </w:rPr>
        <w:t>二是</w:t>
      </w:r>
      <w:r>
        <w:rPr>
          <w:rFonts w:hint="eastAsia" w:ascii="仿宋_GB2312" w:hAnsi="仿宋_GB2312" w:eastAsia="仿宋_GB2312" w:cs="仿宋_GB2312"/>
          <w:b w:val="0"/>
          <w:i w:val="0"/>
          <w:color w:val="000000"/>
          <w:spacing w:val="0"/>
          <w:w w:val="100"/>
          <w:kern w:val="2"/>
          <w:sz w:val="32"/>
          <w:szCs w:val="32"/>
          <w:lang w:val="en-US" w:eastAsia="zh-CN" w:bidi="ar-SA"/>
        </w:rPr>
        <w:t xml:space="preserve">持续加强医疗机构药品监督管理，督促各医疗机构健全完善药事管理机制，严格落实国家基本药物制度，规范开展处方点评，严格落实药物短缺监测预警信息直报系统“零报告制度”，联合新区市场监督管理局和公安局开展麻精药品监督管理专项检查，确保药品供应充足，配备使用安全、规范。  </w:t>
      </w:r>
      <w:r>
        <w:rPr>
          <w:rFonts w:hint="eastAsia" w:ascii="仿宋_GB2312" w:hAnsi="仿宋_GB2312" w:cs="仿宋_GB2312"/>
          <w:b/>
          <w:bCs/>
          <w:color w:val="000000"/>
          <w:kern w:val="2"/>
          <w:sz w:val="32"/>
          <w:szCs w:val="32"/>
          <w:lang w:val="en-US" w:eastAsia="zh-CN" w:bidi="ar-SA"/>
        </w:rPr>
        <w:t>三</w:t>
      </w:r>
      <w:r>
        <w:rPr>
          <w:rFonts w:hint="eastAsia" w:ascii="仿宋_GB2312" w:hAnsi="仿宋_GB2312" w:eastAsia="仿宋_GB2312" w:cs="仿宋_GB2312"/>
          <w:b/>
          <w:bCs/>
          <w:color w:val="000000"/>
          <w:kern w:val="2"/>
          <w:sz w:val="32"/>
          <w:szCs w:val="32"/>
          <w:lang w:val="en-US" w:eastAsia="zh-CN" w:bidi="ar-SA"/>
        </w:rPr>
        <w:t>是</w:t>
      </w:r>
      <w:r>
        <w:rPr>
          <w:rFonts w:hint="eastAsia" w:ascii="仿宋_GB2312" w:hAnsi="仿宋_GB2312" w:eastAsia="仿宋_GB2312" w:cs="仿宋_GB2312"/>
          <w:b w:val="0"/>
          <w:i w:val="0"/>
          <w:color w:val="000000"/>
          <w:spacing w:val="0"/>
          <w:w w:val="100"/>
          <w:kern w:val="2"/>
          <w:sz w:val="32"/>
          <w:szCs w:val="32"/>
          <w:lang w:val="en-US" w:eastAsia="zh-CN" w:bidi="ar-SA"/>
        </w:rPr>
        <w:t>制定系统法治政府建设工作要点、普法宣传实施方案和责任清单，扎实开展“八五”普法工作，开展了“民法典宣传月”等系列集中普法活动5轮次，开展法</w:t>
      </w:r>
      <w:r>
        <w:rPr>
          <w:rFonts w:hint="eastAsia" w:ascii="仿宋_GB2312" w:hAnsi="仿宋_GB2312" w:cs="仿宋_GB2312"/>
          <w:b w:val="0"/>
          <w:i w:val="0"/>
          <w:color w:val="000000"/>
          <w:spacing w:val="0"/>
          <w:w w:val="100"/>
          <w:kern w:val="2"/>
          <w:sz w:val="32"/>
          <w:szCs w:val="32"/>
          <w:lang w:val="en-US" w:eastAsia="zh-CN" w:bidi="ar-SA"/>
        </w:rPr>
        <w:t>律</w:t>
      </w:r>
      <w:r>
        <w:rPr>
          <w:rFonts w:hint="eastAsia" w:ascii="仿宋_GB2312" w:hAnsi="仿宋_GB2312" w:eastAsia="仿宋_GB2312" w:cs="仿宋_GB2312"/>
          <w:b w:val="0"/>
          <w:i w:val="0"/>
          <w:color w:val="000000"/>
          <w:spacing w:val="0"/>
          <w:w w:val="100"/>
          <w:kern w:val="2"/>
          <w:sz w:val="32"/>
          <w:szCs w:val="32"/>
          <w:lang w:val="en-US" w:eastAsia="zh-CN" w:bidi="ar-SA"/>
        </w:rPr>
        <w:t>“八进”活动20余轮次，发放宣传资料2</w:t>
      </w:r>
      <w:r>
        <w:rPr>
          <w:rFonts w:hint="eastAsia" w:ascii="仿宋_GB2312" w:hAnsi="仿宋_GB2312" w:cs="仿宋_GB2312"/>
          <w:b w:val="0"/>
          <w:i w:val="0"/>
          <w:color w:val="000000"/>
          <w:spacing w:val="0"/>
          <w:w w:val="100"/>
          <w:kern w:val="2"/>
          <w:sz w:val="32"/>
          <w:szCs w:val="32"/>
          <w:lang w:val="en-US" w:eastAsia="zh-CN" w:bidi="ar-SA"/>
        </w:rPr>
        <w:t>万</w:t>
      </w:r>
      <w:r>
        <w:rPr>
          <w:rFonts w:hint="eastAsia" w:ascii="仿宋_GB2312" w:hAnsi="仿宋_GB2312" w:eastAsia="仿宋_GB2312" w:cs="仿宋_GB2312"/>
          <w:b w:val="0"/>
          <w:i w:val="0"/>
          <w:color w:val="000000"/>
          <w:spacing w:val="0"/>
          <w:w w:val="100"/>
          <w:kern w:val="2"/>
          <w:sz w:val="32"/>
          <w:szCs w:val="32"/>
          <w:lang w:val="en-US" w:eastAsia="zh-CN" w:bidi="ar-SA"/>
        </w:rPr>
        <w:t>余份。组织开展行政执法“以干带教”活动，全力推动行政执法三项制度落实。将法治建设工作纳入绩效考核，推进系统依法履职、依法行政、依法执业。</w:t>
      </w:r>
    </w:p>
    <w:p w14:paraId="362B9537">
      <w:pPr>
        <w:keepNext w:val="0"/>
        <w:keepLines w:val="0"/>
        <w:pageBreakBefore w:val="0"/>
        <w:widowControl/>
        <w:suppressLineNumbers w:val="0"/>
        <w:kinsoku/>
        <w:wordWrap/>
        <w:overflowPunct/>
        <w:topLinePunct w:val="0"/>
        <w:autoSpaceDE w:val="0"/>
        <w:autoSpaceDN/>
        <w:bidi w:val="0"/>
        <w:adjustRightInd w:val="0"/>
        <w:snapToGrid w:val="0"/>
        <w:spacing w:beforeAutospacing="0" w:after="0" w:afterAutospacing="0" w:line="540" w:lineRule="exact"/>
        <w:ind w:left="0" w:right="0" w:firstLine="643" w:firstLineChars="200"/>
        <w:jc w:val="both"/>
        <w:textAlignment w:val="auto"/>
        <w:rPr>
          <w:rFonts w:ascii="楷体_GB2312" w:hAnsi="楷体_GB2312" w:eastAsia="楷体_GB2312" w:cs="楷体_GB2312"/>
          <w:b/>
          <w:bCs/>
          <w:szCs w:val="32"/>
        </w:rPr>
      </w:pPr>
      <w:r>
        <w:rPr>
          <w:rFonts w:hint="eastAsia" w:cs="仿宋_GB2312"/>
          <w:b/>
          <w:bCs/>
          <w:color w:val="000000"/>
          <w:kern w:val="2"/>
          <w:sz w:val="32"/>
          <w:szCs w:val="32"/>
          <w:lang w:val="en-US" w:eastAsia="zh-CN" w:bidi="ar-SA"/>
        </w:rPr>
        <w:t>⑨</w:t>
      </w:r>
      <w:r>
        <w:rPr>
          <w:rFonts w:hint="eastAsia" w:ascii="仿宋_GB2312" w:hAnsi="仿宋_GB2312" w:eastAsia="仿宋_GB2312" w:cs="仿宋_GB2312"/>
          <w:b/>
          <w:bCs/>
          <w:color w:val="000000"/>
          <w:kern w:val="2"/>
          <w:sz w:val="32"/>
          <w:szCs w:val="32"/>
          <w:lang w:val="en-US" w:eastAsia="zh-CN" w:bidi="ar-SA"/>
        </w:rPr>
        <w:t>持续加强</w:t>
      </w:r>
      <w:r>
        <w:rPr>
          <w:rFonts w:hint="eastAsia" w:ascii="仿宋_GB2312" w:hAnsi="仿宋_GB2312" w:eastAsia="仿宋_GB2312" w:cs="仿宋_GB2312"/>
          <w:b/>
          <w:bCs/>
          <w:sz w:val="32"/>
          <w:szCs w:val="32"/>
          <w:lang w:val="en-US" w:eastAsia="zh-CN"/>
        </w:rPr>
        <w:t>红十字会健康教育促进和爱国卫生运动工作。</w:t>
      </w:r>
      <w:r>
        <w:rPr>
          <w:rFonts w:hint="eastAsia" w:cs="仿宋_GB2312"/>
          <w:b w:val="0"/>
          <w:bCs w:val="0"/>
          <w:color w:val="000000"/>
          <w:kern w:val="2"/>
          <w:sz w:val="32"/>
          <w:szCs w:val="32"/>
          <w:lang w:val="en-US" w:eastAsia="zh-CN" w:bidi="ar-SA"/>
        </w:rPr>
        <w:t>分值4分，得分4分。</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举办4期红十字救护员培训班。印发了《新区2023年无偿献血活动实施方案》，干部群众1000人次无偿献血，完成200人份造血干细胞志愿者入库工作。筛查和救助0-14周岁贫困先天性心脏病患儿26 例。</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开展健康科普“六进”活动，举办讲座160余次，个性化健康教育达10万余人次，发放宣传材料12万余份，测血压、血糖1万余人。开展心理健康专题讲座11场覆盖7000名师生。抽取6个村（社区）的360户开展居民健康素养、中医药素养水平监测。</w:t>
      </w:r>
      <w:r>
        <w:rPr>
          <w:rFonts w:hint="eastAsia" w:ascii="仿宋_GB2312" w:hAnsi="仿宋_GB2312" w:eastAsia="仿宋_GB2312" w:cs="仿宋_GB2312"/>
          <w:b/>
          <w:bCs/>
          <w:sz w:val="32"/>
          <w:szCs w:val="32"/>
          <w:lang w:val="en-US" w:eastAsia="zh-CN"/>
        </w:rPr>
        <w:t>三是</w:t>
      </w:r>
      <w:r>
        <w:rPr>
          <w:rFonts w:hint="default" w:ascii="仿宋_GB2312" w:hAnsi="Tahoma" w:eastAsia="仿宋_GB2312" w:cs="仿宋_GB2312"/>
          <w:snapToGrid/>
          <w:kern w:val="0"/>
          <w:sz w:val="32"/>
          <w:szCs w:val="32"/>
          <w:lang w:val="en-US" w:eastAsia="zh-CN" w:bidi="ar"/>
        </w:rPr>
        <w:t>省人民医院新区分院、</w:t>
      </w:r>
      <w:r>
        <w:rPr>
          <w:rFonts w:hint="default" w:ascii="仿宋_GB2312" w:hAnsi="仿宋_GB2312" w:eastAsia="仿宋_GB2312" w:cs="仿宋_GB2312"/>
          <w:sz w:val="32"/>
          <w:szCs w:val="32"/>
          <w:lang w:val="en-US" w:eastAsia="zh-CN"/>
        </w:rPr>
        <w:t>新区第一人民医院</w:t>
      </w:r>
      <w:r>
        <w:rPr>
          <w:rFonts w:hint="eastAsia" w:ascii="仿宋_GB2312" w:hAnsi="仿宋_GB2312" w:eastAsia="仿宋_GB2312" w:cs="仿宋_GB2312"/>
          <w:sz w:val="32"/>
          <w:szCs w:val="32"/>
          <w:lang w:val="en-US" w:eastAsia="zh-CN"/>
        </w:rPr>
        <w:t>创建为健康场所</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创建10家营养健康食堂（餐厅）。</w:t>
      </w:r>
      <w:r>
        <w:rPr>
          <w:rFonts w:hint="eastAsia" w:ascii="仿宋_GB2312" w:hAnsi="仿宋_GB2312" w:eastAsia="仿宋_GB2312" w:cs="仿宋_GB2312"/>
          <w:b w:val="0"/>
          <w:bCs w:val="0"/>
          <w:color w:val="auto"/>
          <w:sz w:val="32"/>
          <w:szCs w:val="32"/>
          <w:lang w:eastAsia="zh-CN"/>
        </w:rPr>
        <w:t>创建省级卫生乡镇</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lang w:eastAsia="zh-CN"/>
        </w:rPr>
        <w:t>个，省级卫生村1</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lang w:eastAsia="zh-CN"/>
        </w:rPr>
        <w:t>个。26家单位分别创建为无烟机关、无烟医院、无烟学校。</w:t>
      </w:r>
      <w:r>
        <w:rPr>
          <w:rFonts w:hint="eastAsia" w:ascii="仿宋_GB2312" w:hAnsi="仿宋_GB2312" w:eastAsia="仿宋_GB2312" w:cs="仿宋_GB2312"/>
          <w:b w:val="0"/>
          <w:bCs w:val="0"/>
          <w:color w:val="auto"/>
          <w:sz w:val="32"/>
          <w:szCs w:val="32"/>
          <w:lang w:val="en-US" w:eastAsia="zh-CN"/>
        </w:rPr>
        <w:t>完成重点地段病媒生物防制评估工作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sz w:val="32"/>
          <w:szCs w:val="32"/>
          <w:lang w:val="en-US" w:eastAsia="zh-CN"/>
        </w:rPr>
        <w:t>投入14万元在中川体育公园、百花公园打造了健康步道，普及健康教育知识，培养健康生活理念。</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认真做好食品安全工作，开展食品化学污染物风险监测和地方产品及食源性致病菌专项检测，</w:t>
      </w:r>
      <w:r>
        <w:rPr>
          <w:rFonts w:hint="default" w:ascii="仿宋_GB2312" w:hAnsi="仿宋_GB2312" w:eastAsia="仿宋_GB2312" w:cs="仿宋_GB2312"/>
          <w:sz w:val="32"/>
          <w:szCs w:val="32"/>
          <w:lang w:val="en-US" w:eastAsia="zh-CN"/>
        </w:rPr>
        <w:t>举办</w:t>
      </w:r>
      <w:r>
        <w:rPr>
          <w:rFonts w:hint="eastAsia" w:ascii="仿宋_GB2312" w:hAnsi="仿宋_GB2312" w:eastAsia="仿宋_GB2312" w:cs="仿宋_GB2312"/>
          <w:sz w:val="32"/>
          <w:szCs w:val="32"/>
          <w:lang w:val="en-US" w:eastAsia="zh-CN"/>
        </w:rPr>
        <w:t>爱国卫生月和</w:t>
      </w:r>
      <w:r>
        <w:rPr>
          <w:rFonts w:hint="default" w:ascii="仿宋_GB2312" w:hAnsi="仿宋_GB2312" w:eastAsia="仿宋_GB2312" w:cs="仿宋_GB2312"/>
          <w:sz w:val="32"/>
          <w:szCs w:val="32"/>
          <w:lang w:val="en-US" w:eastAsia="zh-CN"/>
        </w:rPr>
        <w:t>全民营养周暨</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5·20</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中国学生营养日</w:t>
      </w:r>
      <w:r>
        <w:rPr>
          <w:rFonts w:hint="eastAsia" w:ascii="仿宋_GB2312" w:hAnsi="仿宋_GB2312" w:eastAsia="仿宋_GB2312" w:cs="仿宋_GB2312"/>
          <w:sz w:val="32"/>
          <w:szCs w:val="32"/>
          <w:lang w:val="en-US" w:eastAsia="zh-CN"/>
        </w:rPr>
        <w:t>活动</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张贴宣传标语、横幅280余条，</w:t>
      </w:r>
      <w:r>
        <w:rPr>
          <w:rFonts w:hint="default" w:ascii="仿宋_GB2312" w:hAnsi="仿宋_GB2312" w:eastAsia="仿宋_GB2312" w:cs="仿宋_GB2312"/>
          <w:sz w:val="32"/>
          <w:szCs w:val="32"/>
          <w:lang w:val="en-US" w:eastAsia="zh-CN"/>
        </w:rPr>
        <w:t>义诊</w:t>
      </w:r>
      <w:r>
        <w:rPr>
          <w:rFonts w:hint="eastAsia" w:ascii="仿宋_GB2312" w:hAnsi="仿宋_GB2312" w:eastAsia="仿宋_GB2312" w:cs="仿宋_GB2312"/>
          <w:sz w:val="32"/>
          <w:szCs w:val="32"/>
          <w:lang w:val="en-US" w:eastAsia="zh-CN"/>
        </w:rPr>
        <w:t>和</w:t>
      </w:r>
      <w:r>
        <w:rPr>
          <w:rFonts w:hint="default" w:ascii="仿宋_GB2312" w:hAnsi="仿宋_GB2312" w:eastAsia="仿宋_GB2312" w:cs="仿宋_GB2312"/>
          <w:sz w:val="32"/>
          <w:szCs w:val="32"/>
          <w:lang w:val="en-US" w:eastAsia="zh-CN"/>
        </w:rPr>
        <w:t>讲座</w:t>
      </w:r>
      <w:r>
        <w:rPr>
          <w:rFonts w:hint="eastAsia" w:ascii="仿宋_GB2312" w:hAnsi="仿宋_GB2312" w:eastAsia="仿宋_GB2312" w:cs="仿宋_GB2312"/>
          <w:sz w:val="32"/>
          <w:szCs w:val="32"/>
          <w:lang w:val="en-US" w:eastAsia="zh-CN"/>
        </w:rPr>
        <w:t>13</w:t>
      </w:r>
      <w:r>
        <w:rPr>
          <w:rFonts w:hint="default" w:ascii="仿宋_GB2312" w:hAnsi="仿宋_GB2312" w:eastAsia="仿宋_GB2312" w:cs="仿宋_GB2312"/>
          <w:sz w:val="32"/>
          <w:szCs w:val="32"/>
          <w:lang w:val="en-US" w:eastAsia="zh-CN"/>
        </w:rPr>
        <w:t>次</w:t>
      </w:r>
      <w:r>
        <w:rPr>
          <w:rFonts w:hint="eastAsia" w:ascii="仿宋_GB2312" w:hAnsi="仿宋_GB2312" w:eastAsia="仿宋_GB2312" w:cs="仿宋_GB2312"/>
          <w:sz w:val="32"/>
          <w:szCs w:val="32"/>
          <w:lang w:val="en-US" w:eastAsia="zh-CN"/>
        </w:rPr>
        <w:t>，发放宣传资料1.7万余份。</w:t>
      </w:r>
    </w:p>
    <w:p w14:paraId="1D17E03C">
      <w:pPr>
        <w:ind w:left="640" w:leftChars="200" w:firstLine="0" w:firstLineChars="0"/>
        <w:rPr>
          <w:b/>
          <w:bCs/>
        </w:rPr>
      </w:pPr>
      <w:r>
        <w:rPr>
          <w:rFonts w:hint="eastAsia"/>
          <w:b/>
          <w:bCs/>
        </w:rPr>
        <w:t>（2）部门履职效果</w:t>
      </w:r>
    </w:p>
    <w:p w14:paraId="5AF8A504">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部门履职效果目标指标分值为</w:t>
      </w:r>
      <w:r>
        <w:rPr>
          <w:rFonts w:hint="eastAsia" w:cs="仿宋_GB2312"/>
          <w:color w:val="000000"/>
          <w:kern w:val="2"/>
          <w:sz w:val="32"/>
          <w:szCs w:val="32"/>
          <w:lang w:val="en-US" w:eastAsia="zh-CN" w:bidi="ar-SA"/>
        </w:rPr>
        <w:t>6</w:t>
      </w:r>
      <w:r>
        <w:rPr>
          <w:rFonts w:hint="eastAsia" w:ascii="仿宋_GB2312" w:hAnsi="仿宋_GB2312" w:eastAsia="仿宋_GB2312" w:cs="仿宋_GB2312"/>
          <w:color w:val="000000"/>
          <w:kern w:val="2"/>
          <w:sz w:val="32"/>
          <w:szCs w:val="32"/>
          <w:lang w:val="en-US" w:eastAsia="zh-CN" w:bidi="ar-SA"/>
        </w:rPr>
        <w:t>分，得</w:t>
      </w:r>
      <w:r>
        <w:rPr>
          <w:rFonts w:hint="eastAsia" w:cs="仿宋_GB2312"/>
          <w:color w:val="000000"/>
          <w:kern w:val="2"/>
          <w:sz w:val="32"/>
          <w:szCs w:val="32"/>
          <w:lang w:val="en-US" w:eastAsia="zh-CN" w:bidi="ar-SA"/>
        </w:rPr>
        <w:t>6</w:t>
      </w:r>
      <w:r>
        <w:rPr>
          <w:rFonts w:hint="eastAsia" w:ascii="仿宋_GB2312" w:hAnsi="仿宋_GB2312" w:eastAsia="仿宋_GB2312" w:cs="仿宋_GB2312"/>
          <w:color w:val="000000"/>
          <w:kern w:val="2"/>
          <w:sz w:val="32"/>
          <w:szCs w:val="32"/>
          <w:lang w:val="en-US" w:eastAsia="zh-CN" w:bidi="ar-SA"/>
        </w:rPr>
        <w:t>分。</w:t>
      </w:r>
    </w:p>
    <w:p w14:paraId="581CD7E0">
      <w:pPr>
        <w:keepNext w:val="0"/>
        <w:keepLines w:val="0"/>
        <w:pageBreakBefore w:val="0"/>
        <w:widowControl/>
        <w:kinsoku/>
        <w:wordWrap/>
        <w:overflowPunct/>
        <w:topLinePunct w:val="0"/>
        <w:autoSpaceDE/>
        <w:autoSpaceDN/>
        <w:bidi w:val="0"/>
        <w:adjustRightInd w:val="0"/>
        <w:snapToGrid w:val="0"/>
        <w:spacing w:after="0" w:line="600" w:lineRule="exac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2022年以来，面对突如其来的新冠肺炎疫情，新区卫健系统全体干部职工全力以赴抓好疫情防控和常规工作。在做好疫情防控常态化的基础上，狠抓卫生项目协调跟踪，努力提升医疗服务管理水平，全面推进健康扶贫和卫生健康各项重点指标任务。</w:t>
      </w:r>
    </w:p>
    <w:p w14:paraId="5A0C4A16">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仿宋_GB2312" w:eastAsia="仿宋_GB2312" w:cs="Times New Roman"/>
          <w:sz w:val="32"/>
          <w:szCs w:val="32"/>
          <w:lang w:val="en-US" w:eastAsia="zh-CN"/>
        </w:rPr>
      </w:pPr>
      <w:r>
        <w:rPr>
          <w:rFonts w:hint="eastAsia" w:ascii="仿宋_GB2312" w:hAnsi="仿宋_GB2312" w:eastAsia="仿宋_GB2312" w:cs="仿宋_GB2312"/>
          <w:b w:val="0"/>
          <w:bCs w:val="0"/>
          <w:color w:val="auto"/>
          <w:kern w:val="2"/>
          <w:sz w:val="32"/>
          <w:szCs w:val="32"/>
          <w:lang w:val="en-US" w:eastAsia="zh-CN" w:bidi="ar-SA"/>
        </w:rPr>
        <w:t>稳步推进疾控机构改革，</w:t>
      </w:r>
      <w:r>
        <w:rPr>
          <w:rFonts w:hint="eastAsia" w:ascii="仿宋_GB2312" w:hAnsi="仿宋_GB2312" w:eastAsia="仿宋_GB2312"/>
          <w:sz w:val="32"/>
          <w:szCs w:val="32"/>
          <w:lang w:val="en-US" w:eastAsia="zh-CN"/>
        </w:rPr>
        <w:t>在新区卫生健康委挂牌成立了兰州新区</w:t>
      </w:r>
      <w:r>
        <w:rPr>
          <w:rFonts w:ascii="仿宋_GB2312" w:hAnsi="仿宋_GB2312" w:eastAsia="仿宋_GB2312"/>
          <w:sz w:val="32"/>
          <w:szCs w:val="32"/>
          <w:lang w:val="en-US" w:eastAsia="zh-CN"/>
        </w:rPr>
        <w:t>疾病预防控制局</w:t>
      </w:r>
      <w:r>
        <w:rPr>
          <w:rFonts w:hint="eastAsia" w:ascii="仿宋_GB2312" w:hAnsi="仿宋_GB2312" w:eastAsia="仿宋_GB2312" w:cs="Times New Roman"/>
          <w:sz w:val="32"/>
          <w:szCs w:val="32"/>
          <w:lang w:val="en-US" w:eastAsia="zh-CN"/>
        </w:rPr>
        <w:t>。新区疾控中心实验室改造已完成，开展新冠病毒、猴痘、流感、病毒性腹泻、手足口病、麻疹、风疹等病原学检测工作。艾滋病检测初筛实验室通过省级专家现场验收。生活饮用水水质检测设备正在安装调试，申请省级CMA质量认证，明年全面开展水质常规检测工作。</w:t>
      </w:r>
    </w:p>
    <w:p w14:paraId="7FF69866">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ascii="仿宋_GB2312" w:hAnsi="仿宋_GB2312" w:eastAsia="仿宋_GB2312" w:cs="仿宋_GB2312"/>
          <w:sz w:val="32"/>
          <w:szCs w:val="32"/>
          <w:lang w:val="en-US" w:eastAsia="zh-CN"/>
        </w:rPr>
        <w:t>积极推进预防接种单位能力提升，7家预防接种门诊均完成数字化建设和创建为5A级预防接种单位。</w:t>
      </w:r>
      <w:r>
        <w:rPr>
          <w:rFonts w:hint="eastAsia" w:ascii="仿宋_GB2312" w:hAnsi="仿宋_GB2312" w:eastAsia="仿宋_GB2312" w:cs="仿宋_GB2312"/>
          <w:b w:val="0"/>
          <w:i w:val="0"/>
          <w:color w:val="000000"/>
          <w:spacing w:val="0"/>
          <w:w w:val="100"/>
          <w:kern w:val="2"/>
          <w:sz w:val="32"/>
          <w:szCs w:val="32"/>
          <w:lang w:val="en-US" w:eastAsia="zh-CN" w:bidi="ar-SA"/>
        </w:rPr>
        <w:t>各医疗机构储备手足口病、水痘、流感等疫苗</w:t>
      </w:r>
      <w:r>
        <w:rPr>
          <w:rFonts w:hint="eastAsia" w:ascii="仿宋_GB2312" w:hAnsi="仿宋_GB2312" w:eastAsia="仿宋_GB2312" w:cs="仿宋_GB2312"/>
          <w:sz w:val="32"/>
          <w:szCs w:val="32"/>
          <w:lang w:val="en-US" w:eastAsia="zh-CN"/>
        </w:rPr>
        <w:t>，为12467名18岁以下儿童查漏补种疫苗，</w:t>
      </w:r>
      <w:r>
        <w:rPr>
          <w:rFonts w:hint="eastAsia" w:ascii="仿宋_GB2312" w:hAnsi="仿宋_GB2312" w:eastAsia="仿宋_GB2312" w:cs="仿宋_GB2312"/>
          <w:b w:val="0"/>
          <w:i w:val="0"/>
          <w:color w:val="000000"/>
          <w:spacing w:val="0"/>
          <w:w w:val="100"/>
          <w:kern w:val="2"/>
          <w:sz w:val="32"/>
          <w:szCs w:val="32"/>
          <w:lang w:val="en-US" w:eastAsia="zh-CN" w:bidi="ar-SA"/>
        </w:rPr>
        <w:t>免疫规划疫苗接种率均达90%以上。</w:t>
      </w:r>
    </w:p>
    <w:p w14:paraId="6D0AC12A">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印发了《新区流行性感冒防控方案》，</w:t>
      </w:r>
      <w:r>
        <w:rPr>
          <w:rFonts w:hint="eastAsia" w:ascii="仿宋_GB2312" w:hAnsi="仿宋_GB2312" w:eastAsia="仿宋_GB2312" w:cs="仿宋_GB2312"/>
          <w:b w:val="0"/>
          <w:i w:val="0"/>
          <w:color w:val="000000"/>
          <w:spacing w:val="0"/>
          <w:w w:val="100"/>
          <w:kern w:val="2"/>
          <w:sz w:val="32"/>
          <w:szCs w:val="32"/>
          <w:lang w:val="en-US" w:eastAsia="zh-CN" w:bidi="ar-SA"/>
        </w:rPr>
        <w:t>密切关注和分析研判季节性传染病流行趋势，及时调整应对举措。</w:t>
      </w:r>
      <w:r>
        <w:rPr>
          <w:rFonts w:hint="eastAsia" w:ascii="仿宋_GB2312" w:hAnsi="仿宋_GB2312" w:eastAsia="仿宋_GB2312" w:cs="仿宋_GB2312"/>
          <w:sz w:val="32"/>
          <w:szCs w:val="32"/>
          <w:lang w:val="en-US" w:eastAsia="zh-CN"/>
        </w:rPr>
        <w:t>开展流感等重点传染病健康讲座100场次惠及</w:t>
      </w:r>
      <w:r>
        <w:rPr>
          <w:rFonts w:hint="default" w:ascii="仿宋_GB2312" w:hAnsi="仿宋_GB2312" w:eastAsia="仿宋_GB2312" w:cs="仿宋_GB2312"/>
          <w:sz w:val="32"/>
          <w:szCs w:val="32"/>
          <w:lang w:eastAsia="zh-CN"/>
        </w:rPr>
        <w:t>5万余</w:t>
      </w:r>
      <w:r>
        <w:rPr>
          <w:rFonts w:hint="eastAsia" w:ascii="仿宋_GB2312" w:hAnsi="仿宋_GB2312" w:eastAsia="仿宋_GB2312" w:cs="仿宋_GB2312"/>
          <w:sz w:val="32"/>
          <w:szCs w:val="32"/>
          <w:lang w:val="en-US" w:eastAsia="zh-CN"/>
        </w:rPr>
        <w:t>人次，累计发放宣传资料2</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sz w:val="32"/>
          <w:szCs w:val="32"/>
          <w:lang w:val="en-US" w:eastAsia="zh-CN"/>
        </w:rPr>
        <w:t>5万余份。</w:t>
      </w:r>
    </w:p>
    <w:p w14:paraId="51D5EAD6">
      <w:pPr>
        <w:pStyle w:val="21"/>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0" w:firstLineChars="2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ascii="仿宋_GB2312" w:hAnsi="仿宋_GB2312" w:eastAsia="仿宋_GB2312" w:cs="仿宋_GB2312"/>
          <w:b w:val="0"/>
          <w:i w:val="0"/>
          <w:color w:val="000000"/>
          <w:spacing w:val="0"/>
          <w:w w:val="100"/>
          <w:kern w:val="2"/>
          <w:sz w:val="32"/>
          <w:szCs w:val="32"/>
          <w:lang w:val="en-US" w:eastAsia="zh-CN" w:bidi="ar-SA"/>
        </w:rPr>
        <w:t>依申请类行政审批事项承诺办理时限压缩比为95.20%，即办件率达到94.37%，均高于全省水平。</w:t>
      </w:r>
    </w:p>
    <w:p w14:paraId="1535F354">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ascii="仿宋_GB2312" w:hAnsi="仿宋_GB2312" w:eastAsia="仿宋_GB2312" w:cs="仿宋_GB2312"/>
          <w:b w:val="0"/>
          <w:i w:val="0"/>
          <w:color w:val="000000"/>
          <w:spacing w:val="0"/>
          <w:w w:val="100"/>
          <w:kern w:val="2"/>
          <w:sz w:val="32"/>
          <w:szCs w:val="32"/>
          <w:lang w:val="en-US" w:eastAsia="zh-CN" w:bidi="ar-SA"/>
        </w:rPr>
        <w:t>发放叶酸4218瓶，完成率100.4%，孕前优生检查233对，完成率104.5%。持续</w:t>
      </w:r>
      <w:r>
        <w:rPr>
          <w:rFonts w:hint="default" w:ascii="仿宋_GB2312" w:hAnsi="仿宋_GB2312" w:eastAsia="仿宋_GB2312" w:cs="仿宋_GB2312"/>
          <w:b w:val="0"/>
          <w:i w:val="0"/>
          <w:color w:val="000000"/>
          <w:spacing w:val="0"/>
          <w:w w:val="100"/>
          <w:kern w:val="2"/>
          <w:sz w:val="32"/>
          <w:szCs w:val="32"/>
          <w:lang w:val="en-US" w:eastAsia="zh-CN" w:bidi="ar-SA"/>
        </w:rPr>
        <w:t>完善危重孕产妇和新生儿救治体系，</w:t>
      </w:r>
      <w:r>
        <w:rPr>
          <w:rFonts w:hint="eastAsia" w:ascii="仿宋_GB2312" w:hAnsi="仿宋_GB2312" w:eastAsia="仿宋_GB2312" w:cs="仿宋_GB2312"/>
          <w:b w:val="0"/>
          <w:i w:val="0"/>
          <w:color w:val="000000"/>
          <w:spacing w:val="0"/>
          <w:w w:val="100"/>
          <w:kern w:val="2"/>
          <w:sz w:val="32"/>
          <w:szCs w:val="32"/>
          <w:lang w:val="en-US" w:eastAsia="zh-CN" w:bidi="ar-SA"/>
        </w:rPr>
        <w:t>降低出生缺陷发生风险，提高出生人口素质，切实提高妇女儿童健康水平。</w:t>
      </w:r>
    </w:p>
    <w:p w14:paraId="729150A6">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ascii="仿宋_GB2312" w:hAnsi="仿宋_GB2312" w:eastAsia="仿宋_GB2312" w:cs="仿宋_GB2312"/>
          <w:b w:val="0"/>
          <w:i w:val="0"/>
          <w:color w:val="000000"/>
          <w:spacing w:val="0"/>
          <w:w w:val="100"/>
          <w:kern w:val="2"/>
          <w:sz w:val="32"/>
          <w:szCs w:val="32"/>
          <w:lang w:val="en-US" w:eastAsia="zh-CN" w:bidi="ar-SA"/>
        </w:rPr>
        <w:t>印发了《新区安宁疗护服务试点工作通知》,栖霞社区卫生服务中心为安宁疗护试点单位。中心与新区福利院签订服务协议，为需要健康服务的老年人提供包含中医适宜技术的医疗服务。</w:t>
      </w:r>
    </w:p>
    <w:p w14:paraId="69546064">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960" w:firstLineChars="300"/>
        <w:jc w:val="both"/>
        <w:textAlignment w:val="auto"/>
        <w:rPr>
          <w:rFonts w:hint="eastAsia" w:ascii="仿宋_GB2312" w:hAnsi="仿宋_GB2312" w:eastAsia="仿宋_GB2312" w:cs="仿宋_GB2312"/>
          <w:b w:val="0"/>
          <w:i w:val="0"/>
          <w:color w:val="000000"/>
          <w:spacing w:val="0"/>
          <w:w w:val="100"/>
          <w:kern w:val="2"/>
          <w:sz w:val="32"/>
          <w:szCs w:val="32"/>
          <w:lang w:val="en-US" w:eastAsia="zh-CN" w:bidi="ar-SA"/>
        </w:rPr>
      </w:pPr>
      <w:r>
        <w:rPr>
          <w:rFonts w:hint="eastAsia" w:ascii="仿宋_GB2312" w:hAnsi="仿宋_GB2312" w:eastAsia="仿宋_GB2312" w:cs="仿宋_GB2312"/>
          <w:b w:val="0"/>
          <w:i w:val="0"/>
          <w:color w:val="000000"/>
          <w:spacing w:val="0"/>
          <w:w w:val="100"/>
          <w:kern w:val="2"/>
          <w:sz w:val="32"/>
          <w:szCs w:val="32"/>
          <w:lang w:val="en-US" w:eastAsia="zh-CN" w:bidi="ar-SA"/>
        </w:rPr>
        <w:t>完成老年人体检17773人，体检率92.64%。公立医疗机构对60岁以上老年人开展门诊服务时减免普通门诊诊查费2元，减免副主任医师以上专家诊查费1元，进一步减轻老年人就医负担。</w:t>
      </w:r>
    </w:p>
    <w:p w14:paraId="27602BB6">
      <w:pPr>
        <w:ind w:left="640" w:leftChars="200" w:firstLine="0" w:firstLineChars="0"/>
        <w:rPr>
          <w:b/>
          <w:bCs/>
        </w:rPr>
      </w:pPr>
      <w:r>
        <w:rPr>
          <w:rFonts w:hint="eastAsia"/>
          <w:b/>
          <w:bCs/>
        </w:rPr>
        <w:t>（3）社会影响</w:t>
      </w:r>
    </w:p>
    <w:p w14:paraId="5A0C4AD7">
      <w:r>
        <w:rPr>
          <w:rFonts w:hint="eastAsia"/>
        </w:rPr>
        <w:t>社会影响指标分值为</w:t>
      </w:r>
      <w:r>
        <w:rPr>
          <w:rFonts w:hint="eastAsia"/>
          <w:lang w:val="en-US" w:eastAsia="zh-CN"/>
        </w:rPr>
        <w:t>6</w:t>
      </w:r>
      <w:r>
        <w:rPr>
          <w:rFonts w:hint="eastAsia"/>
        </w:rPr>
        <w:t>分，得</w:t>
      </w:r>
      <w:r>
        <w:rPr>
          <w:rFonts w:hint="eastAsia"/>
          <w:lang w:val="en-US" w:eastAsia="zh-CN"/>
        </w:rPr>
        <w:t>6</w:t>
      </w:r>
      <w:r>
        <w:rPr>
          <w:rFonts w:hint="eastAsia"/>
        </w:rPr>
        <w:t>分。20</w:t>
      </w:r>
      <w:r>
        <w:rPr>
          <w:rFonts w:hint="eastAsia"/>
          <w:lang w:val="en-US" w:eastAsia="zh-CN"/>
        </w:rPr>
        <w:t>23</w:t>
      </w:r>
      <w:r>
        <w:rPr>
          <w:rFonts w:hint="eastAsia"/>
        </w:rPr>
        <w:t>年度，我委积极推进各项工作的开展，按要求严格落实相关政策，无违法违纪情况，</w:t>
      </w:r>
      <w:r>
        <w:rPr>
          <w:rFonts w:hint="eastAsia" w:ascii="仿宋_GB2312" w:hAnsi="仿宋_GB2312" w:eastAsia="仿宋_GB2312" w:cs="仿宋_GB2312"/>
          <w:b w:val="0"/>
          <w:i w:val="0"/>
          <w:color w:val="000000"/>
          <w:spacing w:val="0"/>
          <w:w w:val="100"/>
          <w:kern w:val="2"/>
          <w:sz w:val="32"/>
          <w:szCs w:val="32"/>
          <w:lang w:val="en-US" w:eastAsia="zh-CN" w:bidi="ar-SA"/>
        </w:rPr>
        <w:t>新区选送的作品《我是一名战士》在全国家医风采展现晚会上表演并获观众投票第三名，授予“健康文艺风采奖”；反映新区抗疫工作的视频短片《战疫的奉献》被中国社区卫生协会展播，在省内外卫生系统引起强烈反响</w:t>
      </w:r>
      <w:r>
        <w:rPr>
          <w:rFonts w:hint="eastAsia"/>
        </w:rPr>
        <w:t>。</w:t>
      </w:r>
    </w:p>
    <w:p w14:paraId="1ECC139C">
      <w:pPr>
        <w:ind w:firstLine="643"/>
        <w:rPr>
          <w:b/>
          <w:bCs/>
        </w:rPr>
      </w:pPr>
      <w:r>
        <w:rPr>
          <w:rFonts w:hint="eastAsia"/>
          <w:b/>
          <w:bCs/>
        </w:rPr>
        <w:t>4.能力建设</w:t>
      </w:r>
    </w:p>
    <w:p w14:paraId="26CAD1AD">
      <w:pPr>
        <w:ind w:firstLine="640" w:firstLineChars="200"/>
      </w:pPr>
      <w:r>
        <w:rPr>
          <w:rFonts w:hint="eastAsia"/>
        </w:rPr>
        <w:t>能力建设指标分值为10分，得10分。202</w:t>
      </w:r>
      <w:r>
        <w:rPr>
          <w:rFonts w:hint="eastAsia"/>
          <w:lang w:val="en-US" w:eastAsia="zh-CN"/>
        </w:rPr>
        <w:t>3</w:t>
      </w:r>
      <w:r>
        <w:rPr>
          <w:rFonts w:hint="eastAsia"/>
        </w:rPr>
        <w:t>年度我委坚持以党的政治建设为统领推进从严治党，</w:t>
      </w:r>
      <w:r>
        <w:rPr>
          <w:rFonts w:hint="eastAsia" w:hAnsi="Calibri" w:cs="仿宋_GB2312"/>
          <w:szCs w:val="32"/>
        </w:rPr>
        <w:t>把增强“四个意识”、坚定“四个自信”、做到“两个维护”落实到医疗卫生工作的全过程，各方面。</w:t>
      </w:r>
      <w:r>
        <w:rPr>
          <w:rFonts w:hint="eastAsia"/>
        </w:rPr>
        <w:t>做好人力资源建设工作，强化人员工作能力，进一步加强各项档案资料的管理，为后续相关工作开展带来可持续影响。</w:t>
      </w:r>
    </w:p>
    <w:p w14:paraId="43DD1CDE">
      <w:pPr>
        <w:ind w:firstLine="643"/>
        <w:rPr>
          <w:b/>
          <w:bCs/>
        </w:rPr>
      </w:pPr>
      <w:r>
        <w:rPr>
          <w:rFonts w:hint="eastAsia"/>
          <w:b/>
          <w:bCs/>
        </w:rPr>
        <w:t>①长效管理</w:t>
      </w:r>
    </w:p>
    <w:p w14:paraId="08E74F90">
      <w:pPr>
        <w:rPr>
          <w:rFonts w:ascii="楷体_GB2312" w:hAnsi="楷体_GB2312" w:eastAsia="楷体_GB2312" w:cs="楷体_GB2312"/>
          <w:b/>
          <w:bCs/>
          <w:szCs w:val="32"/>
        </w:rPr>
      </w:pPr>
      <w:r>
        <w:rPr>
          <w:rFonts w:hint="eastAsia" w:hAnsi="Calibri" w:cs="仿宋_GB2312"/>
          <w:szCs w:val="32"/>
        </w:rPr>
        <w:t>长效管理指标分值为2分，得2分，以中期规划建设完备程度进行体现。</w:t>
      </w:r>
      <w:r>
        <w:rPr>
          <w:rFonts w:hint="eastAsia"/>
        </w:rPr>
        <w:t>202</w:t>
      </w:r>
      <w:r>
        <w:rPr>
          <w:rFonts w:hint="eastAsia"/>
          <w:lang w:val="en-US" w:eastAsia="zh-CN"/>
        </w:rPr>
        <w:t>3</w:t>
      </w:r>
      <w:r>
        <w:rPr>
          <w:rFonts w:hint="eastAsia"/>
        </w:rPr>
        <w:t>年度我委定期召开部门会议，规划总结全年工作任务，制定相关中期规划方案，为后续相关工作开展提供方向指导。</w:t>
      </w:r>
    </w:p>
    <w:p w14:paraId="6F3496CB">
      <w:pPr>
        <w:ind w:firstLine="643"/>
        <w:rPr>
          <w:b/>
          <w:bCs/>
        </w:rPr>
      </w:pPr>
      <w:r>
        <w:rPr>
          <w:rFonts w:hint="eastAsia"/>
          <w:b/>
          <w:bCs/>
        </w:rPr>
        <w:t>②组织建设</w:t>
      </w:r>
    </w:p>
    <w:p w14:paraId="00F8FCF5">
      <w:pPr>
        <w:rPr>
          <w:rFonts w:ascii="楷体_GB2312" w:hAnsi="楷体_GB2312" w:eastAsia="楷体_GB2312" w:cs="楷体_GB2312"/>
          <w:b/>
          <w:bCs/>
          <w:szCs w:val="32"/>
        </w:rPr>
      </w:pPr>
      <w:r>
        <w:rPr>
          <w:rFonts w:hint="eastAsia" w:hAnsi="Calibri" w:cs="仿宋_GB2312"/>
          <w:szCs w:val="32"/>
        </w:rPr>
        <w:t>组织</w:t>
      </w:r>
      <w:r>
        <w:rPr>
          <w:rFonts w:hint="eastAsia"/>
        </w:rPr>
        <w:t>建设指标分值为2分，得2分，以党建工作开展规律性进行体现。202</w:t>
      </w:r>
      <w:r>
        <w:rPr>
          <w:rFonts w:hint="eastAsia"/>
          <w:lang w:val="en-US" w:eastAsia="zh-CN"/>
        </w:rPr>
        <w:t>3</w:t>
      </w:r>
      <w:r>
        <w:rPr>
          <w:rFonts w:hint="eastAsia"/>
        </w:rPr>
        <w:t>年我委</w:t>
      </w:r>
      <w:r>
        <w:rPr>
          <w:rFonts w:hint="eastAsia" w:hAnsi="Calibri" w:cs="仿宋_GB2312"/>
          <w:szCs w:val="32"/>
        </w:rPr>
        <w:t>持续加强和夯实新区各医疗机构基层党组织建设，把重点放在组织建设上。围绕服务功能，抓好基层党组织阵地建设。充分发挥党支部引领作用，以党内学习教育为载体，严格落实支部“三会一课”、主题党日、专题组织生活会、等组织生活制度。为系统党员干部营造良好的政治氛围，增强组织生活的吸引力和感染力，锻造党性锤炼“大熔炉”，促进系统内医务人员更好地提高医疗水平、造福患者群众。</w:t>
      </w:r>
    </w:p>
    <w:p w14:paraId="6624925B">
      <w:pPr>
        <w:ind w:firstLine="643"/>
        <w:rPr>
          <w:b/>
          <w:bCs/>
        </w:rPr>
      </w:pPr>
      <w:r>
        <w:rPr>
          <w:rFonts w:hint="eastAsia"/>
          <w:b/>
          <w:bCs/>
        </w:rPr>
        <w:t>③信息化建设情况</w:t>
      </w:r>
    </w:p>
    <w:p w14:paraId="19BAF17F">
      <w:pPr>
        <w:widowControl/>
        <w:spacing w:line="560" w:lineRule="exact"/>
        <w:rPr>
          <w:rFonts w:cs="仿宋_GB2312"/>
          <w:szCs w:val="32"/>
        </w:rPr>
      </w:pPr>
      <w:r>
        <w:rPr>
          <w:rFonts w:hint="eastAsia"/>
        </w:rPr>
        <w:t>信息化建设情况指标分值为2分，得2分。</w:t>
      </w:r>
      <w:r>
        <w:rPr>
          <w:rFonts w:hint="eastAsia" w:cs="仿宋_GB2312"/>
          <w:szCs w:val="32"/>
        </w:rPr>
        <w:t>202</w:t>
      </w:r>
      <w:r>
        <w:rPr>
          <w:rFonts w:hint="eastAsia" w:cs="仿宋_GB2312"/>
          <w:szCs w:val="32"/>
          <w:lang w:val="en-US" w:eastAsia="zh-CN"/>
        </w:rPr>
        <w:t>3</w:t>
      </w:r>
      <w:r>
        <w:rPr>
          <w:rFonts w:hint="eastAsia" w:cs="仿宋_GB2312"/>
          <w:szCs w:val="32"/>
        </w:rPr>
        <w:t>年新区基本建成覆盖全市的人口信息、电子健康档案和电子病历三大数据库，并实现信息动态更新。智慧医疗监管应用平台、医疗数据质控平台、医疗数据共享交换平台及区域云HIS系统、健康档案、电子病历已在华为云平台完成部署，卫生专网数据链路已开通，基层卫生院已完成区域云HIS系统运行前的测试和培训，相关诊疗目录、药品目录及库存信息等已录入系统，均投入使用。</w:t>
      </w:r>
    </w:p>
    <w:p w14:paraId="723FBD6F">
      <w:pPr>
        <w:ind w:firstLine="643"/>
      </w:pPr>
      <w:r>
        <w:rPr>
          <w:rFonts w:hint="eastAsia"/>
          <w:b/>
          <w:bCs/>
        </w:rPr>
        <w:t>④人力资源建设</w:t>
      </w:r>
    </w:p>
    <w:p w14:paraId="1E4DDB9A">
      <w:pPr>
        <w:ind w:firstLine="0" w:firstLineChars="0"/>
        <w:rPr>
          <w:rFonts w:ascii="楷体_GB2312" w:hAnsi="楷体_GB2312" w:eastAsia="楷体_GB2312" w:cs="楷体_GB2312"/>
          <w:b/>
          <w:bCs/>
          <w:szCs w:val="32"/>
        </w:rPr>
      </w:pPr>
      <w:r>
        <w:rPr>
          <w:rFonts w:hint="eastAsia"/>
        </w:rPr>
        <w:t>人力资源建设指标分值为2分，得2分，以人员培训机制完备性进行体现。我委根据人力资源管理需求，积极开展相关人员培训工作，以完备的培训机制来促进人员能力的提升，保障部门整体工作的有效开展。</w:t>
      </w:r>
    </w:p>
    <w:p w14:paraId="50C4F28A">
      <w:pPr>
        <w:ind w:firstLine="643"/>
      </w:pPr>
      <w:r>
        <w:rPr>
          <w:rFonts w:hint="eastAsia"/>
          <w:b/>
          <w:bCs/>
        </w:rPr>
        <w:t>⑤档案管理</w:t>
      </w:r>
    </w:p>
    <w:p w14:paraId="537E62AD">
      <w:r>
        <w:rPr>
          <w:rFonts w:hint="eastAsia"/>
        </w:rPr>
        <w:t>档案管理指标分值为2分，得2分，以档案管理完备性进行体现。针对各项工作的开展，我委严格按照相关档案管理制度，进行档案综合管理。</w:t>
      </w:r>
    </w:p>
    <w:p w14:paraId="0F5909D0">
      <w:pPr>
        <w:ind w:firstLine="643"/>
        <w:rPr>
          <w:b/>
          <w:bCs/>
        </w:rPr>
      </w:pPr>
      <w:r>
        <w:rPr>
          <w:rFonts w:hint="eastAsia"/>
          <w:b/>
          <w:bCs/>
        </w:rPr>
        <w:t>5.服务对象满意度</w:t>
      </w:r>
    </w:p>
    <w:p w14:paraId="1A69DC98">
      <w:pPr>
        <w:rPr>
          <w:rFonts w:ascii="楷体_GB2312" w:hAnsi="楷体_GB2312" w:eastAsia="楷体_GB2312" w:cs="楷体_GB2312"/>
          <w:b/>
          <w:bCs/>
          <w:szCs w:val="32"/>
        </w:rPr>
      </w:pPr>
      <w:r>
        <w:rPr>
          <w:rFonts w:hint="eastAsia"/>
        </w:rPr>
        <w:t>服务对象满意度指标分值为10分，得10分。从工作人员及医务人员与群众的角度出发进行了解，202</w:t>
      </w:r>
      <w:r>
        <w:rPr>
          <w:rFonts w:hint="eastAsia"/>
          <w:lang w:val="en-US" w:eastAsia="zh-CN"/>
        </w:rPr>
        <w:t>3</w:t>
      </w:r>
      <w:r>
        <w:rPr>
          <w:rFonts w:hint="eastAsia"/>
        </w:rPr>
        <w:t>年度我委各项工作的开展，得到社会群体较为广泛的认同，我委将进一步</w:t>
      </w:r>
      <w:r>
        <w:rPr>
          <w:rFonts w:hint="eastAsia" w:cs="仿宋_GB2312"/>
          <w:szCs w:val="32"/>
        </w:rPr>
        <w:t>强化患者维权体系建设，协调解决好医患纠纷和信访积案，不断推进医患关系、干群关系和谐发展。</w:t>
      </w:r>
    </w:p>
    <w:p w14:paraId="20CA161D">
      <w:pPr>
        <w:rPr>
          <w:rFonts w:ascii="楷体_GB2312" w:hAnsi="楷体_GB2312" w:eastAsia="楷体_GB2312" w:cs="楷体_GB2312"/>
          <w:b/>
          <w:bCs/>
          <w:szCs w:val="32"/>
        </w:rPr>
      </w:pPr>
      <w:r>
        <w:rPr>
          <w:rFonts w:hint="eastAsia" w:ascii="楷体_GB2312" w:hAnsi="楷体_GB2312" w:eastAsia="楷体_GB2312" w:cs="楷体_GB2312"/>
          <w:b/>
          <w:bCs/>
          <w:szCs w:val="32"/>
        </w:rPr>
        <w:t>（四）偏离绩效目标的原因及下一步改进措施</w:t>
      </w:r>
    </w:p>
    <w:p w14:paraId="0995116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baseline"/>
        <w:rPr>
          <w:rFonts w:hint="eastAsia" w:hAnsi="Calibri" w:cs="仿宋_GB2312"/>
          <w:szCs w:val="32"/>
        </w:rPr>
      </w:pPr>
      <w:r>
        <w:rPr>
          <w:rFonts w:hint="eastAsia" w:hAnsi="Calibri" w:cs="仿宋_GB2312"/>
          <w:szCs w:val="32"/>
        </w:rPr>
        <w:t>2023年初预算资金</w:t>
      </w:r>
      <w:r>
        <w:rPr>
          <w:rFonts w:hint="eastAsia" w:hAnsi="Calibri" w:cs="仿宋_GB2312"/>
          <w:szCs w:val="32"/>
          <w:lang w:eastAsia="zh-CN"/>
        </w:rPr>
        <w:t>医政医改管理经费</w:t>
      </w:r>
      <w:r>
        <w:rPr>
          <w:rFonts w:hint="eastAsia" w:hAnsi="Calibri" w:cs="仿宋_GB2312"/>
          <w:szCs w:val="32"/>
        </w:rPr>
        <w:t>主要用于，为全面推广三明医改经验，继续推动新区第一人民医院和秦川中心卫生院紧密型县域医共体试点工作，持续推进全民健康信息化建设，积极探索“互联网+医疗健康”新模式，提升总医院（医联体）信息化建设水平，强化基层信息化服务能力，预算医改检测平台建设资金200万元。由于年初我委2023年积极向省卫健委争取医改资金，目前已下达到位资金203万元（甘财社【2022】98号-100万元、甘财社【2023】60号-103万元），将全部投入到医改信息化建设工作中，将本级预算资金按照优先用于其他重点项目中的原则，</w:t>
      </w:r>
      <w:r>
        <w:rPr>
          <w:rFonts w:hint="eastAsia" w:hAnsi="Calibri" w:cs="仿宋_GB2312"/>
          <w:szCs w:val="32"/>
          <w:lang w:eastAsia="zh-CN"/>
        </w:rPr>
        <w:t>该项目资金结余缴回</w:t>
      </w:r>
      <w:r>
        <w:rPr>
          <w:rFonts w:hint="eastAsia" w:hAnsi="Calibri" w:cs="仿宋_GB2312"/>
          <w:szCs w:val="32"/>
        </w:rPr>
        <w:t>。</w:t>
      </w:r>
    </w:p>
    <w:p w14:paraId="0A29BD66">
      <w:pPr>
        <w:keepNext w:val="0"/>
        <w:keepLines w:val="0"/>
        <w:pageBreakBefore w:val="0"/>
        <w:widowControl/>
        <w:kinsoku/>
        <w:wordWrap/>
        <w:overflowPunct/>
        <w:topLinePunct w:val="0"/>
        <w:autoSpaceDE/>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cs="仿宋_GB2312"/>
          <w:sz w:val="32"/>
          <w:szCs w:val="32"/>
          <w:lang w:val="en-US" w:eastAsia="zh-CN"/>
        </w:rPr>
        <w:t>2023年</w:t>
      </w:r>
      <w:r>
        <w:rPr>
          <w:rFonts w:hint="eastAsia" w:ascii="仿宋_GB2312" w:hAnsi="仿宋_GB2312" w:eastAsia="仿宋_GB2312" w:cs="仿宋_GB2312"/>
          <w:sz w:val="32"/>
          <w:szCs w:val="32"/>
          <w:lang w:val="en-US" w:eastAsia="zh-CN"/>
        </w:rPr>
        <w:t>经过全系统各单位的共同努力，今年卫生健康工作取得明显成效，较好的完成了各项主要任务，但还存在一些困难问题：</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医疗卫生人才梯队不完善，医疗机构缺乏知名度高的专家和学科带头人，柔性引进的高层次人才少，医院和学科的核心竞争力有待提升。</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color w:val="000000"/>
          <w:sz w:val="32"/>
          <w:szCs w:val="32"/>
        </w:rPr>
        <w:t>医疗卫生资源体量</w:t>
      </w:r>
      <w:r>
        <w:rPr>
          <w:rFonts w:hint="eastAsia" w:ascii="仿宋_GB2312" w:hAnsi="仿宋_GB2312" w:eastAsia="仿宋_GB2312" w:cs="仿宋_GB2312"/>
          <w:color w:val="000000"/>
          <w:sz w:val="32"/>
          <w:szCs w:val="32"/>
          <w:lang w:eastAsia="zh-CN"/>
        </w:rPr>
        <w:t>较</w:t>
      </w:r>
      <w:r>
        <w:rPr>
          <w:rFonts w:hint="eastAsia" w:ascii="仿宋_GB2312" w:hAnsi="仿宋_GB2312" w:eastAsia="仿宋_GB2312" w:cs="仿宋_GB2312"/>
          <w:color w:val="000000"/>
          <w:sz w:val="32"/>
          <w:szCs w:val="32"/>
        </w:rPr>
        <w:t>小</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auto"/>
          <w:sz w:val="32"/>
          <w:szCs w:val="32"/>
          <w:lang w:eastAsia="zh-CN"/>
        </w:rPr>
        <w:t>综合性医院数量较少，床位数、执业（助理）医师数、执业护士数与新区人口快速增长不相匹配。</w:t>
      </w:r>
      <w:r>
        <w:rPr>
          <w:rFonts w:hint="eastAsia" w:ascii="楷体" w:hAnsi="楷体" w:eastAsia="楷体" w:cs="楷体"/>
          <w:b/>
          <w:bCs/>
          <w:color w:val="auto"/>
          <w:sz w:val="32"/>
          <w:szCs w:val="32"/>
          <w:lang w:eastAsia="zh-CN"/>
        </w:rPr>
        <w:t>三是</w:t>
      </w:r>
      <w:r>
        <w:rPr>
          <w:rFonts w:hint="eastAsia" w:ascii="仿宋_GB2312" w:hAnsi="仿宋_GB2312" w:eastAsia="仿宋_GB2312" w:cs="仿宋_GB2312"/>
          <w:sz w:val="32"/>
          <w:szCs w:val="32"/>
          <w:lang w:val="en-US" w:eastAsia="zh-CN"/>
        </w:rPr>
        <w:t>中医药产业整体不强，建成投产企业对新区经济增长的贡献率较低。</w:t>
      </w:r>
      <w:r>
        <w:rPr>
          <w:rFonts w:hint="eastAsia" w:ascii="仿宋_GB2312" w:hAnsi="仿宋_GB2312" w:eastAsia="仿宋_GB2312" w:cs="仿宋_GB2312"/>
          <w:b w:val="0"/>
          <w:bCs w:val="0"/>
          <w:i w:val="0"/>
          <w:iCs w:val="0"/>
          <w:caps w:val="0"/>
          <w:color w:val="000000"/>
          <w:spacing w:val="0"/>
          <w:sz w:val="32"/>
          <w:szCs w:val="32"/>
          <w:u w:val="none"/>
          <w:shd w:val="clear" w:color="auto" w:fill="FFFFFF"/>
          <w:lang w:val="en-US" w:eastAsia="zh-CN"/>
        </w:rPr>
        <w:t>2024年，新区卫生健康委将持续认真学习习近平新时代中国特色社会主义思想、党的二十大精神和认真落实中央、省、市、新区各项部署要求，持续巩固和深化主题教育、“三抓三促”行动、医药领域腐败问题集中整治、主动创稳成效。紧紧围绕加快建设健康新区和助推新区高质量发展，抢抓强省会、强新区、强工业等重大政策和发展机遇，坚持抓学习与抓业务相结合，抓创新与促发展相结合，认真研究谋划、快速推动落实、提升工作质效，</w:t>
      </w:r>
      <w:r>
        <w:rPr>
          <w:rFonts w:hint="eastAsia" w:ascii="仿宋_GB2312" w:hAnsi="仿宋_GB2312" w:eastAsia="仿宋_GB2312" w:cs="仿宋_GB2312"/>
          <w:color w:val="000000"/>
          <w:sz w:val="32"/>
          <w:szCs w:val="32"/>
          <w:lang w:val="en-US" w:eastAsia="zh-CN"/>
        </w:rPr>
        <w:t>抓好各项基本工作、重点工作和民生工作，全力推动卫生健康工作显特色、出亮点、上水平、提质量。</w:t>
      </w:r>
    </w:p>
    <w:p w14:paraId="6C1F1DCA">
      <w:pPr>
        <w:ind w:firstLine="643" w:firstLineChars="200"/>
        <w:outlineLvl w:val="1"/>
        <w:rPr>
          <w:rFonts w:ascii="黑体" w:hAnsi="黑体" w:eastAsia="黑体" w:cs="黑体"/>
          <w:b/>
          <w:bCs/>
          <w:szCs w:val="32"/>
          <w:highlight w:val="none"/>
        </w:rPr>
      </w:pPr>
      <w:r>
        <w:rPr>
          <w:rFonts w:hint="eastAsia" w:ascii="黑体" w:hAnsi="黑体" w:eastAsia="黑体" w:cs="黑体"/>
          <w:b/>
          <w:bCs/>
          <w:szCs w:val="32"/>
          <w:highlight w:val="none"/>
        </w:rPr>
        <w:t>四、部门预算项目支出绩效自评情况分析</w:t>
      </w:r>
    </w:p>
    <w:p w14:paraId="20D32CE7">
      <w:pPr>
        <w:rPr>
          <w:rFonts w:cs="仿宋_GB2312"/>
          <w:szCs w:val="32"/>
          <w:highlight w:val="none"/>
        </w:rPr>
      </w:pPr>
      <w:r>
        <w:rPr>
          <w:rFonts w:hint="eastAsia" w:cs="仿宋_GB2312"/>
          <w:szCs w:val="32"/>
          <w:highlight w:val="none"/>
        </w:rPr>
        <w:t>202</w:t>
      </w:r>
      <w:r>
        <w:rPr>
          <w:rFonts w:hint="eastAsia" w:cs="仿宋_GB2312"/>
          <w:szCs w:val="32"/>
          <w:highlight w:val="none"/>
          <w:lang w:val="en-US" w:eastAsia="zh-CN"/>
        </w:rPr>
        <w:t>3</w:t>
      </w:r>
      <w:r>
        <w:rPr>
          <w:rFonts w:hint="eastAsia" w:cs="仿宋_GB2312"/>
          <w:szCs w:val="32"/>
          <w:highlight w:val="none"/>
        </w:rPr>
        <w:t>年，本部门预算支出项目</w:t>
      </w:r>
      <w:r>
        <w:rPr>
          <w:rFonts w:hint="eastAsia" w:cs="仿宋_GB2312"/>
          <w:szCs w:val="32"/>
          <w:highlight w:val="none"/>
          <w:lang w:val="en-US" w:eastAsia="zh-CN"/>
        </w:rPr>
        <w:t>23</w:t>
      </w:r>
      <w:r>
        <w:rPr>
          <w:rFonts w:hint="eastAsia" w:cs="仿宋_GB2312"/>
          <w:szCs w:val="32"/>
          <w:highlight w:val="none"/>
        </w:rPr>
        <w:t>个，当年财政拨款</w:t>
      </w:r>
      <w:r>
        <w:rPr>
          <w:rFonts w:hint="eastAsia"/>
          <w:lang w:val="en-US" w:eastAsia="zh-CN"/>
        </w:rPr>
        <w:t>11550.73</w:t>
      </w:r>
      <w:r>
        <w:rPr>
          <w:rFonts w:hint="eastAsia" w:cs="仿宋_GB2312"/>
          <w:szCs w:val="32"/>
          <w:highlight w:val="none"/>
        </w:rPr>
        <w:t>万元，全年支出</w:t>
      </w:r>
      <w:r>
        <w:rPr>
          <w:rFonts w:hint="eastAsia"/>
          <w:lang w:val="en-US" w:eastAsia="zh-CN"/>
        </w:rPr>
        <w:t>11550.73</w:t>
      </w:r>
      <w:r>
        <w:rPr>
          <w:rFonts w:hint="eastAsia" w:cs="仿宋_GB2312"/>
          <w:szCs w:val="32"/>
          <w:highlight w:val="none"/>
        </w:rPr>
        <w:t>元，执行率</w:t>
      </w:r>
      <w:r>
        <w:rPr>
          <w:rFonts w:hint="eastAsia" w:cs="仿宋_GB2312"/>
          <w:szCs w:val="32"/>
          <w:highlight w:val="none"/>
          <w:lang w:val="en-US" w:eastAsia="zh-CN"/>
        </w:rPr>
        <w:t>100</w:t>
      </w:r>
      <w:r>
        <w:rPr>
          <w:rFonts w:hint="eastAsia" w:cs="仿宋_GB2312"/>
          <w:szCs w:val="32"/>
          <w:highlight w:val="none"/>
        </w:rPr>
        <w:t>%。通过自评，有</w:t>
      </w:r>
      <w:r>
        <w:rPr>
          <w:rFonts w:hint="eastAsia" w:cs="仿宋_GB2312"/>
          <w:szCs w:val="32"/>
          <w:highlight w:val="none"/>
          <w:lang w:val="en-US" w:eastAsia="zh-CN"/>
        </w:rPr>
        <w:t>23</w:t>
      </w:r>
      <w:r>
        <w:rPr>
          <w:rFonts w:hint="eastAsia" w:cs="仿宋_GB2312"/>
          <w:szCs w:val="32"/>
          <w:highlight w:val="none"/>
        </w:rPr>
        <w:t>个项目结果为“优”。分项目自评情况分析如下：</w:t>
      </w:r>
    </w:p>
    <w:p w14:paraId="2D50E254">
      <w:pPr>
        <w:ind w:firstLine="643"/>
        <w:outlineLvl w:val="2"/>
        <w:rPr>
          <w:rFonts w:ascii="楷体" w:hAnsi="楷体" w:eastAsia="楷体" w:cs="楷体"/>
          <w:b/>
          <w:bCs/>
          <w:szCs w:val="32"/>
        </w:rPr>
      </w:pPr>
      <w:r>
        <w:rPr>
          <w:rFonts w:hint="eastAsia" w:ascii="楷体" w:hAnsi="楷体" w:eastAsia="楷体" w:cs="楷体"/>
          <w:b/>
          <w:bCs/>
          <w:szCs w:val="32"/>
        </w:rPr>
        <w:t>（一）</w:t>
      </w:r>
      <w:r>
        <w:rPr>
          <w:rFonts w:hint="eastAsia" w:ascii="楷体_GB2312" w:hAnsi="楷体_GB2312" w:eastAsia="楷体_GB2312" w:cs="楷体_GB2312"/>
          <w:b/>
          <w:bCs/>
          <w:color w:val="000000" w:themeColor="text1"/>
          <w:szCs w:val="32"/>
          <w:lang w:eastAsia="zh-CN"/>
        </w:rPr>
        <w:t>急救运转项目经费</w:t>
      </w:r>
    </w:p>
    <w:p w14:paraId="5D9611A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ascii="Helvetica" w:hAnsi="Helvetica" w:eastAsia="Helvetica" w:cs="Helvetica"/>
          <w:i w:val="0"/>
          <w:caps w:val="0"/>
          <w:color w:val="333333"/>
          <w:spacing w:val="0"/>
          <w:sz w:val="32"/>
          <w:szCs w:val="32"/>
        </w:rPr>
      </w:pPr>
      <w:r>
        <w:rPr>
          <w:rFonts w:ascii="黑体" w:hAnsi="宋体" w:eastAsia="黑体" w:cs="黑体"/>
          <w:i w:val="0"/>
          <w:caps w:val="0"/>
          <w:color w:val="333333"/>
          <w:spacing w:val="0"/>
          <w:sz w:val="32"/>
          <w:szCs w:val="32"/>
          <w:shd w:val="clear" w:color="auto" w:fill="FFFFFF"/>
        </w:rPr>
        <w:t>一、项目基本情况</w:t>
      </w:r>
    </w:p>
    <w:p w14:paraId="679A1EC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ascii="楷体" w:hAnsi="楷体" w:eastAsia="楷体" w:cs="楷体"/>
          <w:i w:val="0"/>
          <w:caps w:val="0"/>
          <w:color w:val="333333"/>
          <w:spacing w:val="0"/>
          <w:sz w:val="32"/>
          <w:szCs w:val="32"/>
          <w:shd w:val="clear" w:color="auto" w:fill="FFFFFF"/>
        </w:rPr>
      </w:pPr>
      <w:r>
        <w:rPr>
          <w:rFonts w:ascii="楷体" w:hAnsi="楷体" w:eastAsia="楷体" w:cs="楷体"/>
          <w:i w:val="0"/>
          <w:caps w:val="0"/>
          <w:color w:val="333333"/>
          <w:spacing w:val="0"/>
          <w:sz w:val="32"/>
          <w:szCs w:val="32"/>
          <w:shd w:val="clear" w:color="auto" w:fill="FFFFFF"/>
        </w:rPr>
        <w:t>（一）</w:t>
      </w:r>
      <w:r>
        <w:rPr>
          <w:rFonts w:hint="eastAsia" w:ascii="楷体" w:hAnsi="楷体" w:eastAsia="楷体" w:cs="楷体"/>
          <w:i w:val="0"/>
          <w:caps w:val="0"/>
          <w:color w:val="333333"/>
          <w:spacing w:val="0"/>
          <w:sz w:val="32"/>
          <w:szCs w:val="32"/>
          <w:shd w:val="clear" w:color="auto" w:fill="FFFFFF"/>
          <w:lang w:eastAsia="zh-CN"/>
        </w:rPr>
        <w:t>项目</w:t>
      </w:r>
      <w:r>
        <w:rPr>
          <w:rFonts w:ascii="楷体" w:hAnsi="楷体" w:eastAsia="楷体" w:cs="楷体"/>
          <w:i w:val="0"/>
          <w:caps w:val="0"/>
          <w:color w:val="333333"/>
          <w:spacing w:val="0"/>
          <w:sz w:val="32"/>
          <w:szCs w:val="32"/>
          <w:shd w:val="clear" w:color="auto" w:fill="FFFFFF"/>
        </w:rPr>
        <w:t>背景</w:t>
      </w:r>
    </w:p>
    <w:p w14:paraId="7C3967C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仿宋_GB2312" w:eastAsia="仿宋_GB2312" w:cs="Times New Roman"/>
          <w:b w:val="0"/>
          <w:bCs w:val="0"/>
          <w:kern w:val="0"/>
          <w:sz w:val="32"/>
          <w:szCs w:val="32"/>
          <w:lang w:val="en-US" w:eastAsia="zh-CN" w:bidi="ar"/>
        </w:rPr>
      </w:pPr>
      <w:r>
        <w:rPr>
          <w:rFonts w:hint="eastAsia" w:ascii="仿宋_GB2312" w:eastAsia="仿宋_GB2312" w:cs="Times New Roman"/>
          <w:b w:val="0"/>
          <w:bCs w:val="0"/>
          <w:kern w:val="0"/>
          <w:sz w:val="32"/>
          <w:szCs w:val="32"/>
          <w:lang w:val="en-US" w:eastAsia="zh-CN" w:bidi="ar"/>
        </w:rPr>
        <w:t>一是</w:t>
      </w:r>
      <w:r>
        <w:rPr>
          <w:rFonts w:hint="eastAsia" w:ascii="仿宋_GB2312" w:hAnsi="Calibri" w:eastAsia="仿宋_GB2312" w:cs="Times New Roman"/>
          <w:b w:val="0"/>
          <w:bCs w:val="0"/>
          <w:kern w:val="0"/>
          <w:sz w:val="32"/>
          <w:szCs w:val="32"/>
          <w:lang w:val="en-US" w:eastAsia="zh-CN" w:bidi="ar"/>
        </w:rPr>
        <w:t>按照国家卫生健康委、国家发改委等9部门于2020年9月17日印发了《关于印发进一步完善院前医疗急救服务指导意见的通知》（国卫医发〔2020〕19号）要求</w:t>
      </w:r>
      <w:r>
        <w:rPr>
          <w:rFonts w:hint="eastAsia" w:ascii="仿宋_GB2312" w:eastAsia="仿宋_GB2312" w:cs="Times New Roman"/>
          <w:b w:val="0"/>
          <w:bCs w:val="0"/>
          <w:kern w:val="0"/>
          <w:sz w:val="32"/>
          <w:szCs w:val="32"/>
          <w:lang w:val="en-US" w:eastAsia="zh-CN" w:bidi="ar"/>
        </w:rPr>
        <w:t>：</w:t>
      </w:r>
    </w:p>
    <w:p w14:paraId="5607D7E3">
      <w:pPr>
        <w:pStyle w:val="1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仿宋_GB2312" w:hAnsi="Calibri" w:eastAsia="仿宋_GB2312" w:cs="Times New Roman"/>
          <w:b w:val="0"/>
          <w:bCs w:val="0"/>
          <w:kern w:val="0"/>
          <w:sz w:val="32"/>
          <w:szCs w:val="32"/>
          <w:lang w:val="en-US" w:eastAsia="zh-CN" w:bidi="ar"/>
        </w:rPr>
      </w:pPr>
      <w:r>
        <w:rPr>
          <w:rFonts w:hint="eastAsia" w:ascii="仿宋_GB2312" w:hAnsi="Calibri" w:eastAsia="仿宋_GB2312" w:cs="Times New Roman"/>
          <w:b w:val="0"/>
          <w:bCs w:val="0"/>
          <w:kern w:val="0"/>
          <w:sz w:val="32"/>
          <w:szCs w:val="32"/>
          <w:lang w:val="en-US" w:eastAsia="zh-CN" w:bidi="ar"/>
        </w:rPr>
        <w:t>在属地内，依托二级以上医院、有条件的社区卫生服务中心及乡镇卫生院设置急救分站，合理布局院前医疗急救网络，新区范围内服务半径不超过5公里，乡镇地区服务半径10-20公里。</w:t>
      </w:r>
    </w:p>
    <w:p w14:paraId="58F7791C">
      <w:pPr>
        <w:pStyle w:val="1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leftChars="0" w:right="0" w:rightChars="0" w:firstLine="736" w:firstLineChars="0"/>
        <w:jc w:val="both"/>
        <w:rPr>
          <w:rFonts w:hint="eastAsia" w:ascii="仿宋_GB2312" w:eastAsia="仿宋_GB2312" w:cs="Times New Roman"/>
          <w:b w:val="0"/>
          <w:bCs w:val="0"/>
          <w:kern w:val="0"/>
          <w:sz w:val="32"/>
          <w:szCs w:val="32"/>
          <w:lang w:val="en-US" w:eastAsia="zh-CN" w:bidi="ar"/>
        </w:rPr>
      </w:pPr>
      <w:r>
        <w:rPr>
          <w:rFonts w:hint="eastAsia" w:ascii="仿宋_GB2312" w:hAnsi="Calibri" w:eastAsia="仿宋_GB2312" w:cs="Times New Roman"/>
          <w:b w:val="0"/>
          <w:bCs w:val="0"/>
          <w:kern w:val="0"/>
          <w:sz w:val="32"/>
          <w:szCs w:val="32"/>
          <w:lang w:val="en-US" w:eastAsia="zh-CN" w:bidi="ar"/>
        </w:rPr>
        <w:t>实现城乡院前医疗急救服务网络全覆盖。按照每3万人口配置1辆救护车，新区计划配备15辆救护车，根据院前医疗急救服务需求合理配置救护车类型，其中至少40%为负压救护车，即至少配备6辆负压救护车（新区现有3辆）。</w:t>
      </w:r>
      <w:r>
        <w:rPr>
          <w:rFonts w:hint="eastAsia" w:ascii="仿宋_GB2312" w:eastAsia="仿宋_GB2312" w:cs="Times New Roman"/>
          <w:b w:val="0"/>
          <w:bCs w:val="0"/>
          <w:kern w:val="0"/>
          <w:sz w:val="32"/>
          <w:szCs w:val="32"/>
          <w:lang w:val="en-US" w:eastAsia="zh-CN" w:bidi="ar"/>
        </w:rPr>
        <w:t xml:space="preserve"> </w:t>
      </w:r>
    </w:p>
    <w:p w14:paraId="3DCA62CE">
      <w:pPr>
        <w:pStyle w:val="1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leftChars="0" w:right="0" w:rightChars="0" w:firstLine="736" w:firstLineChars="0"/>
        <w:jc w:val="both"/>
        <w:rPr>
          <w:rFonts w:hint="eastAsia" w:ascii="仿宋_GB2312" w:hAnsi="Calibri" w:eastAsia="仿宋_GB2312" w:cs="Times New Roman"/>
          <w:b w:val="0"/>
          <w:bCs w:val="0"/>
          <w:kern w:val="0"/>
          <w:sz w:val="32"/>
          <w:szCs w:val="32"/>
          <w:lang w:val="en-US" w:eastAsia="zh-CN" w:bidi="ar"/>
        </w:rPr>
      </w:pPr>
      <w:r>
        <w:rPr>
          <w:rFonts w:hint="eastAsia" w:ascii="仿宋_GB2312" w:hAnsi="Calibri" w:eastAsia="仿宋_GB2312" w:cs="Times New Roman"/>
          <w:b w:val="0"/>
          <w:bCs w:val="0"/>
          <w:kern w:val="0"/>
          <w:sz w:val="32"/>
          <w:szCs w:val="32"/>
          <w:lang w:val="en-US" w:eastAsia="zh-CN" w:bidi="ar"/>
        </w:rPr>
        <w:t>日常急救值班车、备用车、应急保障车按1:1:0.5的比例配置，监护型救护车辆配置数量达到每5万人1辆，救护车具备无线网络传输功能，做到危重症患者病情信息院前院内实时传输。</w:t>
      </w:r>
    </w:p>
    <w:p w14:paraId="1083534B">
      <w:pPr>
        <w:pStyle w:val="1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leftChars="0" w:right="0" w:rightChars="0" w:firstLine="736" w:firstLineChars="0"/>
        <w:jc w:val="both"/>
        <w:rPr>
          <w:rFonts w:hint="eastAsia" w:ascii="仿宋_GB2312" w:hAnsi="Calibri" w:eastAsia="仿宋_GB2312" w:cs="Times New Roman"/>
          <w:b w:val="0"/>
          <w:bCs w:val="0"/>
          <w:kern w:val="0"/>
          <w:sz w:val="32"/>
          <w:szCs w:val="32"/>
          <w:lang w:val="en-US" w:eastAsia="zh-CN" w:bidi="ar"/>
        </w:rPr>
      </w:pPr>
      <w:r>
        <w:rPr>
          <w:rFonts w:hint="eastAsia" w:ascii="仿宋_GB2312" w:hAnsi="Calibri" w:eastAsia="仿宋_GB2312" w:cs="Times New Roman"/>
          <w:b w:val="0"/>
          <w:bCs w:val="0"/>
          <w:kern w:val="0"/>
          <w:sz w:val="32"/>
          <w:szCs w:val="32"/>
          <w:lang w:val="en-US" w:eastAsia="zh-CN" w:bidi="ar"/>
        </w:rPr>
        <w:t>独立建制的急救中心、急救医师、急救护士、急救调度员和管理人员数量满足编制要求，驾驶员、担架员通过政府购买服务或设立公益性岗位等方式予以配备。</w:t>
      </w:r>
    </w:p>
    <w:p w14:paraId="023D6956">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rightChars="0" w:firstLine="640" w:firstLineChars="200"/>
        <w:jc w:val="both"/>
        <w:rPr>
          <w:rFonts w:hint="eastAsia" w:ascii="仿宋_GB2312" w:hAnsi="Calibri" w:eastAsia="仿宋_GB2312" w:cs="Times New Roman"/>
          <w:b w:val="0"/>
          <w:bCs w:val="0"/>
          <w:kern w:val="0"/>
          <w:sz w:val="32"/>
          <w:szCs w:val="32"/>
          <w:lang w:val="en-US" w:eastAsia="zh-CN" w:bidi="ar"/>
        </w:rPr>
      </w:pPr>
      <w:r>
        <w:rPr>
          <w:rFonts w:hint="eastAsia" w:ascii="仿宋_GB2312" w:hAnsi="Calibri" w:eastAsia="仿宋_GB2312" w:cs="Times New Roman"/>
          <w:b w:val="0"/>
          <w:bCs w:val="0"/>
          <w:kern w:val="0"/>
          <w:sz w:val="32"/>
          <w:szCs w:val="32"/>
          <w:lang w:val="en-US" w:eastAsia="zh-CN" w:bidi="ar"/>
        </w:rPr>
        <w:t>5.确保急救中心（站）救护车配置达到标准，并完善不同用途和性能的救护车配备，车载医疗设备、通信设备符合国家和行业标准及有关规定，满足院前急救服务需求。新区急救中心应配备全地形越野型救护车、新生儿转运车和特殊医疗保障车辆。提高装备智能化、信息化水平。”省级和新区结合实际，按照国家文件进行发文。</w:t>
      </w:r>
    </w:p>
    <w:p w14:paraId="6C0E8A7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仿宋_GB2312" w:hAnsi="Calibri" w:eastAsia="仿宋_GB2312" w:cs="Times New Roman"/>
          <w:b w:val="0"/>
          <w:bCs w:val="0"/>
          <w:kern w:val="0"/>
          <w:sz w:val="32"/>
          <w:szCs w:val="32"/>
          <w:lang w:val="en-US" w:eastAsia="zh-CN" w:bidi="ar"/>
        </w:rPr>
      </w:pPr>
      <w:r>
        <w:rPr>
          <w:rFonts w:hint="eastAsia" w:ascii="仿宋_GB2312" w:eastAsia="仿宋_GB2312" w:cs="Times New Roman"/>
          <w:b w:val="0"/>
          <w:bCs w:val="0"/>
          <w:kern w:val="0"/>
          <w:sz w:val="32"/>
          <w:szCs w:val="32"/>
          <w:lang w:val="en-US" w:eastAsia="zh-CN" w:bidi="ar"/>
        </w:rPr>
        <w:t>二是</w:t>
      </w:r>
      <w:r>
        <w:rPr>
          <w:rFonts w:hint="eastAsia" w:ascii="仿宋_GB2312" w:hAnsi="Calibri" w:eastAsia="仿宋_GB2312" w:cs="Times New Roman"/>
          <w:b w:val="0"/>
          <w:bCs w:val="0"/>
          <w:kern w:val="0"/>
          <w:sz w:val="32"/>
          <w:szCs w:val="32"/>
          <w:lang w:val="en-US" w:eastAsia="zh-CN" w:bidi="ar"/>
        </w:rPr>
        <w:t>按照《救护车洗消站建设及消毒工作方案 （第二版）》建设，依据近期省政府任振鹤省长讲话精神，要求：加快负压救护车配置和洗消站点建设，确保患者转运、医疗救治等工作有序有效进行。</w:t>
      </w:r>
    </w:p>
    <w:p w14:paraId="5DBFB85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二</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项目内容</w:t>
      </w:r>
    </w:p>
    <w:p w14:paraId="2CBBD917">
      <w:pPr>
        <w:numPr>
          <w:ilvl w:val="0"/>
          <w:numId w:val="0"/>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为了化工园区急救分站正常运行，确保急救分站院前急救人员和救护车司机工资正常支出，以及日常运转，2023年新区化工园区急救分站预算费用为72万元，主要用于人员工资，医生按每人每月8千，护士按每人每月7千，司机按每人每月5千（3个医生、3个护士、3个司机三班倒），一年共计72万元。</w:t>
      </w:r>
    </w:p>
    <w:p w14:paraId="0039D30C">
      <w:pPr>
        <w:numPr>
          <w:ilvl w:val="0"/>
          <w:numId w:val="0"/>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2.2022年1-9月新区第一人民医院和基层各医疗机构承担各类重大活动应急保障和疫情防控任务共出车13188次（其中各类重大活动应急保障任务1549次，疫情防控任务出车11639），行车近20万公里。每次保障经费按照起步价计算（二级医疗机构45元计算），每公里按2元计算。2022年1-9月需100万元。2023年全年参照2022年重大活动应急保障次数，预算约133万。</w:t>
      </w:r>
    </w:p>
    <w:p w14:paraId="2F9615EF">
      <w:pPr>
        <w:numPr>
          <w:ilvl w:val="0"/>
          <w:numId w:val="0"/>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2023年急救运转经费约200万元。</w:t>
      </w:r>
    </w:p>
    <w:p w14:paraId="6C79571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三</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绩效目标</w:t>
      </w:r>
    </w:p>
    <w:p w14:paraId="76806B9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Calibri" w:eastAsia="仿宋_GB2312" w:cs="Times New Roman"/>
          <w:b w:val="0"/>
          <w:bCs w:val="0"/>
          <w:kern w:val="0"/>
          <w:sz w:val="32"/>
          <w:szCs w:val="32"/>
          <w:lang w:val="en-US" w:eastAsia="zh-CN" w:bidi="ar"/>
        </w:rPr>
      </w:pPr>
      <w:r>
        <w:rPr>
          <w:rFonts w:hint="eastAsia" w:ascii="仿宋_GB2312" w:hAnsi="仿宋_GB2312" w:eastAsia="仿宋_GB2312" w:cs="仿宋_GB2312"/>
          <w:b/>
          <w:bCs/>
          <w:color w:val="000000"/>
          <w:sz w:val="32"/>
          <w:szCs w:val="32"/>
          <w:lang w:val="en-US" w:eastAsia="zh-CN"/>
        </w:rPr>
        <w:t>总体目标：</w:t>
      </w:r>
      <w:r>
        <w:rPr>
          <w:rFonts w:hint="eastAsia" w:ascii="仿宋_GB2312" w:hAnsi="Times New Roman" w:eastAsia="仿宋_GB2312" w:cs="Times New Roman"/>
          <w:color w:val="auto"/>
          <w:sz w:val="32"/>
          <w:szCs w:val="32"/>
        </w:rPr>
        <w:t>加快建设与新区社会经济发展水平及人民健康需求相适应的院前医疗服务体系。</w:t>
      </w:r>
    </w:p>
    <w:p w14:paraId="3314D76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四</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项目预算情况</w:t>
      </w:r>
    </w:p>
    <w:p w14:paraId="71A2851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default"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该项目年初预算200万元，全部为新区预算资金。</w:t>
      </w:r>
    </w:p>
    <w:p w14:paraId="6A4A02D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二、监控结论及分析</w:t>
      </w:r>
    </w:p>
    <w:p w14:paraId="7A10E1D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default"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eastAsia="zh-CN"/>
        </w:rPr>
        <w:t>（一）项目管理情况</w:t>
      </w:r>
    </w:p>
    <w:p w14:paraId="27D09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olor w:val="auto"/>
          <w:sz w:val="32"/>
          <w:lang w:val="zh-CN"/>
        </w:rPr>
      </w:pPr>
      <w:r>
        <w:rPr>
          <w:rFonts w:hint="eastAsia" w:ascii="仿宋_GB2312" w:hAnsi="仿宋_GB2312" w:eastAsia="仿宋_GB2312"/>
          <w:color w:val="auto"/>
          <w:sz w:val="32"/>
        </w:rPr>
        <w:t>本项目严格按照《财政预算项目资金管理办法》和相关政策规定执行，项目资金使用从申请、复核、审核、批复等各环节操作程序到位，手续齐全，符合《财政专项资金管理办法》和相关政策规定。</w:t>
      </w:r>
    </w:p>
    <w:p w14:paraId="320DA73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hint="eastAsia" w:ascii="楷体" w:hAnsi="楷体" w:eastAsia="楷体" w:cs="楷体"/>
          <w:i w:val="0"/>
          <w:caps w:val="0"/>
          <w:color w:val="333333"/>
          <w:spacing w:val="0"/>
          <w:sz w:val="32"/>
          <w:szCs w:val="32"/>
          <w:shd w:val="clear" w:color="auto" w:fill="FFFFFF"/>
          <w:lang w:eastAsia="zh-CN"/>
        </w:rPr>
        <w:t>（二）预算执行情况</w:t>
      </w:r>
    </w:p>
    <w:p w14:paraId="62FF6B2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rPr>
      </w:pPr>
      <w:r>
        <w:rPr>
          <w:rFonts w:hint="eastAsia" w:ascii="仿宋_GB2312" w:hAnsi="仿宋_GB2312" w:eastAsia="仿宋_GB2312"/>
          <w:color w:val="auto"/>
          <w:sz w:val="32"/>
        </w:rPr>
        <w:t>202</w:t>
      </w:r>
      <w:r>
        <w:rPr>
          <w:rFonts w:hint="eastAsia" w:ascii="仿宋_GB2312" w:hAnsi="仿宋_GB2312" w:eastAsia="仿宋_GB2312"/>
          <w:color w:val="auto"/>
          <w:sz w:val="32"/>
          <w:lang w:val="en-US" w:eastAsia="zh-CN"/>
        </w:rPr>
        <w:t>3</w:t>
      </w:r>
      <w:r>
        <w:rPr>
          <w:rFonts w:hint="eastAsia" w:ascii="仿宋_GB2312" w:hAnsi="仿宋_GB2312" w:eastAsia="仿宋_GB2312"/>
          <w:color w:val="auto"/>
          <w:sz w:val="32"/>
        </w:rPr>
        <w:t>年救运转项目全年预算数为</w:t>
      </w:r>
      <w:r>
        <w:rPr>
          <w:rFonts w:hint="eastAsia" w:ascii="仿宋_GB2312" w:hAnsi="仿宋_GB2312" w:eastAsia="仿宋_GB2312"/>
          <w:color w:val="auto"/>
          <w:sz w:val="32"/>
          <w:lang w:val="en-US" w:eastAsia="zh-CN"/>
        </w:rPr>
        <w:t>200</w:t>
      </w:r>
      <w:r>
        <w:rPr>
          <w:rFonts w:hint="eastAsia" w:ascii="仿宋_GB2312" w:hAnsi="仿宋_GB2312" w:eastAsia="仿宋_GB2312"/>
          <w:color w:val="auto"/>
          <w:sz w:val="32"/>
        </w:rPr>
        <w:t>万元</w:t>
      </w:r>
      <w:r>
        <w:rPr>
          <w:rFonts w:hint="eastAsia" w:ascii="仿宋_GB2312" w:hAnsi="仿宋_GB2312" w:eastAsia="仿宋_GB2312"/>
          <w:color w:val="auto"/>
          <w:sz w:val="32"/>
          <w:lang w:val="en-US" w:eastAsia="zh-CN"/>
        </w:rPr>
        <w:t>，</w:t>
      </w:r>
      <w:r>
        <w:rPr>
          <w:rFonts w:hint="eastAsia" w:ascii="仿宋_GB2312" w:hAnsi="仿宋_GB2312" w:eastAsia="仿宋_GB2312"/>
          <w:color w:val="auto"/>
          <w:sz w:val="32"/>
        </w:rPr>
        <w:t>实际批复资金</w:t>
      </w:r>
      <w:r>
        <w:rPr>
          <w:rFonts w:hint="eastAsia" w:ascii="仿宋_GB2312" w:hAnsi="仿宋_GB2312" w:eastAsia="仿宋_GB2312"/>
          <w:color w:val="auto"/>
          <w:sz w:val="32"/>
          <w:lang w:val="en-US" w:eastAsia="zh-CN"/>
        </w:rPr>
        <w:t>200</w:t>
      </w:r>
      <w:r>
        <w:rPr>
          <w:rFonts w:hint="eastAsia" w:ascii="仿宋_GB2312" w:hAnsi="仿宋_GB2312" w:eastAsia="仿宋_GB2312"/>
          <w:color w:val="auto"/>
          <w:sz w:val="32"/>
        </w:rPr>
        <w:t>万元。</w:t>
      </w:r>
      <w:r>
        <w:rPr>
          <w:rFonts w:hint="eastAsia" w:ascii="仿宋_GB2312" w:hAnsi="Times New Roman" w:eastAsia="仿宋_GB2312" w:cs="Times New Roman"/>
          <w:color w:val="auto"/>
          <w:sz w:val="32"/>
          <w:szCs w:val="32"/>
          <w:lang w:val="en-US" w:eastAsia="zh-CN"/>
        </w:rPr>
        <w:t>2023年拨付秦川化工园区急救运转经费72万，120急救呼叫系统转接平台落地新区项目经费20万，各医疗机构急救运转经费101.2万元，秦川化工园区急救分站运转经费50万元，为甘肃省紧急医学救援中心拨付培训费费用68000元。</w:t>
      </w:r>
    </w:p>
    <w:p w14:paraId="0E990DA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firstLine="640" w:firstLineChars="200"/>
        <w:jc w:val="both"/>
        <w:rPr>
          <w:rFonts w:hint="eastAsia" w:ascii="楷体" w:hAnsi="楷体" w:eastAsia="楷体" w:cs="楷体"/>
          <w:i w:val="0"/>
          <w:caps w:val="0"/>
          <w:color w:val="333333"/>
          <w:spacing w:val="0"/>
          <w:sz w:val="32"/>
          <w:szCs w:val="32"/>
          <w:shd w:val="clear" w:color="auto" w:fill="FFFFFF"/>
          <w:lang w:eastAsia="zh-CN"/>
        </w:rPr>
      </w:pPr>
      <w:r>
        <w:rPr>
          <w:rFonts w:hint="eastAsia" w:ascii="楷体" w:hAnsi="楷体" w:eastAsia="楷体" w:cs="楷体"/>
          <w:i w:val="0"/>
          <w:caps w:val="0"/>
          <w:color w:val="333333"/>
          <w:spacing w:val="0"/>
          <w:sz w:val="32"/>
          <w:szCs w:val="32"/>
          <w:shd w:val="clear" w:color="auto" w:fill="FFFFFF"/>
          <w:lang w:eastAsia="zh-CN"/>
        </w:rPr>
        <w:t>（三）绩效目标完成情况</w:t>
      </w:r>
    </w:p>
    <w:p w14:paraId="4FD2B0F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1.产出指标完成情况</w:t>
      </w:r>
    </w:p>
    <w:p w14:paraId="0F7E8CF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仿宋_GB2312" w:hAnsi="仿宋_GB2312" w:eastAsia="仿宋_GB2312" w:cs="仿宋_GB2312"/>
          <w:color w:val="000000"/>
          <w:sz w:val="32"/>
          <w:szCs w:val="32"/>
          <w:lang w:val="en-US" w:eastAsia="zh-CN"/>
        </w:rPr>
      </w:pPr>
      <w:r>
        <w:rPr>
          <w:rFonts w:hint="eastAsia" w:ascii="楷体" w:hAnsi="楷体" w:eastAsia="楷体" w:cs="楷体"/>
          <w:i w:val="0"/>
          <w:caps w:val="0"/>
          <w:color w:val="333333"/>
          <w:spacing w:val="0"/>
          <w:sz w:val="32"/>
          <w:szCs w:val="32"/>
          <w:shd w:val="clear" w:color="auto" w:fill="FFFFFF"/>
          <w:lang w:val="en-US" w:eastAsia="zh-CN"/>
        </w:rPr>
        <w:t>（1）数量指标</w:t>
      </w:r>
    </w:p>
    <w:p w14:paraId="0B74033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仿宋_GB2312" w:hAnsi="仿宋_GB2312" w:eastAsia="仿宋_GB2312" w:cs="仿宋_GB2312"/>
          <w:color w:val="000000"/>
          <w:sz w:val="32"/>
          <w:szCs w:val="32"/>
          <w:lang w:val="en-US" w:eastAsia="zh-CN"/>
        </w:rPr>
        <w:t>2023年，新区第一人民医院和各基层医疗机构承担各类医疗保障和疫情防控任务共13188次，行车近20万公里。</w:t>
      </w:r>
    </w:p>
    <w:p w14:paraId="581F80F8">
      <w:pPr>
        <w:pStyle w:val="13"/>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质量指标</w:t>
      </w:r>
    </w:p>
    <w:p w14:paraId="15E507F6">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时间就是生命对于院前急救行业来说显得格外的突出，本着更好地落实《兰州新区医疗卫生保障应急预案》（</w:t>
      </w:r>
      <w:r>
        <w:rPr>
          <w:rFonts w:hint="eastAsia" w:ascii="仿宋_GB2312" w:hAnsi="宋体" w:eastAsia="仿宋_GB2312" w:cs="仿宋_GB2312"/>
          <w:bCs/>
          <w:color w:val="auto"/>
          <w:kern w:val="2"/>
          <w:sz w:val="32"/>
          <w:szCs w:val="32"/>
          <w:shd w:val="clear" w:color="auto" w:fill="FFFFFF"/>
          <w:lang w:val="en-US" w:eastAsia="zh-CN" w:bidi="ar"/>
        </w:rPr>
        <w:t>新卫发〔2022〕94号</w:t>
      </w:r>
      <w:r>
        <w:rPr>
          <w:rFonts w:hint="eastAsia" w:ascii="仿宋_GB2312" w:hAnsi="仿宋_GB2312" w:eastAsia="仿宋_GB2312" w:cs="仿宋_GB2312"/>
          <w:color w:val="000000"/>
          <w:sz w:val="32"/>
          <w:szCs w:val="32"/>
          <w:lang w:val="en-US" w:eastAsia="zh-CN"/>
        </w:rPr>
        <w:t>）中“快而快”的指导思想，新区卫生健康委员会督促各医疗机构</w:t>
      </w:r>
      <w:r>
        <w:rPr>
          <w:rFonts w:hint="eastAsia" w:ascii="仿宋_GB2312" w:hAnsi="Calibri" w:eastAsia="仿宋_GB2312" w:cs="仿宋_GB2312"/>
          <w:color w:val="auto"/>
          <w:kern w:val="2"/>
          <w:sz w:val="32"/>
          <w:szCs w:val="32"/>
          <w:lang w:val="en-US" w:eastAsia="zh-CN" w:bidi="ar"/>
        </w:rPr>
        <w:t>提高应对各类突发事件的应急反应能力和医疗卫生救援水平，最大限度的减少人员伤亡和健康危害</w:t>
      </w:r>
      <w:r>
        <w:rPr>
          <w:rFonts w:hint="eastAsia" w:ascii="仿宋_GB2312" w:hAnsi="仿宋_GB2312" w:eastAsia="仿宋_GB2312" w:cs="仿宋_GB2312"/>
          <w:color w:val="000000"/>
          <w:sz w:val="32"/>
          <w:szCs w:val="32"/>
          <w:lang w:val="en-US" w:eastAsia="zh-CN"/>
        </w:rPr>
        <w:t>。急救电话10 秒接听率达到100%，接报到达时间控制在10 分钟内。</w:t>
      </w:r>
    </w:p>
    <w:p w14:paraId="610EFFA6">
      <w:pPr>
        <w:pStyle w:val="13"/>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时效指标</w:t>
      </w:r>
    </w:p>
    <w:p w14:paraId="436BB96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为了更早地为新区群众提供优质的院前急救服务，新区卫生健康委员会印发《</w:t>
      </w:r>
      <w:r>
        <w:rPr>
          <w:rFonts w:hint="eastAsia" w:ascii="仿宋_GB2312" w:hAnsi="仿宋_GB2312" w:eastAsia="仿宋_GB2312" w:cs="仿宋_GB2312"/>
          <w:color w:val="000000"/>
          <w:sz w:val="32"/>
          <w:szCs w:val="32"/>
          <w:lang w:val="en-US" w:eastAsia="zh-CN"/>
        </w:rPr>
        <w:t>兰州新区医疗卫生保障应急预案</w:t>
      </w:r>
      <w:r>
        <w:rPr>
          <w:rFonts w:hint="eastAsia" w:ascii="仿宋_GB2312" w:hAnsi="仿宋_GB2312" w:eastAsia="仿宋_GB2312" w:cs="仿宋_GB2312"/>
          <w:kern w:val="2"/>
          <w:sz w:val="32"/>
          <w:szCs w:val="32"/>
          <w:lang w:val="en-US" w:eastAsia="zh-CN" w:bidi="ar-SA"/>
        </w:rPr>
        <w:t>》，督促各医疗机构急救中心提效率、抓考核，以极高的效率完成各项部署。截至2023年底，值班车组保有量、急救电话10秒接听率和接报到达时间等重要指标对比规划进度安排，均提前达到目标要求。</w:t>
      </w:r>
    </w:p>
    <w:p w14:paraId="60B8877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2.效益指标完成情况分析</w:t>
      </w:r>
    </w:p>
    <w:p w14:paraId="0C9692EB">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rightChars="0" w:firstLine="640" w:firstLineChars="200"/>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（1）社会效益</w:t>
      </w:r>
    </w:p>
    <w:p w14:paraId="06E98B32">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rightChars="0" w:firstLine="640" w:firstLineChars="200"/>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仿宋_GB2312" w:hAnsi="Calibri" w:eastAsia="仿宋_GB2312" w:cs="Times New Roman"/>
          <w:color w:val="auto"/>
          <w:kern w:val="2"/>
          <w:sz w:val="32"/>
          <w:szCs w:val="32"/>
          <w:lang w:val="en-US" w:eastAsia="zh-CN" w:bidi="ar-SA"/>
        </w:rPr>
        <w:t>新区院前急救体系建设工作的成果主要体现在社会效益上，在百姓最需要院前急救服务的情况下，能以最短的时间提供所需的救助。</w:t>
      </w:r>
      <w:r>
        <w:rPr>
          <w:rFonts w:hint="eastAsia" w:ascii="仿宋_GB2312" w:eastAsia="仿宋_GB2312" w:cs="Times New Roman"/>
          <w:color w:val="auto"/>
          <w:kern w:val="2"/>
          <w:sz w:val="32"/>
          <w:szCs w:val="32"/>
          <w:lang w:val="en-US" w:eastAsia="zh-CN" w:bidi="ar-SA"/>
        </w:rPr>
        <w:t>新区</w:t>
      </w:r>
      <w:r>
        <w:rPr>
          <w:rFonts w:hint="eastAsia" w:ascii="仿宋_GB2312" w:hAnsi="Calibri" w:eastAsia="仿宋_GB2312" w:cs="Times New Roman"/>
          <w:color w:val="auto"/>
          <w:kern w:val="2"/>
          <w:sz w:val="32"/>
          <w:szCs w:val="32"/>
          <w:lang w:val="en-US" w:eastAsia="zh-CN" w:bidi="ar-SA"/>
        </w:rPr>
        <w:t>急救中心急救站点配置和救护车配置已经达到规定要求，通过不断缩短急救服务的接报到达时间、提高急救服务质量、降低脑卒中和胸痛致死致残率，能够满足院前急救服务社会需求。特别是在面对各种大型活动保障任务、突发公共卫生事件等情况下，一方面保障了任务的圆满完成，另一方面保障了新区百姓的日常需求。</w:t>
      </w:r>
    </w:p>
    <w:p w14:paraId="0E5FEA32">
      <w:pPr>
        <w:pStyle w:val="13"/>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leftChars="0" w:right="0" w:firstLine="736" w:firstLineChars="0"/>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可持续影响</w:t>
      </w:r>
    </w:p>
    <w:p w14:paraId="6DB1EE7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eastAsia="仿宋_GB2312" w:cs="Times New Roman"/>
          <w:color w:val="auto"/>
          <w:sz w:val="32"/>
          <w:szCs w:val="32"/>
          <w:lang w:eastAsia="zh-CN"/>
        </w:rPr>
        <w:t>通过向各医疗机构下拨急救运转经费，</w:t>
      </w:r>
      <w:r>
        <w:rPr>
          <w:rFonts w:hint="eastAsia" w:ascii="仿宋_GB2312" w:eastAsia="仿宋_GB2312" w:cs="Times New Roman"/>
          <w:color w:val="auto"/>
          <w:sz w:val="32"/>
          <w:szCs w:val="32"/>
        </w:rPr>
        <w:t>进一步</w:t>
      </w:r>
      <w:r>
        <w:rPr>
          <w:rFonts w:hint="eastAsia" w:ascii="仿宋_GB2312" w:eastAsia="仿宋_GB2312"/>
          <w:color w:val="auto"/>
          <w:sz w:val="32"/>
          <w:szCs w:val="32"/>
        </w:rPr>
        <w:t>提高院前医疗急救服务能力，更好地满足人民群众对院前医疗急救的需求，推进新区院前医疗急救网络建设、加强新区院前急救专业队伍建设、提升院前医疗急救服务能力、加快建设与新区社会经济发展水平及人民健康需求相适应的院前医疗服务体系完善急救体系、为新区各种重大活动提供急救保障。</w:t>
      </w:r>
    </w:p>
    <w:p w14:paraId="7A476CF4">
      <w:pPr>
        <w:pStyle w:val="13"/>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满意度指标完成情况分析</w:t>
      </w:r>
    </w:p>
    <w:p w14:paraId="0B4FCEA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val="en-US" w:eastAsia="zh-CN"/>
        </w:rPr>
      </w:pPr>
      <w:r>
        <w:rPr>
          <w:rFonts w:hint="eastAsia" w:ascii="仿宋_GB2312" w:hAnsi="仿宋_GB2312" w:eastAsia="仿宋_GB2312"/>
          <w:color w:val="auto"/>
          <w:sz w:val="32"/>
          <w:lang w:eastAsia="zh-CN"/>
        </w:rPr>
        <w:t>兰州新区卫生健康委员会</w:t>
      </w:r>
      <w:r>
        <w:rPr>
          <w:rFonts w:hint="eastAsia" w:ascii="仿宋_GB2312" w:hAnsi="仿宋_GB2312" w:eastAsia="仿宋_GB2312"/>
          <w:color w:val="auto"/>
          <w:sz w:val="32"/>
        </w:rPr>
        <w:t>紧密围绕深化医药卫生体制改革，全力推动院前医疗急救体系建设，不断提升院前医疗急救服务水平和质量。同时，着力开展“缺陷管理”，集中力量抓重点、补弱项，为切实增强人民群众对院前医疗急救服务的获得感而不断奋斗。</w:t>
      </w:r>
      <w:r>
        <w:rPr>
          <w:rFonts w:hint="eastAsia" w:ascii="仿宋_GB2312" w:hAnsi="仿宋_GB2312" w:eastAsia="仿宋_GB2312"/>
          <w:color w:val="auto"/>
          <w:sz w:val="32"/>
          <w:lang w:eastAsia="zh-CN"/>
        </w:rPr>
        <w:t>新区</w:t>
      </w:r>
      <w:r>
        <w:rPr>
          <w:rFonts w:hint="eastAsia" w:ascii="仿宋_GB2312" w:hAnsi="仿宋_GB2312" w:eastAsia="仿宋_GB2312"/>
          <w:color w:val="auto"/>
          <w:sz w:val="32"/>
        </w:rPr>
        <w:t>急救中心通过不断提高急救电话接听率、减少接报到达时间，老百姓对院前急救服务比较满意。</w:t>
      </w:r>
    </w:p>
    <w:p w14:paraId="5DF5917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5B2830B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下一步新区卫生健康委员会将制定更高的绩效目标，不断提高资金支出效率，特别是在提高服务水平、可持续保持发展势头上下功夫，全力推进院前医疗急救体系建设再升级，为新区群众提供更高水平的院前医疗急救服务。</w:t>
      </w:r>
    </w:p>
    <w:p w14:paraId="64C9ADD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28B1D34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185EE2A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3FC0723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2513E22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4056710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无。</w:t>
      </w:r>
    </w:p>
    <w:p w14:paraId="2FCFB8C8">
      <w:pPr>
        <w:ind w:firstLine="643"/>
        <w:outlineLvl w:val="2"/>
        <w:rPr>
          <w:rFonts w:hint="default" w:ascii="楷体" w:hAnsi="楷体" w:eastAsia="楷体" w:cs="楷体"/>
          <w:b/>
          <w:bCs/>
          <w:szCs w:val="32"/>
          <w:lang w:val="en-US" w:eastAsia="zh-CN"/>
        </w:rPr>
      </w:pPr>
      <w:r>
        <w:rPr>
          <w:rFonts w:hint="eastAsia" w:ascii="楷体" w:hAnsi="楷体" w:eastAsia="楷体" w:cs="楷体"/>
          <w:b/>
          <w:bCs/>
          <w:szCs w:val="32"/>
        </w:rPr>
        <w:t>（二）</w:t>
      </w:r>
      <w:r>
        <w:rPr>
          <w:rFonts w:hint="eastAsia" w:ascii="楷体_GB2312" w:hAnsi="楷体_GB2312" w:eastAsia="楷体_GB2312" w:cs="楷体_GB2312"/>
          <w:b/>
          <w:bCs/>
          <w:color w:val="000000" w:themeColor="text1"/>
          <w:szCs w:val="32"/>
          <w:lang w:eastAsia="zh-CN"/>
        </w:rPr>
        <w:t>干部体检项目经费</w:t>
      </w:r>
    </w:p>
    <w:p w14:paraId="4868171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ascii="Helvetica" w:hAnsi="Helvetica" w:eastAsia="Helvetica" w:cs="Helvetica"/>
          <w:i w:val="0"/>
          <w:caps w:val="0"/>
          <w:color w:val="333333"/>
          <w:spacing w:val="0"/>
          <w:sz w:val="32"/>
          <w:szCs w:val="32"/>
        </w:rPr>
      </w:pPr>
      <w:r>
        <w:rPr>
          <w:rFonts w:ascii="黑体" w:hAnsi="宋体" w:eastAsia="黑体" w:cs="黑体"/>
          <w:i w:val="0"/>
          <w:caps w:val="0"/>
          <w:color w:val="333333"/>
          <w:spacing w:val="0"/>
          <w:sz w:val="32"/>
          <w:szCs w:val="32"/>
          <w:shd w:val="clear" w:color="auto" w:fill="FFFFFF"/>
        </w:rPr>
        <w:t>一、项目基本情况</w:t>
      </w:r>
    </w:p>
    <w:p w14:paraId="59C856C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ascii="楷体" w:hAnsi="楷体" w:eastAsia="楷体" w:cs="楷体"/>
          <w:i w:val="0"/>
          <w:caps w:val="0"/>
          <w:color w:val="333333"/>
          <w:spacing w:val="0"/>
          <w:sz w:val="32"/>
          <w:szCs w:val="32"/>
          <w:shd w:val="clear" w:color="auto" w:fill="FFFFFF"/>
        </w:rPr>
      </w:pPr>
      <w:r>
        <w:rPr>
          <w:rFonts w:ascii="楷体" w:hAnsi="楷体" w:eastAsia="楷体" w:cs="楷体"/>
          <w:i w:val="0"/>
          <w:caps w:val="0"/>
          <w:color w:val="333333"/>
          <w:spacing w:val="0"/>
          <w:sz w:val="32"/>
          <w:szCs w:val="32"/>
          <w:shd w:val="clear" w:color="auto" w:fill="FFFFFF"/>
        </w:rPr>
        <w:t>（一）</w:t>
      </w:r>
      <w:r>
        <w:rPr>
          <w:rFonts w:hint="eastAsia" w:ascii="楷体" w:hAnsi="楷体" w:eastAsia="楷体" w:cs="楷体"/>
          <w:i w:val="0"/>
          <w:caps w:val="0"/>
          <w:color w:val="333333"/>
          <w:spacing w:val="0"/>
          <w:sz w:val="32"/>
          <w:szCs w:val="32"/>
          <w:shd w:val="clear" w:color="auto" w:fill="FFFFFF"/>
          <w:lang w:eastAsia="zh-CN"/>
        </w:rPr>
        <w:t>项目</w:t>
      </w:r>
      <w:r>
        <w:rPr>
          <w:rFonts w:ascii="楷体" w:hAnsi="楷体" w:eastAsia="楷体" w:cs="楷体"/>
          <w:i w:val="0"/>
          <w:caps w:val="0"/>
          <w:color w:val="333333"/>
          <w:spacing w:val="0"/>
          <w:sz w:val="32"/>
          <w:szCs w:val="32"/>
          <w:shd w:val="clear" w:color="auto" w:fill="FFFFFF"/>
        </w:rPr>
        <w:t>背景</w:t>
      </w:r>
    </w:p>
    <w:p w14:paraId="50D6459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仿宋_GB2312" w:eastAsia="仿宋_GB2312" w:cs="Times New Roman"/>
          <w:b w:val="0"/>
          <w:bCs w:val="0"/>
          <w:sz w:val="32"/>
          <w:szCs w:val="32"/>
          <w:lang w:eastAsia="zh-CN"/>
        </w:rPr>
      </w:pPr>
      <w:r>
        <w:rPr>
          <w:rFonts w:hint="eastAsia" w:ascii="仿宋_GB2312" w:eastAsia="仿宋_GB2312" w:cs="Times New Roman"/>
          <w:b w:val="0"/>
          <w:bCs w:val="0"/>
          <w:sz w:val="32"/>
          <w:szCs w:val="32"/>
          <w:lang w:eastAsia="zh-CN"/>
        </w:rPr>
        <w:t>为加强疾病前期预防，控制危险因素，避免重大疾病的发生。对新区各园区、各部门、各单位、教育卫生系统事业单位、省市驻区单位的新区财政供养人员（含退休人员），经组织选派挂职和借调人员；各国有集团公司干部职工每年进行一次体检。</w:t>
      </w:r>
    </w:p>
    <w:p w14:paraId="0843566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二</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项目内容</w:t>
      </w:r>
    </w:p>
    <w:p w14:paraId="75847B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sz w:val="32"/>
          <w:szCs w:val="32"/>
          <w:lang w:val="en-US" w:eastAsia="zh-CN"/>
        </w:rPr>
        <w:t xml:space="preserve"> 每位干部每年安排一次综合体检，项目内容分</w:t>
      </w:r>
      <w:r>
        <w:rPr>
          <w:rFonts w:hint="eastAsia" w:ascii="仿宋_GB2312" w:hAnsi="仿宋_GB2312" w:eastAsia="仿宋_GB2312" w:cs="仿宋_GB2312"/>
          <w:b w:val="0"/>
          <w:bCs w:val="0"/>
          <w:sz w:val="32"/>
          <w:szCs w:val="32"/>
        </w:rPr>
        <w:t>必查项和选查项</w:t>
      </w:r>
      <w:r>
        <w:rPr>
          <w:rFonts w:hint="eastAsia" w:ascii="仿宋_GB2312" w:hAnsi="仿宋_GB2312" w:eastAsia="仿宋_GB2312" w:cs="仿宋_GB2312"/>
          <w:b w:val="0"/>
          <w:bCs w:val="0"/>
          <w:color w:val="000000"/>
          <w:sz w:val="32"/>
          <w:szCs w:val="32"/>
        </w:rPr>
        <w:t>目</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必查项目</w:t>
      </w:r>
      <w:r>
        <w:rPr>
          <w:rFonts w:hint="eastAsia" w:ascii="仿宋_GB2312" w:hAnsi="仿宋_GB2312" w:eastAsia="仿宋_GB2312" w:cs="仿宋_GB2312"/>
          <w:b w:val="0"/>
          <w:bCs w:val="0"/>
          <w:color w:val="000000"/>
          <w:sz w:val="32"/>
          <w:szCs w:val="32"/>
          <w:lang w:eastAsia="zh-CN"/>
        </w:rPr>
        <w:t>主要是连续、动态地</w:t>
      </w:r>
      <w:r>
        <w:rPr>
          <w:rFonts w:hint="eastAsia" w:ascii="仿宋_GB2312" w:hAnsi="仿宋_GB2312" w:eastAsia="仿宋_GB2312" w:cs="仿宋_GB2312"/>
          <w:b w:val="0"/>
          <w:bCs w:val="0"/>
          <w:color w:val="000000"/>
          <w:sz w:val="32"/>
          <w:szCs w:val="32"/>
        </w:rPr>
        <w:t>反映体检干部的</w:t>
      </w:r>
      <w:r>
        <w:rPr>
          <w:rFonts w:hint="eastAsia" w:ascii="仿宋_GB2312" w:hAnsi="仿宋_GB2312" w:eastAsia="仿宋_GB2312" w:cs="仿宋_GB2312"/>
          <w:b w:val="0"/>
          <w:bCs w:val="0"/>
          <w:color w:val="000000"/>
          <w:sz w:val="32"/>
          <w:szCs w:val="32"/>
          <w:lang w:eastAsia="zh-CN"/>
        </w:rPr>
        <w:t>基</w:t>
      </w:r>
      <w:r>
        <w:rPr>
          <w:rFonts w:hint="eastAsia" w:ascii="仿宋_GB2312" w:hAnsi="仿宋_GB2312" w:eastAsia="仿宋_GB2312" w:cs="仿宋_GB2312"/>
          <w:b w:val="0"/>
          <w:bCs w:val="0"/>
          <w:color w:val="000000"/>
          <w:sz w:val="32"/>
          <w:szCs w:val="32"/>
        </w:rPr>
        <w:t>本</w:t>
      </w:r>
      <w:r>
        <w:rPr>
          <w:rFonts w:hint="eastAsia" w:ascii="仿宋_GB2312" w:hAnsi="仿宋_GB2312" w:eastAsia="仿宋_GB2312" w:cs="仿宋_GB2312"/>
          <w:b w:val="0"/>
          <w:bCs w:val="0"/>
          <w:color w:val="000000"/>
          <w:sz w:val="32"/>
          <w:szCs w:val="32"/>
          <w:lang w:eastAsia="zh-CN"/>
        </w:rPr>
        <w:t>健</w:t>
      </w:r>
      <w:r>
        <w:rPr>
          <w:rFonts w:hint="eastAsia" w:ascii="仿宋_GB2312" w:hAnsi="仿宋_GB2312" w:eastAsia="仿宋_GB2312" w:cs="仿宋_GB2312"/>
          <w:b w:val="0"/>
          <w:bCs w:val="0"/>
          <w:color w:val="000000"/>
          <w:sz w:val="32"/>
          <w:szCs w:val="32"/>
        </w:rPr>
        <w:t>康状况，选查项目主要由体检干部根据医生建议和个人健康状况及需求自主选择。</w:t>
      </w:r>
      <w:r>
        <w:rPr>
          <w:rFonts w:hint="eastAsia" w:ascii="仿宋_GB2312" w:hAnsi="仿宋_GB2312" w:eastAsia="仿宋_GB2312" w:cs="仿宋_GB2312"/>
          <w:b w:val="0"/>
          <w:bCs w:val="0"/>
          <w:color w:val="000000"/>
          <w:sz w:val="32"/>
          <w:szCs w:val="32"/>
          <w:lang w:eastAsia="zh-CN"/>
        </w:rPr>
        <w:t>项目</w:t>
      </w:r>
      <w:r>
        <w:rPr>
          <w:rFonts w:hint="eastAsia" w:ascii="仿宋_GB2312" w:hAnsi="仿宋_GB2312" w:eastAsia="仿宋_GB2312" w:cs="仿宋_GB2312"/>
          <w:b w:val="0"/>
          <w:bCs w:val="0"/>
          <w:color w:val="000000"/>
          <w:sz w:val="32"/>
          <w:szCs w:val="32"/>
        </w:rPr>
        <w:t>标准为</w:t>
      </w:r>
      <w:r>
        <w:rPr>
          <w:rFonts w:hint="eastAsia" w:ascii="仿宋_GB2312" w:hAnsi="仿宋_GB2312" w:eastAsia="仿宋_GB2312"/>
          <w:color w:val="auto"/>
          <w:sz w:val="32"/>
        </w:rPr>
        <w:t>厅级</w:t>
      </w:r>
      <w:r>
        <w:rPr>
          <w:rFonts w:hint="eastAsia" w:ascii="仿宋_GB2312" w:hAnsi="仿宋_GB2312" w:eastAsia="仿宋_GB2312"/>
          <w:color w:val="auto"/>
          <w:sz w:val="32"/>
          <w:lang w:eastAsia="zh-CN"/>
        </w:rPr>
        <w:t>干部</w:t>
      </w:r>
      <w:r>
        <w:rPr>
          <w:rFonts w:hint="eastAsia" w:ascii="仿宋_GB2312" w:hAnsi="仿宋_GB2312" w:eastAsia="仿宋_GB2312"/>
          <w:color w:val="auto"/>
          <w:sz w:val="32"/>
        </w:rPr>
        <w:t>及正高</w:t>
      </w:r>
      <w:r>
        <w:rPr>
          <w:rFonts w:hint="eastAsia" w:ascii="仿宋_GB2312" w:hAnsi="仿宋_GB2312" w:eastAsia="仿宋_GB2312"/>
          <w:color w:val="auto"/>
          <w:sz w:val="32"/>
          <w:lang w:eastAsia="zh-CN"/>
        </w:rPr>
        <w:t>级</w:t>
      </w:r>
      <w:r>
        <w:rPr>
          <w:rFonts w:hint="eastAsia" w:ascii="仿宋_GB2312" w:hAnsi="仿宋_GB2312" w:eastAsia="仿宋_GB2312"/>
          <w:color w:val="auto"/>
          <w:sz w:val="32"/>
        </w:rPr>
        <w:t>职称</w:t>
      </w:r>
      <w:r>
        <w:rPr>
          <w:rFonts w:hint="eastAsia" w:ascii="仿宋_GB2312" w:hAnsi="仿宋_GB2312" w:eastAsia="仿宋_GB2312"/>
          <w:color w:val="auto"/>
          <w:sz w:val="32"/>
          <w:lang w:eastAsia="zh-CN"/>
        </w:rPr>
        <w:t>专业技术人员</w:t>
      </w: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00元/人</w:t>
      </w:r>
      <w:r>
        <w:rPr>
          <w:rFonts w:hint="eastAsia" w:ascii="仿宋_GB2312" w:hAnsi="仿宋_GB2312" w:eastAsia="仿宋_GB2312" w:cs="仿宋_GB2312"/>
          <w:b w:val="0"/>
          <w:bCs w:val="0"/>
          <w:color w:val="000000"/>
          <w:sz w:val="32"/>
          <w:szCs w:val="32"/>
          <w:lang w:eastAsia="zh-CN"/>
        </w:rPr>
        <w:t>，县级干部及</w:t>
      </w:r>
      <w:r>
        <w:rPr>
          <w:rFonts w:hint="eastAsia" w:ascii="仿宋_GB2312" w:hAnsi="仿宋_GB2312" w:eastAsia="仿宋_GB2312"/>
          <w:color w:val="auto"/>
          <w:sz w:val="32"/>
          <w:lang w:eastAsia="zh-CN"/>
        </w:rPr>
        <w:t>副</w:t>
      </w:r>
      <w:r>
        <w:rPr>
          <w:rFonts w:hint="eastAsia" w:ascii="仿宋_GB2312" w:hAnsi="仿宋_GB2312" w:eastAsia="仿宋_GB2312"/>
          <w:color w:val="auto"/>
          <w:sz w:val="32"/>
        </w:rPr>
        <w:t>高</w:t>
      </w:r>
      <w:r>
        <w:rPr>
          <w:rFonts w:hint="eastAsia" w:ascii="仿宋_GB2312" w:hAnsi="仿宋_GB2312" w:eastAsia="仿宋_GB2312"/>
          <w:color w:val="auto"/>
          <w:sz w:val="32"/>
          <w:lang w:eastAsia="zh-CN"/>
        </w:rPr>
        <w:t>级</w:t>
      </w:r>
      <w:r>
        <w:rPr>
          <w:rFonts w:hint="eastAsia" w:ascii="仿宋_GB2312" w:hAnsi="仿宋_GB2312" w:eastAsia="仿宋_GB2312"/>
          <w:color w:val="auto"/>
          <w:sz w:val="32"/>
        </w:rPr>
        <w:t>职称</w:t>
      </w:r>
      <w:r>
        <w:rPr>
          <w:rFonts w:hint="eastAsia" w:ascii="仿宋_GB2312" w:hAnsi="仿宋_GB2312" w:eastAsia="仿宋_GB2312"/>
          <w:color w:val="auto"/>
          <w:sz w:val="32"/>
          <w:lang w:eastAsia="zh-CN"/>
        </w:rPr>
        <w:t>专业技术人员</w:t>
      </w:r>
      <w:r>
        <w:rPr>
          <w:rFonts w:hint="eastAsia" w:ascii="仿宋_GB2312" w:hAnsi="仿宋_GB2312" w:eastAsia="仿宋_GB2312" w:cs="仿宋_GB2312"/>
          <w:b w:val="0"/>
          <w:bCs w:val="0"/>
          <w:color w:val="000000"/>
          <w:sz w:val="32"/>
          <w:szCs w:val="32"/>
        </w:rPr>
        <w:t>1100元/人</w:t>
      </w:r>
      <w:r>
        <w:rPr>
          <w:rFonts w:hint="eastAsia" w:ascii="仿宋_GB2312" w:hAnsi="仿宋_GB2312" w:eastAsia="仿宋_GB2312" w:cs="仿宋_GB2312"/>
          <w:b w:val="0"/>
          <w:bCs w:val="0"/>
          <w:color w:val="000000"/>
          <w:sz w:val="32"/>
          <w:szCs w:val="32"/>
          <w:lang w:eastAsia="zh-CN"/>
        </w:rPr>
        <w:t>，科级及科级以下干部、中级及中级以下职称专业技术人员和工勤人员</w:t>
      </w:r>
      <w:r>
        <w:rPr>
          <w:rFonts w:hint="eastAsia" w:ascii="仿宋_GB2312" w:hAnsi="仿宋_GB2312" w:eastAsia="仿宋_GB2312" w:cs="仿宋_GB2312"/>
          <w:b w:val="0"/>
          <w:bCs w:val="0"/>
          <w:color w:val="000000"/>
          <w:sz w:val="32"/>
          <w:szCs w:val="32"/>
          <w:lang w:val="en-US" w:eastAsia="zh-CN"/>
        </w:rPr>
        <w:t>900</w:t>
      </w:r>
      <w:r>
        <w:rPr>
          <w:rFonts w:hint="eastAsia" w:ascii="仿宋_GB2312" w:hAnsi="仿宋_GB2312" w:eastAsia="仿宋_GB2312" w:cs="仿宋_GB2312"/>
          <w:b w:val="0"/>
          <w:bCs w:val="0"/>
          <w:color w:val="000000"/>
          <w:sz w:val="32"/>
          <w:szCs w:val="32"/>
        </w:rPr>
        <w:t>元/人</w:t>
      </w:r>
      <w:r>
        <w:rPr>
          <w:rFonts w:hint="eastAsia" w:ascii="仿宋_GB2312" w:hAnsi="仿宋_GB2312" w:eastAsia="仿宋_GB2312" w:cs="仿宋_GB2312"/>
          <w:b w:val="0"/>
          <w:bCs w:val="0"/>
          <w:color w:val="000000"/>
          <w:sz w:val="32"/>
          <w:szCs w:val="32"/>
          <w:lang w:eastAsia="zh-CN"/>
        </w:rPr>
        <w:t>。</w:t>
      </w:r>
    </w:p>
    <w:p w14:paraId="3E95583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三</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绩效目标</w:t>
      </w:r>
    </w:p>
    <w:p w14:paraId="0E1E16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lang w:val="en-US" w:eastAsia="zh-CN"/>
        </w:rPr>
        <w:t>总体目标：</w:t>
      </w:r>
      <w:r>
        <w:rPr>
          <w:rFonts w:hint="eastAsia" w:ascii="仿宋_GB2312" w:hAnsi="仿宋_GB2312" w:eastAsia="仿宋_GB2312" w:cs="仿宋_GB2312"/>
          <w:b w:val="0"/>
          <w:bCs w:val="0"/>
          <w:color w:val="000000"/>
          <w:sz w:val="32"/>
          <w:szCs w:val="32"/>
          <w:lang w:val="en-US" w:eastAsia="zh-CN"/>
        </w:rPr>
        <w:t>为新区</w:t>
      </w:r>
      <w:r>
        <w:rPr>
          <w:rFonts w:hint="eastAsia" w:ascii="仿宋_GB2312" w:eastAsia="仿宋_GB2312" w:cs="Times New Roman"/>
          <w:b w:val="0"/>
          <w:bCs w:val="0"/>
          <w:sz w:val="32"/>
          <w:szCs w:val="32"/>
          <w:lang w:eastAsia="zh-CN"/>
        </w:rPr>
        <w:t>各</w:t>
      </w:r>
      <w:r>
        <w:rPr>
          <w:rFonts w:hint="eastAsia" w:ascii="仿宋_GB2312" w:eastAsia="仿宋_GB2312"/>
          <w:b w:val="0"/>
          <w:bCs w:val="0"/>
          <w:sz w:val="32"/>
          <w:szCs w:val="32"/>
        </w:rPr>
        <w:t>园区</w:t>
      </w:r>
      <w:r>
        <w:rPr>
          <w:rFonts w:hint="eastAsia" w:ascii="仿宋_GB2312" w:eastAsia="仿宋_GB2312"/>
          <w:b w:val="0"/>
          <w:bCs w:val="0"/>
          <w:sz w:val="32"/>
          <w:szCs w:val="32"/>
          <w:lang w:eastAsia="zh-CN"/>
        </w:rPr>
        <w:t>、各部门、各单位、教育卫生系统事业单位、省市驻区单位的新区财政供养人员（含退休人员）、经组织选派挂职和借调</w:t>
      </w:r>
      <w:r>
        <w:rPr>
          <w:rFonts w:hint="eastAsia" w:ascii="仿宋_GB2312" w:eastAsia="仿宋_GB2312" w:cs="Times New Roman"/>
          <w:b w:val="0"/>
          <w:bCs w:val="0"/>
          <w:sz w:val="32"/>
          <w:szCs w:val="32"/>
          <w:lang w:eastAsia="zh-CN"/>
        </w:rPr>
        <w:t>人员</w:t>
      </w:r>
      <w:r>
        <w:rPr>
          <w:rFonts w:hint="eastAsia" w:ascii="仿宋_GB2312" w:hAnsi="仿宋_GB2312" w:eastAsia="仿宋_GB2312" w:cs="仿宋_GB2312"/>
          <w:b w:val="0"/>
          <w:bCs w:val="0"/>
          <w:color w:val="000000"/>
          <w:sz w:val="32"/>
          <w:szCs w:val="32"/>
          <w:lang w:val="en-US" w:eastAsia="zh-CN"/>
        </w:rPr>
        <w:t>等群体提供健康体检，全面了解干部职工的身体健康状况，提供人文关怀，建立领导干部健康档案。</w:t>
      </w:r>
    </w:p>
    <w:p w14:paraId="446A1AA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四</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项目预算情况</w:t>
      </w:r>
    </w:p>
    <w:p w14:paraId="3383DD7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default"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该项目年初预算500万元，全部为新区预算资金。</w:t>
      </w:r>
    </w:p>
    <w:p w14:paraId="4E82542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二、监控结论及分析</w:t>
      </w:r>
    </w:p>
    <w:p w14:paraId="48F1C85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default"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eastAsia="zh-CN"/>
        </w:rPr>
        <w:t>（一）项目管理情况</w:t>
      </w:r>
    </w:p>
    <w:p w14:paraId="4A5BD1CC">
      <w:pPr>
        <w:keepNext w:val="0"/>
        <w:keepLines w:val="0"/>
        <w:pageBreakBefore w:val="0"/>
        <w:widowControl w:val="0"/>
        <w:kinsoku/>
        <w:wordWrap/>
        <w:overflowPunct/>
        <w:topLinePunct w:val="0"/>
        <w:autoSpaceDE/>
        <w:autoSpaceDN/>
        <w:bidi w:val="0"/>
        <w:adjustRightInd/>
        <w:snapToGrid/>
        <w:spacing w:afterAutospacing="0" w:line="56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在年度预算管理过程中，进一步强化资金的分配、使用、管理等关键环节的事前防范、事中控制、事后监督，努力提高项目资金配置效率。在制度建设方面，紧扣制度建设重点，围绕预算编制、预算执行、支付管理、监督保障等方面，结合机构独立设置、独立运转和部门自身建设，狠抓内部管理、不断建立完善了各项规章制度，建立用制度管人、管事、管财的长效机制，并在实际工作中不断健全完善管理办法和内控制度，认真贯彻执行，确保资金使用的安全、合规。在预算执行管理方面，切实履行预算管理职责，加强预算执行的监督管理，维护预算的严肃性。按照财政预算执行进度要求，定期通报预算执行进度情况，分析解决预算执行中存在的问题和困难，根据预算项目用途，确保专款专用，加快预算执行进度。</w:t>
      </w:r>
    </w:p>
    <w:p w14:paraId="5C9A344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hint="eastAsia" w:ascii="楷体" w:hAnsi="楷体" w:eastAsia="楷体" w:cs="楷体"/>
          <w:i w:val="0"/>
          <w:caps w:val="0"/>
          <w:color w:val="333333"/>
          <w:spacing w:val="0"/>
          <w:sz w:val="32"/>
          <w:szCs w:val="32"/>
          <w:shd w:val="clear" w:color="auto" w:fill="FFFFFF"/>
          <w:lang w:eastAsia="zh-CN"/>
        </w:rPr>
        <w:t>（二）预算执行情况</w:t>
      </w:r>
    </w:p>
    <w:p w14:paraId="7E3A76B4">
      <w:pPr>
        <w:keepNext w:val="0"/>
        <w:keepLines w:val="0"/>
        <w:pageBreakBefore w:val="0"/>
        <w:widowControl w:val="0"/>
        <w:kinsoku/>
        <w:wordWrap/>
        <w:overflowPunct/>
        <w:topLinePunct w:val="0"/>
        <w:autoSpaceDE/>
        <w:autoSpaceDN/>
        <w:bidi w:val="0"/>
        <w:adjustRightInd/>
        <w:snapToGrid/>
        <w:spacing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olor w:val="auto"/>
          <w:sz w:val="32"/>
        </w:rPr>
        <w:t>202</w:t>
      </w:r>
      <w:r>
        <w:rPr>
          <w:rFonts w:hint="eastAsia" w:ascii="仿宋_GB2312" w:hAnsi="仿宋_GB2312" w:eastAsia="仿宋_GB2312"/>
          <w:color w:val="auto"/>
          <w:sz w:val="32"/>
          <w:lang w:val="en-US" w:eastAsia="zh-CN"/>
        </w:rPr>
        <w:t>3</w:t>
      </w:r>
      <w:r>
        <w:rPr>
          <w:rFonts w:hint="eastAsia" w:ascii="仿宋_GB2312" w:hAnsi="仿宋_GB2312" w:eastAsia="仿宋_GB2312"/>
          <w:color w:val="auto"/>
          <w:sz w:val="32"/>
        </w:rPr>
        <w:t>年</w:t>
      </w:r>
      <w:r>
        <w:rPr>
          <w:rFonts w:hint="eastAsia" w:ascii="仿宋_GB2312" w:hAnsi="仿宋_GB2312" w:eastAsia="仿宋_GB2312"/>
          <w:color w:val="auto"/>
          <w:sz w:val="32"/>
          <w:lang w:eastAsia="zh-CN"/>
        </w:rPr>
        <w:t>共收到</w:t>
      </w:r>
      <w:r>
        <w:rPr>
          <w:rFonts w:hint="eastAsia" w:ascii="仿宋_GB2312" w:hAnsi="仿宋_GB2312" w:eastAsia="仿宋_GB2312"/>
          <w:color w:val="auto"/>
          <w:sz w:val="32"/>
        </w:rPr>
        <w:t>干部体检费项目</w:t>
      </w:r>
      <w:r>
        <w:rPr>
          <w:rFonts w:hint="eastAsia" w:ascii="仿宋_GB2312" w:hAnsi="仿宋_GB2312" w:eastAsia="仿宋_GB2312"/>
          <w:color w:val="auto"/>
          <w:sz w:val="32"/>
          <w:lang w:eastAsia="zh-CN"/>
        </w:rPr>
        <w:t>资金</w:t>
      </w:r>
      <w:r>
        <w:rPr>
          <w:rFonts w:hint="eastAsia" w:ascii="仿宋_GB2312" w:hAnsi="仿宋_GB2312" w:eastAsia="仿宋_GB2312"/>
          <w:color w:val="auto"/>
          <w:sz w:val="32"/>
          <w:lang w:val="en-US" w:eastAsia="zh-CN"/>
        </w:rPr>
        <w:t>500</w:t>
      </w:r>
      <w:r>
        <w:rPr>
          <w:rFonts w:hint="eastAsia" w:ascii="仿宋_GB2312" w:hAnsi="仿宋_GB2312" w:eastAsia="仿宋_GB2312"/>
          <w:color w:val="auto"/>
          <w:sz w:val="32"/>
        </w:rPr>
        <w:t>万元</w:t>
      </w:r>
      <w:r>
        <w:rPr>
          <w:rFonts w:hint="eastAsia" w:ascii="仿宋_GB2312" w:hAnsi="仿宋_GB2312" w:eastAsia="仿宋_GB2312"/>
          <w:color w:val="auto"/>
          <w:sz w:val="32"/>
          <w:lang w:val="en-US" w:eastAsia="zh-CN"/>
        </w:rPr>
        <w:t>，</w:t>
      </w:r>
      <w:r>
        <w:rPr>
          <w:rFonts w:hint="eastAsia" w:ascii="仿宋_GB2312" w:hAnsi="仿宋_GB2312" w:eastAsia="仿宋_GB2312"/>
          <w:color w:val="auto"/>
          <w:sz w:val="32"/>
          <w:lang w:eastAsia="zh-CN"/>
        </w:rPr>
        <w:t>具体使用情况：</w:t>
      </w:r>
      <w:r>
        <w:rPr>
          <w:rFonts w:hint="eastAsia" w:ascii="仿宋_GB2312" w:hAnsi="仿宋_GB2312" w:eastAsia="仿宋_GB2312"/>
          <w:color w:val="auto"/>
          <w:sz w:val="32"/>
          <w:lang w:val="en-US" w:eastAsia="zh-CN"/>
        </w:rPr>
        <w:t>2023年5月份</w:t>
      </w:r>
      <w:r>
        <w:rPr>
          <w:rFonts w:hint="eastAsia" w:ascii="仿宋_GB2312" w:eastAsia="仿宋_GB2312"/>
          <w:color w:val="auto"/>
          <w:sz w:val="32"/>
          <w:szCs w:val="32"/>
          <w:lang w:val="en-US" w:eastAsia="zh-CN"/>
        </w:rPr>
        <w:t>支付2022年剩余干部体检费用160.77万元，同时</w:t>
      </w:r>
      <w:r>
        <w:rPr>
          <w:rFonts w:hint="eastAsia" w:ascii="仿宋_GB2312" w:eastAsia="仿宋_GB2312"/>
          <w:sz w:val="32"/>
          <w:szCs w:val="32"/>
          <w:lang w:val="en-US" w:eastAsia="zh-CN"/>
        </w:rPr>
        <w:t>根据兰州新区组织部、财政局、卫生健康委联合印发的《关于开展2022年度干部健康体检工作的</w:t>
      </w:r>
      <w:r>
        <w:rPr>
          <w:rFonts w:hint="eastAsia" w:ascii="仿宋_GB2312" w:eastAsia="仿宋_GB2312"/>
          <w:color w:val="000000"/>
          <w:sz w:val="32"/>
          <w:szCs w:val="32"/>
          <w:lang w:val="en-US" w:eastAsia="zh-CN"/>
        </w:rPr>
        <w:t>通知》（新卫发〔2022〕91号）和新区财政局对预算资金</w:t>
      </w:r>
      <w:r>
        <w:rPr>
          <w:rFonts w:hint="eastAsia" w:ascii="仿宋_GB2312" w:eastAsia="仿宋_GB2312"/>
          <w:sz w:val="32"/>
          <w:szCs w:val="32"/>
          <w:lang w:val="en-US" w:eastAsia="zh-CN"/>
        </w:rPr>
        <w:t>支出进度有关</w:t>
      </w:r>
      <w:r>
        <w:rPr>
          <w:rFonts w:hint="eastAsia" w:ascii="仿宋_GB2312" w:hAnsi="仿宋_GB2312" w:eastAsia="仿宋_GB2312" w:cs="仿宋_GB2312"/>
          <w:sz w:val="32"/>
          <w:szCs w:val="32"/>
          <w:lang w:val="en-US" w:eastAsia="zh-CN"/>
        </w:rPr>
        <w:t>要求，参照2022年新区干部在省人民医院、省人民医院新区分院和兰州新区第一人民体检人数，将剩余的339.23万元预拨给省人民医院和新区第一人民医院，其中省人民医院159.23万元，新区第一人民医院180万元。</w:t>
      </w:r>
    </w:p>
    <w:p w14:paraId="5816B1D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firstLine="640" w:firstLineChars="200"/>
        <w:jc w:val="both"/>
        <w:rPr>
          <w:rFonts w:hint="eastAsia" w:ascii="楷体" w:hAnsi="楷体" w:eastAsia="楷体" w:cs="楷体"/>
          <w:i w:val="0"/>
          <w:caps w:val="0"/>
          <w:color w:val="333333"/>
          <w:spacing w:val="0"/>
          <w:sz w:val="32"/>
          <w:szCs w:val="32"/>
          <w:shd w:val="clear" w:color="auto" w:fill="FFFFFF"/>
          <w:lang w:eastAsia="zh-CN"/>
        </w:rPr>
      </w:pPr>
      <w:r>
        <w:rPr>
          <w:rFonts w:hint="eastAsia" w:ascii="楷体" w:hAnsi="楷体" w:eastAsia="楷体" w:cs="楷体"/>
          <w:i w:val="0"/>
          <w:caps w:val="0"/>
          <w:color w:val="333333"/>
          <w:spacing w:val="0"/>
          <w:sz w:val="32"/>
          <w:szCs w:val="32"/>
          <w:shd w:val="clear" w:color="auto" w:fill="FFFFFF"/>
          <w:lang w:eastAsia="zh-CN"/>
        </w:rPr>
        <w:t>（三）绩效目标完成情况</w:t>
      </w:r>
    </w:p>
    <w:p w14:paraId="1ADA7A9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1.产出指标完成情况</w:t>
      </w:r>
    </w:p>
    <w:p w14:paraId="3939E64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（1）数量指标</w:t>
      </w:r>
    </w:p>
    <w:p w14:paraId="17956E2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仿宋_GB2312" w:hAnsi="仿宋_GB2312" w:eastAsia="仿宋_GB2312"/>
          <w:color w:val="000000"/>
          <w:sz w:val="32"/>
        </w:rPr>
      </w:pPr>
      <w:r>
        <w:rPr>
          <w:rFonts w:hint="eastAsia" w:ascii="仿宋_GB2312" w:hAnsi="仿宋_GB2312" w:eastAsia="仿宋_GB2312"/>
          <w:color w:val="000000"/>
          <w:sz w:val="32"/>
        </w:rPr>
        <w:t>2023年预计参检人员共6287人次，其中厅级干部及正高级职称专业技术人员50人；县级干部及副高级职称专业技术人员692人；科级及科级以下干部、中级及中级以下职称专业技术人员和工勤人员共计5545人，已支付389.94万元。</w:t>
      </w:r>
    </w:p>
    <w:p w14:paraId="1E62DE4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（2）质量指标</w:t>
      </w:r>
    </w:p>
    <w:p w14:paraId="7AE7756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default" w:ascii="仿宋_GB2312" w:hAnsi="宋体" w:eastAsia="仿宋_GB2312" w:cs="仿宋_GB2312"/>
          <w:i w:val="0"/>
          <w:caps w:val="0"/>
          <w:color w:val="000000"/>
          <w:spacing w:val="0"/>
          <w:kern w:val="0"/>
          <w:sz w:val="32"/>
          <w:szCs w:val="32"/>
          <w:shd w:val="clear" w:color="auto" w:fill="FFFFFF"/>
          <w:lang w:val="en-US" w:eastAsia="zh-CN" w:bidi="ar"/>
        </w:rPr>
      </w:pPr>
      <w:r>
        <w:rPr>
          <w:rFonts w:hint="eastAsia" w:ascii="仿宋_GB2312" w:hAnsi="宋体" w:eastAsia="仿宋_GB2312" w:cs="仿宋_GB2312"/>
          <w:i w:val="0"/>
          <w:caps w:val="0"/>
          <w:color w:val="000000"/>
          <w:spacing w:val="0"/>
          <w:kern w:val="0"/>
          <w:sz w:val="32"/>
          <w:szCs w:val="32"/>
          <w:shd w:val="clear" w:color="auto" w:fill="FFFFFF"/>
          <w:lang w:val="en-US" w:eastAsia="zh-CN" w:bidi="ar"/>
        </w:rPr>
        <w:t>组织干部体检完成达标率100%，体检报告准确率100%。</w:t>
      </w:r>
    </w:p>
    <w:p w14:paraId="17FA4103">
      <w:pPr>
        <w:pStyle w:val="13"/>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时效指标</w:t>
      </w:r>
    </w:p>
    <w:p w14:paraId="7176AAA6">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736" w:leftChars="0" w:right="0" w:rightChars="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组织新区干部职工及时完成体检，并给体检医疗机构及时下拨体检费用。</w:t>
      </w:r>
    </w:p>
    <w:p w14:paraId="674C752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2.效益指标完成情况分析</w:t>
      </w:r>
    </w:p>
    <w:p w14:paraId="58C407D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（1）社会效益</w:t>
      </w:r>
    </w:p>
    <w:p w14:paraId="43B9566E">
      <w:pPr>
        <w:keepNext w:val="0"/>
        <w:keepLines w:val="0"/>
        <w:pageBreakBefore w:val="0"/>
        <w:widowControl/>
        <w:suppressLineNumbers w:val="0"/>
        <w:wordWrap/>
        <w:overflowPunct/>
        <w:topLinePunct w:val="0"/>
        <w:bidi w:val="0"/>
        <w:spacing w:line="560" w:lineRule="exact"/>
        <w:ind w:firstLine="640" w:firstLineChars="200"/>
        <w:jc w:val="left"/>
        <w:rPr>
          <w:rFonts w:ascii="仿宋" w:hAnsi="仿宋" w:eastAsia="仿宋" w:cs="仿宋"/>
          <w:i w:val="0"/>
          <w:caps w:val="0"/>
          <w:color w:val="000000"/>
          <w:spacing w:val="0"/>
          <w:kern w:val="0"/>
          <w:sz w:val="32"/>
          <w:szCs w:val="32"/>
          <w:shd w:val="clear" w:color="auto" w:fill="FFFFFF"/>
          <w:lang w:val="en-US" w:eastAsia="zh-CN" w:bidi="ar"/>
        </w:rPr>
      </w:pPr>
      <w:r>
        <w:rPr>
          <w:rFonts w:ascii="仿宋_GB2312" w:hAnsi="宋体" w:eastAsia="仿宋_GB2312" w:cs="仿宋_GB2312"/>
          <w:i w:val="0"/>
          <w:caps w:val="0"/>
          <w:color w:val="000000"/>
          <w:spacing w:val="0"/>
          <w:kern w:val="0"/>
          <w:sz w:val="32"/>
          <w:szCs w:val="32"/>
          <w:shd w:val="clear" w:color="auto" w:fill="FFFFFF"/>
          <w:lang w:val="en-US" w:eastAsia="zh-CN" w:bidi="ar"/>
        </w:rPr>
        <w:t>减少了干部职工因工作任务繁重，工作压力较大，精神过度紧张等因素导致疾病的发生，让每一位干部职工科学地掌握自己的健康状况，做到有病早发现、早治疗，无病早预防</w:t>
      </w:r>
      <w:r>
        <w:rPr>
          <w:rFonts w:hint="eastAsia" w:ascii="仿宋_GB2312" w:hAnsi="宋体" w:eastAsia="仿宋_GB2312" w:cs="仿宋_GB2312"/>
          <w:i w:val="0"/>
          <w:caps w:val="0"/>
          <w:color w:val="000000"/>
          <w:spacing w:val="0"/>
          <w:kern w:val="0"/>
          <w:sz w:val="32"/>
          <w:szCs w:val="32"/>
          <w:shd w:val="clear" w:color="auto" w:fill="FFFFFF"/>
          <w:lang w:val="en-US" w:eastAsia="zh-CN" w:bidi="ar"/>
        </w:rPr>
        <w:t>。</w:t>
      </w:r>
    </w:p>
    <w:p w14:paraId="45B695A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（2）可持续影响</w:t>
      </w:r>
    </w:p>
    <w:p w14:paraId="094FDE01">
      <w:pPr>
        <w:pStyle w:val="40"/>
        <w:keepNext w:val="0"/>
        <w:keepLines w:val="0"/>
        <w:pageBreakBefore w:val="0"/>
        <w:wordWrap/>
        <w:overflowPunct/>
        <w:topLinePunct w:val="0"/>
        <w:bidi w:val="0"/>
        <w:spacing w:line="560" w:lineRule="exact"/>
        <w:rPr>
          <w:rFonts w:hint="eastAsia" w:ascii="仿宋_GB2312" w:hAnsi="宋体" w:eastAsia="仿宋_GB2312" w:cs="仿宋_GB2312"/>
          <w:i w:val="0"/>
          <w:caps w:val="0"/>
          <w:outline w:val="0"/>
          <w:color w:val="000000"/>
          <w:spacing w:val="0"/>
          <w:kern w:val="0"/>
          <w:sz w:val="32"/>
          <w:szCs w:val="32"/>
          <w:shd w:val="clear" w:color="auto" w:fill="FFFFFF"/>
          <w:lang w:val="en-US" w:eastAsia="zh-CN" w:bidi="ar"/>
        </w:rPr>
      </w:pPr>
      <w:r>
        <w:rPr>
          <w:rFonts w:ascii="仿宋_GB2312" w:hAnsi="宋体" w:eastAsia="仿宋_GB2312" w:cs="仿宋_GB2312"/>
          <w:i w:val="0"/>
          <w:caps w:val="0"/>
          <w:outline w:val="0"/>
          <w:color w:val="000000"/>
          <w:spacing w:val="0"/>
          <w:kern w:val="0"/>
          <w:sz w:val="32"/>
          <w:szCs w:val="32"/>
          <w:shd w:val="clear" w:color="auto" w:fill="FFFFFF"/>
          <w:lang w:val="en-US" w:eastAsia="zh-CN" w:bidi="ar"/>
        </w:rPr>
        <w:t>有针对性地开展健康教育、健康促进活动，使干部职工树立正确的健康观念，不断提高保健意识。 </w:t>
      </w:r>
    </w:p>
    <w:p w14:paraId="2C479A9D">
      <w:pPr>
        <w:pStyle w:val="13"/>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满意度指标完成情况分析</w:t>
      </w:r>
    </w:p>
    <w:p w14:paraId="691B40D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i w:val="0"/>
          <w:caps w:val="0"/>
          <w:color w:val="333333"/>
          <w:spacing w:val="0"/>
          <w:sz w:val="32"/>
          <w:szCs w:val="32"/>
          <w:shd w:val="clear" w:color="auto" w:fill="FFFFFF"/>
          <w:lang w:val="en-US" w:eastAsia="zh-CN"/>
        </w:rPr>
      </w:pPr>
      <w:r>
        <w:rPr>
          <w:rFonts w:hint="eastAsia" w:ascii="仿宋_GB2312" w:hAnsi="仿宋_GB2312" w:eastAsia="仿宋_GB2312"/>
          <w:color w:val="auto"/>
          <w:sz w:val="32"/>
        </w:rPr>
        <w:t>满意度指标分值为10分，得9.</w:t>
      </w:r>
      <w:r>
        <w:rPr>
          <w:rFonts w:hint="eastAsia" w:ascii="仿宋_GB2312" w:hAnsi="仿宋_GB2312" w:eastAsia="仿宋_GB2312"/>
          <w:color w:val="auto"/>
          <w:sz w:val="32"/>
          <w:lang w:val="en-US" w:eastAsia="zh-CN"/>
        </w:rPr>
        <w:t>9</w:t>
      </w:r>
      <w:r>
        <w:rPr>
          <w:rFonts w:hint="eastAsia" w:ascii="仿宋_GB2312" w:hAnsi="仿宋_GB2312" w:eastAsia="仿宋_GB2312"/>
          <w:color w:val="auto"/>
          <w:sz w:val="32"/>
        </w:rPr>
        <w:t>分。干部整体满意度较高，出现个别投诉情况。</w:t>
      </w:r>
    </w:p>
    <w:p w14:paraId="3B977DF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6F0BC19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olor w:val="auto"/>
          <w:sz w:val="32"/>
          <w:lang w:val="en-US" w:eastAsia="zh-CN"/>
        </w:rPr>
        <w:t>计划于2024年3月底全面完成2023年体检工作，</w:t>
      </w:r>
      <w:r>
        <w:rPr>
          <w:rFonts w:hint="eastAsia" w:ascii="仿宋_GB2312" w:hAnsi="仿宋_GB2312" w:eastAsia="仿宋_GB2312"/>
          <w:color w:val="auto"/>
          <w:sz w:val="32"/>
        </w:rPr>
        <w:t>下一步将</w:t>
      </w:r>
      <w:r>
        <w:rPr>
          <w:rFonts w:hint="eastAsia" w:ascii="仿宋_GB2312" w:hAnsi="仿宋_GB2312" w:eastAsia="仿宋_GB2312"/>
          <w:color w:val="auto"/>
          <w:sz w:val="32"/>
          <w:lang w:eastAsia="zh-CN"/>
        </w:rPr>
        <w:t>提醒未体检的干部及时完成体检，并</w:t>
      </w:r>
      <w:r>
        <w:rPr>
          <w:rFonts w:hint="eastAsia" w:ascii="仿宋_GB2312" w:hAnsi="仿宋_GB2312" w:eastAsia="仿宋_GB2312"/>
          <w:color w:val="auto"/>
          <w:sz w:val="32"/>
        </w:rPr>
        <w:t>督促医院改进服务态度，完善体检流程，提高体检服务质量。</w:t>
      </w:r>
    </w:p>
    <w:p w14:paraId="26C2A82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65AD912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2EF781B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076F2E0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2C5FC0F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63DBA6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无。</w:t>
      </w:r>
    </w:p>
    <w:p w14:paraId="35FF447D">
      <w:pPr>
        <w:ind w:firstLine="643"/>
        <w:outlineLvl w:val="2"/>
        <w:rPr>
          <w:rFonts w:hint="eastAsia" w:ascii="楷体" w:hAnsi="楷体" w:eastAsia="楷体" w:cs="楷体"/>
          <w:b/>
          <w:bCs/>
          <w:szCs w:val="32"/>
          <w:lang w:eastAsia="zh-CN"/>
        </w:rPr>
      </w:pPr>
      <w:r>
        <w:rPr>
          <w:rFonts w:hint="eastAsia" w:ascii="楷体" w:hAnsi="楷体" w:eastAsia="楷体" w:cs="楷体"/>
          <w:b/>
          <w:bCs/>
          <w:szCs w:val="32"/>
        </w:rPr>
        <w:t>（三）</w:t>
      </w:r>
      <w:r>
        <w:rPr>
          <w:rFonts w:hint="eastAsia" w:ascii="楷体" w:hAnsi="楷体" w:eastAsia="楷体" w:cs="楷体"/>
          <w:b/>
          <w:bCs/>
          <w:szCs w:val="32"/>
          <w:lang w:eastAsia="zh-CN"/>
        </w:rPr>
        <w:t>红十字运转项目经费</w:t>
      </w:r>
    </w:p>
    <w:p w14:paraId="2C7DEB72">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6EE25125">
      <w:pPr>
        <w:spacing w:line="500" w:lineRule="exact"/>
        <w:ind w:firstLine="640" w:firstLineChars="200"/>
        <w:rPr>
          <w:rFonts w:hint="eastAsia" w:ascii="楷体_GB2312" w:eastAsia="楷体_GB2312"/>
          <w:sz w:val="32"/>
          <w:szCs w:val="32"/>
          <w:lang w:eastAsia="zh-CN"/>
        </w:rPr>
      </w:pPr>
      <w:r>
        <w:rPr>
          <w:rFonts w:hint="eastAsia" w:ascii="楷体_GB2312" w:eastAsia="楷体_GB2312"/>
          <w:sz w:val="32"/>
          <w:szCs w:val="32"/>
        </w:rPr>
        <w:t>（一）项目</w:t>
      </w:r>
      <w:r>
        <w:rPr>
          <w:rFonts w:hint="eastAsia" w:ascii="楷体_GB2312" w:eastAsia="楷体_GB2312"/>
          <w:sz w:val="32"/>
          <w:szCs w:val="32"/>
          <w:lang w:val="en-US" w:eastAsia="zh-CN"/>
        </w:rPr>
        <w:t>概况</w:t>
      </w:r>
    </w:p>
    <w:p w14:paraId="4AB3B8C6">
      <w:pPr>
        <w:numPr>
          <w:ilvl w:val="0"/>
          <w:numId w:val="0"/>
        </w:numPr>
        <w:spacing w:line="500" w:lineRule="exact"/>
        <w:ind w:firstLine="640" w:firstLineChars="200"/>
        <w:rPr>
          <w:rFonts w:hint="eastAsia" w:ascii="楷体_GB2312" w:eastAsia="楷体_GB2312"/>
          <w:sz w:val="32"/>
          <w:szCs w:val="32"/>
          <w:lang w:val="en-US" w:eastAsia="zh-CN"/>
        </w:rPr>
      </w:pPr>
      <w:r>
        <w:rPr>
          <w:rFonts w:hint="eastAsia" w:ascii="仿宋_GB2312" w:eastAsia="仿宋_GB2312"/>
          <w:b w:val="0"/>
          <w:bCs w:val="0"/>
          <w:sz w:val="32"/>
          <w:szCs w:val="32"/>
        </w:rPr>
        <w:t>开展应急救护和防病知识的普及宣传及救护培训，救护员培训不少于100人，开展无偿献血的宣传推动工作，开展服务群众、宣传培训、募捐救助等活动。项目经费</w:t>
      </w:r>
      <w:r>
        <w:rPr>
          <w:rFonts w:hint="eastAsia"/>
          <w:b w:val="0"/>
          <w:bCs w:val="0"/>
          <w:sz w:val="32"/>
          <w:szCs w:val="32"/>
          <w:lang w:val="en-US" w:eastAsia="zh-CN"/>
        </w:rPr>
        <w:t>6</w:t>
      </w:r>
      <w:r>
        <w:rPr>
          <w:rFonts w:hint="eastAsia" w:ascii="仿宋_GB2312" w:eastAsia="仿宋_GB2312"/>
          <w:b w:val="0"/>
          <w:bCs w:val="0"/>
          <w:sz w:val="32"/>
          <w:szCs w:val="32"/>
        </w:rPr>
        <w:t>万元。</w:t>
      </w:r>
    </w:p>
    <w:p w14:paraId="735F2715">
      <w:pPr>
        <w:numPr>
          <w:ilvl w:val="0"/>
          <w:numId w:val="6"/>
        </w:numPr>
        <w:spacing w:line="500" w:lineRule="exact"/>
        <w:ind w:firstLine="640" w:firstLineChars="200"/>
        <w:rPr>
          <w:rFonts w:hint="eastAsia" w:ascii="楷体_GB2312" w:eastAsia="楷体_GB2312"/>
          <w:sz w:val="32"/>
          <w:szCs w:val="32"/>
          <w:lang w:val="en-US" w:eastAsia="zh-CN"/>
        </w:rPr>
      </w:pPr>
      <w:r>
        <w:rPr>
          <w:rFonts w:hint="eastAsia" w:ascii="楷体_GB2312" w:eastAsia="楷体_GB2312"/>
          <w:sz w:val="32"/>
          <w:szCs w:val="32"/>
          <w:lang w:val="en-US" w:eastAsia="zh-CN"/>
        </w:rPr>
        <w:t>立项依据</w:t>
      </w:r>
    </w:p>
    <w:p w14:paraId="42C30F5C">
      <w:pPr>
        <w:numPr>
          <w:ilvl w:val="0"/>
          <w:numId w:val="0"/>
        </w:numPr>
        <w:spacing w:line="50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1.《中华人民共和国红十字会法》第十二条红十字会履行下列职责：（一）普及卫生救护和防病知识，进行初级卫生救护培训，组织群众参加现场救护；参与输血献血工作，推动无偿献血；开展其他人道主义服务活动；（二）开展红十字青少年活动。第十三条红十字会有权处分其接受的救助物资；在处分捐赠款物时，应当尊重捐赠者的意愿。</w:t>
      </w:r>
    </w:p>
    <w:p w14:paraId="3E7A1835">
      <w:pPr>
        <w:numPr>
          <w:ilvl w:val="0"/>
          <w:numId w:val="0"/>
        </w:numPr>
        <w:spacing w:line="500" w:lineRule="exact"/>
        <w:ind w:firstLine="640" w:firstLineChars="2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2.国务院《关于促进红十字事业发展的意见》（国发〔2012〕25号）：（八）建立红十字应急救护培训长效机制。要充分发挥红十字会在公众参与的应急救护培训中的主体作用。支持红十字会在易发生意外伤害的教育、公共安全等领域以及交通运输、矿山、建筑、电力等行业中开展应急救护培训。积极推动红十字救护培训进社区、进农村、进学校、进企业、进机关，不断提高应急救护知识在人民群众中的普及率。</w:t>
      </w:r>
    </w:p>
    <w:p w14:paraId="39366DA5">
      <w:pPr>
        <w:numPr>
          <w:ilvl w:val="0"/>
          <w:numId w:val="0"/>
        </w:numPr>
        <w:spacing w:line="500" w:lineRule="exact"/>
        <w:ind w:firstLine="640" w:firstLineChars="200"/>
        <w:rPr>
          <w:rFonts w:hint="eastAsia" w:ascii="楷体_GB2312" w:hAnsi="Times New Roman" w:eastAsia="楷体_GB2312" w:cs="Times New Roman"/>
          <w:sz w:val="32"/>
          <w:szCs w:val="32"/>
          <w:lang w:val="en-US" w:eastAsia="zh-CN"/>
        </w:rPr>
      </w:pPr>
      <w:r>
        <w:rPr>
          <w:rFonts w:hint="eastAsia" w:ascii="楷体_GB2312" w:hAnsi="Times New Roman" w:eastAsia="楷体_GB2312" w:cs="Times New Roman"/>
          <w:sz w:val="32"/>
          <w:szCs w:val="32"/>
          <w:lang w:val="en-US" w:eastAsia="zh-CN"/>
        </w:rPr>
        <w:t>（三）项目立项必要性</w:t>
      </w:r>
    </w:p>
    <w:p w14:paraId="6D892F65">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新区红十字会工作基础薄弱，急需加强力量，发挥好红十字会在人道主义救治宣传方面的作用。</w:t>
      </w:r>
    </w:p>
    <w:p w14:paraId="639C8C1A">
      <w:pPr>
        <w:numPr>
          <w:ilvl w:val="0"/>
          <w:numId w:val="0"/>
        </w:numPr>
        <w:spacing w:line="500" w:lineRule="exact"/>
        <w:ind w:firstLine="640" w:firstLineChars="200"/>
        <w:rPr>
          <w:rFonts w:hint="eastAsia" w:ascii="楷体_GB2312" w:hAnsi="Times New Roman" w:eastAsia="楷体_GB2312" w:cs="Times New Roman"/>
          <w:sz w:val="32"/>
          <w:szCs w:val="32"/>
          <w:lang w:val="en-US" w:eastAsia="zh-CN"/>
        </w:rPr>
      </w:pPr>
      <w:r>
        <w:rPr>
          <w:rFonts w:hint="eastAsia" w:ascii="楷体_GB2312" w:hAnsi="Times New Roman" w:eastAsia="楷体_GB2312" w:cs="Times New Roman"/>
          <w:sz w:val="32"/>
          <w:szCs w:val="32"/>
          <w:lang w:val="en-US" w:eastAsia="zh-CN"/>
        </w:rPr>
        <w:t>（四）项目总目标</w:t>
      </w:r>
    </w:p>
    <w:p w14:paraId="19C82AF1">
      <w:pPr>
        <w:spacing w:line="50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全面提高新区红十字会工作的影响力，发挥好红十字会在人道主义救治方面的作用。</w:t>
      </w:r>
    </w:p>
    <w:p w14:paraId="56199D86">
      <w:pPr>
        <w:numPr>
          <w:ilvl w:val="0"/>
          <w:numId w:val="0"/>
        </w:numPr>
        <w:spacing w:line="500" w:lineRule="exact"/>
        <w:ind w:firstLine="640" w:firstLineChars="200"/>
        <w:rPr>
          <w:rFonts w:hint="eastAsia" w:ascii="楷体_GB2312" w:hAnsi="Times New Roman" w:eastAsia="楷体_GB2312" w:cs="Times New Roman"/>
          <w:sz w:val="32"/>
          <w:szCs w:val="32"/>
          <w:lang w:val="en-US" w:eastAsia="zh-CN"/>
        </w:rPr>
      </w:pPr>
      <w:r>
        <w:rPr>
          <w:rFonts w:hint="eastAsia" w:ascii="楷体_GB2312" w:hAnsi="Times New Roman" w:eastAsia="楷体_GB2312" w:cs="Times New Roman"/>
          <w:sz w:val="32"/>
          <w:szCs w:val="32"/>
          <w:lang w:val="en-US" w:eastAsia="zh-CN"/>
        </w:rPr>
        <w:t>（五）年度绩效目标</w:t>
      </w:r>
    </w:p>
    <w:p w14:paraId="4E2A2AA7">
      <w:pPr>
        <w:spacing w:line="50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开展宣传和培训等活动，促进新区红十字工作知晓率。</w:t>
      </w:r>
    </w:p>
    <w:p w14:paraId="211CE731">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33C92CA5">
      <w:pPr>
        <w:numPr>
          <w:ilvl w:val="0"/>
          <w:numId w:val="0"/>
        </w:numPr>
        <w:spacing w:line="500" w:lineRule="exact"/>
        <w:ind w:leftChars="200" w:firstLine="320" w:firstLineChars="100"/>
        <w:rPr>
          <w:rFonts w:hint="eastAsia" w:ascii="楷体_GB2312" w:eastAsia="楷体_GB2312"/>
          <w:sz w:val="32"/>
          <w:szCs w:val="32"/>
        </w:rPr>
      </w:pPr>
      <w:r>
        <w:rPr>
          <w:rFonts w:hint="eastAsia" w:ascii="楷体_GB2312" w:eastAsia="楷体_GB2312"/>
          <w:sz w:val="32"/>
          <w:szCs w:val="32"/>
        </w:rPr>
        <w:t>（一）保证项目实施的制度、措施</w:t>
      </w:r>
    </w:p>
    <w:p w14:paraId="0C5C3ADE">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按照红十字会工作制度开展培训、宣传，和省红会加强联系，寻求指导帮助，支付经费时上单位党组会议审议，无误时方可支付。</w:t>
      </w:r>
    </w:p>
    <w:p w14:paraId="5049DEBF">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w:t>
      </w:r>
      <w:r>
        <w:rPr>
          <w:rFonts w:hint="eastAsia" w:ascii="楷体_GB2312" w:eastAsia="楷体_GB2312"/>
          <w:sz w:val="32"/>
          <w:szCs w:val="32"/>
          <w:lang w:val="en-US" w:eastAsia="zh-CN"/>
        </w:rPr>
        <w:t>计划</w:t>
      </w:r>
      <w:r>
        <w:rPr>
          <w:rFonts w:hint="eastAsia" w:ascii="楷体_GB2312" w:eastAsia="楷体_GB2312"/>
          <w:sz w:val="32"/>
          <w:szCs w:val="32"/>
        </w:rPr>
        <w:t>。</w:t>
      </w:r>
    </w:p>
    <w:p w14:paraId="1A7BBAA3">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应急救护和防病知识的宣传、普及、培训4次，开展无偿献血的宣传和组织工作1次。</w:t>
      </w:r>
    </w:p>
    <w:p w14:paraId="5674969C">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32E26529">
      <w:pPr>
        <w:spacing w:line="500" w:lineRule="exact"/>
        <w:ind w:firstLine="640" w:firstLineChars="200"/>
        <w:rPr>
          <w:rFonts w:ascii="仿宋_GB2312" w:eastAsia="仿宋_GB2312"/>
          <w:sz w:val="32"/>
          <w:szCs w:val="32"/>
        </w:rPr>
      </w:pPr>
      <w:r>
        <w:rPr>
          <w:rFonts w:hint="eastAsia" w:ascii="仿宋_GB2312" w:eastAsia="仿宋_GB2312"/>
          <w:sz w:val="32"/>
          <w:szCs w:val="32"/>
        </w:rPr>
        <w:t>目前该项目工作</w:t>
      </w:r>
      <w:r>
        <w:rPr>
          <w:rFonts w:hint="eastAsia" w:ascii="仿宋_GB2312" w:eastAsia="仿宋_GB2312"/>
          <w:sz w:val="32"/>
          <w:szCs w:val="32"/>
          <w:lang w:eastAsia="zh-CN"/>
        </w:rPr>
        <w:t>已开展三献三救</w:t>
      </w:r>
      <w:r>
        <w:rPr>
          <w:rFonts w:hint="eastAsia" w:ascii="仿宋_GB2312" w:eastAsia="仿宋_GB2312"/>
          <w:sz w:val="32"/>
          <w:szCs w:val="32"/>
        </w:rPr>
        <w:t>的宣传和组织工作</w:t>
      </w:r>
      <w:r>
        <w:rPr>
          <w:rFonts w:hint="eastAsia" w:ascii="仿宋_GB2312" w:eastAsia="仿宋_GB2312"/>
          <w:sz w:val="32"/>
          <w:szCs w:val="32"/>
          <w:lang w:val="en-US" w:eastAsia="zh-CN"/>
        </w:rPr>
        <w:t>，组织献血活动12次，培训</w:t>
      </w:r>
      <w:r>
        <w:rPr>
          <w:rFonts w:hint="eastAsia" w:ascii="仿宋_GB2312" w:hAnsi="Times New Roman" w:eastAsia="仿宋_GB2312" w:cs="Times New Roman"/>
          <w:sz w:val="32"/>
          <w:szCs w:val="32"/>
          <w:lang w:eastAsia="zh-CN"/>
        </w:rPr>
        <w:t>红十字救护员</w:t>
      </w:r>
      <w:r>
        <w:rPr>
          <w:rFonts w:hint="eastAsia" w:ascii="仿宋_GB2312" w:hAnsi="Times New Roman" w:eastAsia="仿宋_GB2312" w:cs="Times New Roman"/>
          <w:sz w:val="32"/>
          <w:szCs w:val="32"/>
          <w:lang w:val="en-US" w:eastAsia="zh-CN"/>
        </w:rPr>
        <w:t>300人</w:t>
      </w:r>
      <w:r>
        <w:rPr>
          <w:rFonts w:hint="eastAsia" w:ascii="仿宋_GB2312" w:eastAsia="仿宋_GB2312"/>
          <w:sz w:val="32"/>
          <w:szCs w:val="32"/>
          <w:lang w:val="en-US" w:eastAsia="zh-CN"/>
        </w:rPr>
        <w:t>。</w:t>
      </w:r>
    </w:p>
    <w:p w14:paraId="5B0EECC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5AE46D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olor w:val="auto"/>
          <w:sz w:val="32"/>
          <w:lang w:val="en-US" w:eastAsia="zh-CN"/>
        </w:rPr>
        <w:t>2023年红十字相关工作按计划圆满完成。</w:t>
      </w:r>
    </w:p>
    <w:p w14:paraId="4BEB869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3A4E635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3071402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698BFCC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60FDF08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70FF46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无。</w:t>
      </w:r>
    </w:p>
    <w:p w14:paraId="34378B20">
      <w:pPr>
        <w:ind w:firstLine="643"/>
        <w:outlineLvl w:val="2"/>
        <w:rPr>
          <w:rFonts w:ascii="楷体" w:hAnsi="楷体" w:eastAsia="楷体" w:cs="楷体"/>
          <w:b/>
          <w:bCs/>
          <w:szCs w:val="32"/>
        </w:rPr>
      </w:pPr>
      <w:r>
        <w:rPr>
          <w:rFonts w:hint="eastAsia" w:ascii="楷体" w:hAnsi="楷体" w:eastAsia="楷体" w:cs="楷体"/>
          <w:b/>
          <w:bCs/>
          <w:szCs w:val="32"/>
        </w:rPr>
        <w:t>（四）</w:t>
      </w:r>
      <w:r>
        <w:rPr>
          <w:rFonts w:hint="eastAsia" w:ascii="楷体" w:hAnsi="楷体" w:eastAsia="楷体" w:cs="楷体"/>
          <w:b/>
          <w:bCs/>
          <w:szCs w:val="32"/>
          <w:lang w:eastAsia="zh-CN"/>
        </w:rPr>
        <w:t>医政医改管理项目经费</w:t>
      </w:r>
    </w:p>
    <w:p w14:paraId="14AC9FB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ascii="Helvetica" w:hAnsi="Helvetica" w:eastAsia="Helvetica" w:cs="Helvetica"/>
          <w:i w:val="0"/>
          <w:caps w:val="0"/>
          <w:color w:val="333333"/>
          <w:spacing w:val="0"/>
          <w:sz w:val="32"/>
          <w:szCs w:val="32"/>
        </w:rPr>
      </w:pPr>
      <w:r>
        <w:rPr>
          <w:rFonts w:ascii="黑体" w:hAnsi="宋体" w:eastAsia="黑体" w:cs="黑体"/>
          <w:i w:val="0"/>
          <w:caps w:val="0"/>
          <w:color w:val="333333"/>
          <w:spacing w:val="0"/>
          <w:sz w:val="32"/>
          <w:szCs w:val="32"/>
          <w:shd w:val="clear" w:color="auto" w:fill="FFFFFF"/>
        </w:rPr>
        <w:t>一、项目基本情况</w:t>
      </w:r>
    </w:p>
    <w:p w14:paraId="6D71B8D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ascii="楷体" w:hAnsi="楷体" w:eastAsia="楷体" w:cs="楷体"/>
          <w:i w:val="0"/>
          <w:caps w:val="0"/>
          <w:color w:val="333333"/>
          <w:spacing w:val="0"/>
          <w:sz w:val="32"/>
          <w:szCs w:val="32"/>
          <w:shd w:val="clear" w:color="auto" w:fill="FFFFFF"/>
        </w:rPr>
      </w:pPr>
      <w:r>
        <w:rPr>
          <w:rFonts w:ascii="楷体" w:hAnsi="楷体" w:eastAsia="楷体" w:cs="楷体"/>
          <w:i w:val="0"/>
          <w:caps w:val="0"/>
          <w:color w:val="333333"/>
          <w:spacing w:val="0"/>
          <w:sz w:val="32"/>
          <w:szCs w:val="32"/>
          <w:shd w:val="clear" w:color="auto" w:fill="FFFFFF"/>
        </w:rPr>
        <w:t>（一）</w:t>
      </w:r>
      <w:r>
        <w:rPr>
          <w:rFonts w:hint="eastAsia" w:ascii="楷体" w:hAnsi="楷体" w:eastAsia="楷体" w:cs="楷体"/>
          <w:i w:val="0"/>
          <w:caps w:val="0"/>
          <w:color w:val="333333"/>
          <w:spacing w:val="0"/>
          <w:sz w:val="32"/>
          <w:szCs w:val="32"/>
          <w:shd w:val="clear" w:color="auto" w:fill="FFFFFF"/>
          <w:lang w:eastAsia="zh-CN"/>
        </w:rPr>
        <w:t>项目</w:t>
      </w:r>
      <w:r>
        <w:rPr>
          <w:rFonts w:ascii="楷体" w:hAnsi="楷体" w:eastAsia="楷体" w:cs="楷体"/>
          <w:i w:val="0"/>
          <w:caps w:val="0"/>
          <w:color w:val="333333"/>
          <w:spacing w:val="0"/>
          <w:sz w:val="32"/>
          <w:szCs w:val="32"/>
          <w:shd w:val="clear" w:color="auto" w:fill="FFFFFF"/>
        </w:rPr>
        <w:t>背景</w:t>
      </w:r>
    </w:p>
    <w:p w14:paraId="17B291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1.《国务院办公厅关于印发深化医药卫生体制改革2022年重点工作任务的通知》（国办发〔2022〕14号），四、推进医药卫生高质量发展。（十七）发挥政府投入激励作用。坚持公益性，落实政府在卫生健康领域的投入责任，指导地方按规定落实政府对符合区域卫生规划公立医院的投入政策。继续支持公立医院综合改革，实施公立医院改革与高质量发展示范项目，激励引导一批有改革积极性的地市推广三明医改经验。遴选10个深化医改真抓实干成效明显的地市并给予奖励。（财政部、国家卫生健康委等按职责分工负责）</w:t>
      </w:r>
    </w:p>
    <w:p w14:paraId="7C9DAC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2.根据《甘肃省人民政府办公厅关于印发甘肃省深化医药卫生体制改革2022年重点工作任务的通知》（甘政办发〔2022〕84号）中，二、 促进优质医疗资源扩容和均衡布局。三、推动医药卫生高质量发展。（十三）发挥政府投入激励作用。坚持公益性，落实地方政府对医疗卫生机构的投入责任。继续安排资金支持公立医院综合改革和高质量发展，并适当对承担试点工作和推广三明医改经验成效明显的地区予以资金倾斜。省级财政以定额形式对省级公立医院取消药品加成给予补助。（省财政厅、省发展改革委、省卫生健康委等部门按职责分工负责）</w:t>
      </w:r>
    </w:p>
    <w:p w14:paraId="18C5A1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3.2022年兰州新区深化医药卫生体制改革领导小组会议精神。</w:t>
      </w:r>
    </w:p>
    <w:p w14:paraId="59D1FC4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二</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项目内容</w:t>
      </w:r>
    </w:p>
    <w:p w14:paraId="5A5ED8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1.建章立制，统筹全新区“一盘棋”做好顶层设计以“加强互联互通”、“推进智慧医疗”、“保障信息安全”为纲领，做好医院信息化新型基础建设，提升医院信息化服务能力。</w:t>
      </w:r>
    </w:p>
    <w:p w14:paraId="4A63FC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2.分步实施，持续夯实医疗健康信息化基础和挖掘数据应用。实现三级医院、二级医院、社区卫生服务中心的互联互通、数据共享、业务协同。</w:t>
      </w:r>
    </w:p>
    <w:p w14:paraId="300C84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eastAsia="仿宋_GB2312"/>
          <w:b w:val="0"/>
          <w:bCs w:val="0"/>
          <w:sz w:val="32"/>
          <w:szCs w:val="32"/>
          <w:lang w:val="en-US" w:eastAsia="zh-CN"/>
        </w:rPr>
        <w:t>3.探索创新，持续实现便民惠医、精细化管理以助力三明医改。一是持续优化基层卫生信息化平台（基卫），完善家庭医生签约平台，实现医疗和公卫业务融合应用；二是建立分级诊疗服务平台，搭建双向转诊平台，逐步实现与总医院集成平台的全量数据对接，为总医院业务运行做好支撑；三是推进基层医疗机构门诊、住院病历电子化管理，检验结果自动采集到诊疗、公共卫生健康体检和妇幼健康辅助检查；四是实现医学影像、心电信息和诊断报告数字化处理，实现省、市远程视频会议系统直接联通基层医疗机构，构建远程医疗服务体系，做到“小病进社区，大病进医院”。五是建设医共体一体化监管系统，系统通过以图表形式综合展示信息数据，实现总医院标准化监督管理,实现总医院与基层在医疗业务协同。六是慢病一体化管理系统可实现对慢性病患者进行“分类、分级、分片、分标”可视化管理。</w:t>
      </w:r>
      <w:r>
        <w:rPr>
          <w:rFonts w:hint="eastAsia" w:ascii="仿宋_GB2312" w:hAnsi="Calibri" w:eastAsia="仿宋_GB2312" w:cs="Times New Roman"/>
          <w:b w:val="0"/>
          <w:bCs w:val="0"/>
          <w:kern w:val="0"/>
          <w:sz w:val="32"/>
          <w:szCs w:val="32"/>
          <w:lang w:val="en-US" w:eastAsia="zh-CN" w:bidi="ar"/>
        </w:rPr>
        <w:t>202</w:t>
      </w:r>
      <w:r>
        <w:rPr>
          <w:rFonts w:hint="eastAsia" w:ascii="仿宋_GB2312" w:eastAsia="仿宋_GB2312" w:cs="Times New Roman"/>
          <w:b w:val="0"/>
          <w:bCs w:val="0"/>
          <w:kern w:val="0"/>
          <w:sz w:val="32"/>
          <w:szCs w:val="32"/>
          <w:lang w:val="en-US" w:eastAsia="zh-CN" w:bidi="ar"/>
        </w:rPr>
        <w:t>3</w:t>
      </w:r>
      <w:r>
        <w:rPr>
          <w:rFonts w:hint="eastAsia" w:ascii="仿宋_GB2312" w:hAnsi="Calibri" w:eastAsia="仿宋_GB2312" w:cs="Times New Roman"/>
          <w:b w:val="0"/>
          <w:bCs w:val="0"/>
          <w:kern w:val="0"/>
          <w:sz w:val="32"/>
          <w:szCs w:val="32"/>
          <w:lang w:val="en-US" w:eastAsia="zh-CN" w:bidi="ar"/>
        </w:rPr>
        <w:t>年度</w:t>
      </w:r>
      <w:r>
        <w:rPr>
          <w:rFonts w:hint="eastAsia" w:ascii="仿宋_GB2312" w:eastAsia="仿宋_GB2312" w:cs="Times New Roman"/>
          <w:b w:val="0"/>
          <w:bCs w:val="0"/>
          <w:kern w:val="0"/>
          <w:sz w:val="32"/>
          <w:szCs w:val="32"/>
          <w:lang w:val="en-US" w:eastAsia="zh-CN" w:bidi="ar"/>
        </w:rPr>
        <w:t>医政医改管理</w:t>
      </w:r>
      <w:r>
        <w:rPr>
          <w:rFonts w:hint="eastAsia" w:ascii="仿宋_GB2312" w:hAnsi="Calibri" w:eastAsia="仿宋_GB2312" w:cs="Times New Roman"/>
          <w:b w:val="0"/>
          <w:bCs w:val="0"/>
          <w:kern w:val="0"/>
          <w:sz w:val="32"/>
          <w:szCs w:val="32"/>
          <w:lang w:val="en-US" w:eastAsia="zh-CN" w:bidi="ar"/>
        </w:rPr>
        <w:t>经费为经常性支出项目，预算金额为</w:t>
      </w:r>
      <w:r>
        <w:rPr>
          <w:rFonts w:hint="eastAsia" w:ascii="仿宋_GB2312" w:eastAsia="仿宋_GB2312" w:cs="Times New Roman"/>
          <w:b w:val="0"/>
          <w:bCs w:val="0"/>
          <w:kern w:val="0"/>
          <w:sz w:val="32"/>
          <w:szCs w:val="32"/>
          <w:lang w:val="en-US" w:eastAsia="zh-CN" w:bidi="ar"/>
        </w:rPr>
        <w:t>180</w:t>
      </w:r>
      <w:r>
        <w:rPr>
          <w:rFonts w:hint="eastAsia" w:ascii="仿宋_GB2312" w:hAnsi="Calibri" w:eastAsia="仿宋_GB2312" w:cs="Times New Roman"/>
          <w:b w:val="0"/>
          <w:bCs w:val="0"/>
          <w:kern w:val="0"/>
          <w:sz w:val="32"/>
          <w:szCs w:val="32"/>
          <w:lang w:val="en-US" w:eastAsia="zh-CN" w:bidi="ar"/>
        </w:rPr>
        <w:t>万元。</w:t>
      </w:r>
    </w:p>
    <w:p w14:paraId="6D27D73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三</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绩效目标</w:t>
      </w:r>
    </w:p>
    <w:p w14:paraId="6A504B1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Calibri" w:eastAsia="仿宋_GB2312" w:cs="Times New Roman"/>
          <w:b w:val="0"/>
          <w:bCs w:val="0"/>
          <w:kern w:val="0"/>
          <w:sz w:val="32"/>
          <w:szCs w:val="32"/>
          <w:lang w:val="en-US" w:eastAsia="zh-CN" w:bidi="ar"/>
        </w:rPr>
      </w:pPr>
      <w:r>
        <w:rPr>
          <w:rFonts w:hint="eastAsia" w:ascii="仿宋_GB2312" w:hAnsi="仿宋_GB2312" w:eastAsia="仿宋_GB2312" w:cs="仿宋_GB2312"/>
          <w:b/>
          <w:bCs/>
          <w:color w:val="000000"/>
          <w:sz w:val="32"/>
          <w:szCs w:val="32"/>
          <w:lang w:val="en-US" w:eastAsia="zh-CN"/>
        </w:rPr>
        <w:t>总体目标：</w:t>
      </w:r>
      <w:r>
        <w:rPr>
          <w:rFonts w:hint="eastAsia" w:ascii="仿宋_GB2312" w:hAnsi="Times New Roman" w:eastAsia="仿宋_GB2312" w:cs="Times New Roman"/>
          <w:sz w:val="32"/>
          <w:szCs w:val="32"/>
        </w:rPr>
        <w:t>持续深化医药卫生体制改革，激发医疗服务质量快速提升。结合实际全面推广三明医改经验，继续推动新区第一人民医院和秦川中心卫生院紧密型县域医共体试点工作，以“保基本、强基层、建机制”为目标，建立一个责任、管理、服务、利益“四位一体”的紧密型县域医共体，推动优质医疗卫生资源下沉。让老百姓在家门口就近享受县级以上质优价廉医疗服务的目的。</w:t>
      </w:r>
    </w:p>
    <w:p w14:paraId="535C7A6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四</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项目预算情况</w:t>
      </w:r>
    </w:p>
    <w:p w14:paraId="4BE5BFB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default"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该项目年初预算180万元，全部为新区预算资金。</w:t>
      </w:r>
    </w:p>
    <w:p w14:paraId="7143C52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二、监控结论及分析</w:t>
      </w:r>
    </w:p>
    <w:p w14:paraId="5A9A60E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default"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eastAsia="zh-CN"/>
        </w:rPr>
        <w:t>（一）项目管理情况</w:t>
      </w:r>
    </w:p>
    <w:p w14:paraId="64F4C95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olor w:val="auto"/>
          <w:sz w:val="32"/>
          <w:lang w:val="zh-CN"/>
        </w:rPr>
      </w:pPr>
      <w:r>
        <w:rPr>
          <w:rFonts w:hint="eastAsia" w:ascii="仿宋_GB2312" w:hAnsi="仿宋_GB2312" w:eastAsia="仿宋_GB2312"/>
          <w:color w:val="auto"/>
          <w:sz w:val="32"/>
        </w:rPr>
        <w:t>本项目严格按照《财政预算项目资金管理办法》和相关政策规定执行，项目资金使用从申请、复核、审核、批复等各环节操作程序到位，手续齐全，符合《财政专项资金管理办法》和相关政策规定。</w:t>
      </w:r>
    </w:p>
    <w:p w14:paraId="253BF39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hint="eastAsia" w:ascii="楷体" w:hAnsi="楷体" w:eastAsia="楷体" w:cs="楷体"/>
          <w:i w:val="0"/>
          <w:caps w:val="0"/>
          <w:color w:val="333333"/>
          <w:spacing w:val="0"/>
          <w:sz w:val="32"/>
          <w:szCs w:val="32"/>
          <w:shd w:val="clear" w:color="auto" w:fill="FFFFFF"/>
          <w:lang w:eastAsia="zh-CN"/>
        </w:rPr>
        <w:t>（二）预算执行情况</w:t>
      </w:r>
    </w:p>
    <w:p w14:paraId="457459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eastAsia="仿宋_GB2312"/>
          <w:sz w:val="32"/>
          <w:szCs w:val="32"/>
          <w:lang w:eastAsia="zh-CN"/>
        </w:rPr>
        <w:t>积极从省卫生健康委争取医改经费</w:t>
      </w:r>
      <w:r>
        <w:rPr>
          <w:rFonts w:hint="eastAsia" w:ascii="仿宋_GB2312" w:eastAsia="仿宋_GB2312"/>
          <w:sz w:val="32"/>
          <w:szCs w:val="32"/>
          <w:lang w:val="en-US" w:eastAsia="zh-CN"/>
        </w:rPr>
        <w:t>203万元，为了节约本级财政资金，此项资金已调整，工作已完成</w:t>
      </w:r>
      <w:r>
        <w:rPr>
          <w:rFonts w:hint="eastAsia" w:ascii="仿宋_GB2312" w:hAnsi="Times New Roman" w:eastAsia="仿宋_GB2312" w:cs="Times New Roman"/>
          <w:sz w:val="32"/>
          <w:szCs w:val="32"/>
        </w:rPr>
        <w:t>。</w:t>
      </w:r>
    </w:p>
    <w:p w14:paraId="7047D13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firstLine="640" w:firstLineChars="200"/>
        <w:jc w:val="both"/>
        <w:rPr>
          <w:rFonts w:hint="eastAsia" w:ascii="楷体" w:hAnsi="楷体" w:eastAsia="楷体" w:cs="楷体"/>
          <w:i w:val="0"/>
          <w:caps w:val="0"/>
          <w:color w:val="333333"/>
          <w:spacing w:val="0"/>
          <w:sz w:val="32"/>
          <w:szCs w:val="32"/>
          <w:shd w:val="clear" w:color="auto" w:fill="FFFFFF"/>
          <w:lang w:eastAsia="zh-CN"/>
        </w:rPr>
      </w:pPr>
      <w:r>
        <w:rPr>
          <w:rFonts w:hint="eastAsia" w:ascii="楷体" w:hAnsi="楷体" w:eastAsia="楷体" w:cs="楷体"/>
          <w:i w:val="0"/>
          <w:caps w:val="0"/>
          <w:color w:val="333333"/>
          <w:spacing w:val="0"/>
          <w:sz w:val="32"/>
          <w:szCs w:val="32"/>
          <w:shd w:val="clear" w:color="auto" w:fill="FFFFFF"/>
          <w:lang w:eastAsia="zh-CN"/>
        </w:rPr>
        <w:t>（三）绩效目标完成情况</w:t>
      </w:r>
    </w:p>
    <w:p w14:paraId="3BE9E90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1.产出指标完成情况</w:t>
      </w:r>
    </w:p>
    <w:p w14:paraId="66CED83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（1）数量指标</w:t>
      </w:r>
    </w:p>
    <w:p w14:paraId="5AC2AD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医疗业务高质量发展。</w:t>
      </w:r>
      <w:r>
        <w:rPr>
          <w:rFonts w:hint="eastAsia" w:ascii="仿宋_GB2312" w:eastAsia="仿宋_GB2312" w:cs="Times New Roman"/>
          <w:color w:val="auto"/>
          <w:sz w:val="32"/>
          <w:szCs w:val="32"/>
          <w:lang w:val="en-US" w:eastAsia="zh-CN"/>
        </w:rPr>
        <w:t>2023年新区委属公立医疗机构门诊总量63.7万人次，较去年同期46.17万人次上升37.95%；住院患者总数24084人次，较去年同期15856人次增长51.81%。其中，第一人民医院门诊29.01万人次，同比上升0.97%；住院14321人次，同比增长14.84%。各基层医疗机构门诊总量34.68万人次，同比上升98.91%；住院患者9763人次，同比增长187.57%，住院次均费用下降22%。大病重病患者向区内回流、常见多发病向基层回流的趋势愈发明显，基层医疗机构首诊率明显增加。</w:t>
      </w:r>
    </w:p>
    <w:p w14:paraId="3721C89E">
      <w:pPr>
        <w:keepNext w:val="0"/>
        <w:keepLines w:val="0"/>
        <w:pageBreakBefore w:val="0"/>
        <w:kinsoku/>
        <w:wordWrap/>
        <w:overflowPunct/>
        <w:topLinePunct w:val="0"/>
        <w:autoSpaceDE/>
        <w:autoSpaceDN/>
        <w:bidi w:val="0"/>
        <w:adjustRightInd/>
        <w:snapToGrid/>
        <w:spacing w:before="0" w:beforeAutospacing="0" w:after="0" w:afterAutospacing="0" w:line="640" w:lineRule="exact"/>
        <w:ind w:firstLine="640" w:firstLineChars="200"/>
        <w:jc w:val="both"/>
        <w:textAlignment w:val="baseline"/>
        <w:rPr>
          <w:rFonts w:hint="eastAsia" w:ascii="仿宋_GB2312" w:hAnsi="仿宋_GB2312" w:eastAsia="仿宋_GB2312" w:cs="仿宋_GB2312"/>
          <w:sz w:val="32"/>
          <w:szCs w:val="32"/>
        </w:rPr>
      </w:pPr>
      <w:r>
        <w:rPr>
          <w:rFonts w:hint="eastAsia" w:ascii="楷体" w:hAnsi="楷体" w:eastAsia="楷体" w:cs="楷体"/>
          <w:color w:val="auto"/>
          <w:sz w:val="32"/>
          <w:szCs w:val="32"/>
          <w:lang w:val="en-US" w:eastAsia="zh-CN"/>
        </w:rPr>
        <w:t>全面推进医共体建设。</w:t>
      </w:r>
      <w:r>
        <w:rPr>
          <w:rFonts w:hint="eastAsia" w:ascii="仿宋_GB2312" w:hAnsi="仿宋_GB2312" w:eastAsia="仿宋_GB2312" w:cs="仿宋_GB2312"/>
          <w:b/>
          <w:bCs/>
          <w:color w:val="auto"/>
          <w:kern w:val="2"/>
          <w:sz w:val="32"/>
          <w:szCs w:val="32"/>
          <w:u w:val="none"/>
          <w:lang w:val="en-US" w:eastAsia="zh-CN" w:bidi="ar-SA"/>
        </w:rPr>
        <w:t>一是</w:t>
      </w:r>
      <w:r>
        <w:rPr>
          <w:rFonts w:hint="eastAsia" w:ascii="仿宋_GB2312" w:eastAsia="仿宋_GB2312" w:cs="Times New Roman"/>
          <w:color w:val="auto"/>
          <w:sz w:val="32"/>
          <w:szCs w:val="32"/>
          <w:lang w:val="en-US" w:eastAsia="zh-CN"/>
        </w:rPr>
        <w:t>在总结新区第一人民医院和秦川中心卫生院试点经验的基础上全面推开新区紧密型医共体建设，</w:t>
      </w:r>
      <w:r>
        <w:rPr>
          <w:rFonts w:hint="eastAsia" w:ascii="仿宋_GB2312" w:hAnsi="仿宋_GB2312" w:eastAsia="仿宋_GB2312" w:cs="仿宋_GB2312"/>
          <w:sz w:val="32"/>
          <w:szCs w:val="32"/>
          <w:lang w:val="en-US" w:eastAsia="zh-CN"/>
        </w:rPr>
        <w:t>将</w:t>
      </w:r>
      <w:r>
        <w:rPr>
          <w:rFonts w:hint="default" w:ascii="Times New Roman" w:hAnsi="Times New Roman" w:eastAsia="仿宋_GB2312" w:cs="Times New Roman"/>
          <w:kern w:val="2"/>
          <w:sz w:val="32"/>
          <w:szCs w:val="32"/>
          <w:lang w:val="en-US" w:eastAsia="zh-CN" w:bidi="ar-SA"/>
        </w:rPr>
        <w:t>8</w:t>
      </w:r>
      <w:r>
        <w:rPr>
          <w:rFonts w:hint="eastAsia" w:ascii="仿宋_GB2312" w:hAnsi="仿宋_GB2312" w:eastAsia="仿宋_GB2312" w:cs="仿宋_GB2312"/>
          <w:sz w:val="32"/>
          <w:szCs w:val="32"/>
          <w:lang w:val="en-US" w:eastAsia="zh-CN"/>
        </w:rPr>
        <w:t>个基层医疗机构全部纳入医共体建设范围，通过优质医疗资源、人才、技术“三下沉”，实现基层服务能力、诊疗水平、群众满意度“三提升”。</w:t>
      </w:r>
      <w:r>
        <w:rPr>
          <w:rFonts w:hint="eastAsia" w:ascii="仿宋_GB2312" w:hAnsi="仿宋_GB2312" w:eastAsia="仿宋_GB2312" w:cs="仿宋_GB2312"/>
          <w:b/>
          <w:bCs/>
          <w:color w:val="auto"/>
          <w:kern w:val="2"/>
          <w:sz w:val="32"/>
          <w:szCs w:val="32"/>
          <w:u w:val="none"/>
          <w:lang w:val="en-US" w:eastAsia="zh-CN" w:bidi="ar-SA"/>
        </w:rPr>
        <w:t>二是</w:t>
      </w:r>
      <w:r>
        <w:rPr>
          <w:rFonts w:hint="eastAsia" w:ascii="仿宋_GB2312" w:hAnsi="仿宋_GB2312" w:eastAsia="仿宋_GB2312" w:cs="仿宋_GB2312"/>
          <w:sz w:val="32"/>
          <w:szCs w:val="32"/>
          <w:lang w:val="en-US" w:eastAsia="zh-CN"/>
        </w:rPr>
        <w:t>下沉二级病种</w:t>
      </w:r>
      <w:r>
        <w:rPr>
          <w:rFonts w:hint="default" w:ascii="Times New Roman" w:hAnsi="Times New Roman" w:eastAsia="仿宋_GB2312" w:cs="Times New Roman"/>
          <w:kern w:val="2"/>
          <w:sz w:val="32"/>
          <w:szCs w:val="32"/>
          <w:lang w:val="en-US" w:eastAsia="zh-CN" w:bidi="ar-SA"/>
        </w:rPr>
        <w:t>139</w:t>
      </w:r>
      <w:r>
        <w:rPr>
          <w:rFonts w:hint="eastAsia" w:ascii="仿宋_GB2312" w:hAnsi="仿宋_GB2312" w:eastAsia="仿宋_GB2312" w:cs="仿宋_GB2312"/>
          <w:sz w:val="32"/>
          <w:szCs w:val="32"/>
          <w:lang w:val="en-US" w:eastAsia="zh-CN"/>
        </w:rPr>
        <w:t>种、药品</w:t>
      </w:r>
      <w:r>
        <w:rPr>
          <w:rFonts w:hint="default" w:ascii="Times New Roman" w:hAnsi="Times New Roman" w:eastAsia="仿宋_GB2312" w:cs="Times New Roman"/>
          <w:kern w:val="2"/>
          <w:sz w:val="32"/>
          <w:szCs w:val="32"/>
          <w:lang w:val="en-US" w:eastAsia="zh-CN" w:bidi="ar-SA"/>
        </w:rPr>
        <w:t>246</w:t>
      </w:r>
      <w:r>
        <w:rPr>
          <w:rFonts w:hint="eastAsia" w:ascii="仿宋_GB2312" w:hAnsi="仿宋_GB2312" w:eastAsia="仿宋_GB2312" w:cs="仿宋_GB2312"/>
          <w:sz w:val="32"/>
          <w:szCs w:val="32"/>
          <w:lang w:val="en-US" w:eastAsia="zh-CN"/>
        </w:rPr>
        <w:t>种；派出专家</w:t>
      </w:r>
      <w:r>
        <w:rPr>
          <w:rFonts w:hint="default" w:ascii="Times New Roman" w:hAnsi="Times New Roman" w:eastAsia="仿宋_GB2312" w:cs="Times New Roman"/>
          <w:kern w:val="2"/>
          <w:sz w:val="32"/>
          <w:szCs w:val="32"/>
          <w:lang w:val="en-US" w:eastAsia="zh-CN" w:bidi="ar-SA"/>
        </w:rPr>
        <w:t>711</w:t>
      </w:r>
      <w:r>
        <w:rPr>
          <w:rFonts w:hint="eastAsia" w:ascii="仿宋_GB2312" w:hAnsi="仿宋_GB2312" w:eastAsia="仿宋_GB2312" w:cs="仿宋_GB2312"/>
          <w:sz w:val="32"/>
          <w:szCs w:val="32"/>
          <w:lang w:val="en-US" w:eastAsia="zh-CN"/>
        </w:rPr>
        <w:t>人次，门诊接诊患者</w:t>
      </w:r>
      <w:r>
        <w:rPr>
          <w:rFonts w:hint="default" w:ascii="Times New Roman" w:hAnsi="Times New Roman" w:eastAsia="仿宋_GB2312" w:cs="Times New Roman"/>
          <w:kern w:val="2"/>
          <w:sz w:val="32"/>
          <w:szCs w:val="32"/>
          <w:lang w:val="en-US" w:eastAsia="zh-CN" w:bidi="ar-SA"/>
        </w:rPr>
        <w:t>4520</w:t>
      </w:r>
      <w:r>
        <w:rPr>
          <w:rFonts w:hint="eastAsia" w:ascii="仿宋_GB2312" w:hAnsi="仿宋_GB2312" w:eastAsia="仿宋_GB2312" w:cs="仿宋_GB2312"/>
          <w:sz w:val="32"/>
          <w:szCs w:val="32"/>
          <w:lang w:val="en-US" w:eastAsia="zh-CN"/>
        </w:rPr>
        <w:t>人次，上转患者</w:t>
      </w:r>
      <w:r>
        <w:rPr>
          <w:rFonts w:hint="default" w:ascii="Times New Roman" w:hAnsi="Times New Roman" w:eastAsia="仿宋_GB2312" w:cs="Times New Roman"/>
          <w:kern w:val="2"/>
          <w:sz w:val="32"/>
          <w:szCs w:val="32"/>
          <w:lang w:val="en-US" w:eastAsia="zh-CN" w:bidi="ar-SA"/>
        </w:rPr>
        <w:t>1432</w:t>
      </w:r>
      <w:r>
        <w:rPr>
          <w:rFonts w:hint="eastAsia" w:ascii="仿宋_GB2312" w:hAnsi="仿宋_GB2312" w:eastAsia="仿宋_GB2312" w:cs="仿宋_GB2312"/>
          <w:sz w:val="32"/>
          <w:szCs w:val="32"/>
          <w:lang w:val="en-US" w:eastAsia="zh-CN"/>
        </w:rPr>
        <w:t>人次、下转患者</w:t>
      </w:r>
      <w:r>
        <w:rPr>
          <w:rFonts w:hint="default" w:ascii="Times New Roman" w:hAnsi="Times New Roman" w:eastAsia="仿宋_GB2312" w:cs="Times New Roman"/>
          <w:kern w:val="2"/>
          <w:sz w:val="32"/>
          <w:szCs w:val="32"/>
          <w:lang w:val="en-US" w:eastAsia="zh-CN" w:bidi="ar-SA"/>
        </w:rPr>
        <w:t>2769</w:t>
      </w:r>
      <w:r>
        <w:rPr>
          <w:rFonts w:hint="eastAsia" w:ascii="仿宋_GB2312" w:hAnsi="仿宋_GB2312" w:eastAsia="仿宋_GB2312" w:cs="仿宋_GB2312"/>
          <w:sz w:val="32"/>
          <w:szCs w:val="32"/>
          <w:lang w:val="en-US" w:eastAsia="zh-CN"/>
        </w:rPr>
        <w:t>人次，构建了“基层首诊、双向转诊、急慢分治、上下联动”的分级诊疗就医新格局。</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color w:val="auto"/>
          <w:kern w:val="2"/>
          <w:sz w:val="32"/>
          <w:szCs w:val="32"/>
          <w:u w:val="none"/>
          <w:lang w:val="en-US" w:eastAsia="zh-CN" w:bidi="ar-SA"/>
        </w:rPr>
        <w:t>是</w:t>
      </w:r>
      <w:r>
        <w:rPr>
          <w:rFonts w:hint="eastAsia" w:ascii="仿宋_GB2312" w:hAnsi="仿宋_GB2312" w:eastAsia="仿宋_GB2312" w:cs="仿宋_GB2312"/>
          <w:b w:val="0"/>
          <w:bCs w:val="0"/>
          <w:sz w:val="32"/>
          <w:szCs w:val="32"/>
          <w:lang w:val="en-US" w:eastAsia="zh-CN"/>
        </w:rPr>
        <w:t>病人在新区公立医院住院费用“三降一升”（在住院次均费下降的基础上，个人自付比例和费用双下降、医保报销比例提高），公立医疗机构住院次均费用由2022年的3449.90元下降到2023年的2983.33元，下降13.52%，住院患者个人自付次均费用由2022年的958.54元下降到2023年的770.19元，下降19.65%。医保报销平均占比从2022年的72.22%上升至2023年的74.18%，上升1.97个百分点，个人自付平均占比从2022年的27.78下降至2023年的25.82%。实现了“大病不出区、小病就近看、未病共同防、服务更优质、群众得实惠、社会反响好”的目标。</w:t>
      </w:r>
    </w:p>
    <w:p w14:paraId="4024C9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highlight w:val="none"/>
          <w:lang w:val="en-US" w:eastAsia="zh-CN"/>
        </w:rPr>
      </w:pPr>
      <w:r>
        <w:rPr>
          <w:rFonts w:hint="eastAsia" w:ascii="楷体" w:hAnsi="楷体" w:eastAsia="楷体" w:cs="楷体"/>
          <w:color w:val="auto"/>
          <w:sz w:val="32"/>
          <w:szCs w:val="32"/>
          <w:lang w:val="en-US" w:eastAsia="zh-CN"/>
        </w:rPr>
        <w:t>高标准建设重点学科。</w:t>
      </w:r>
      <w:r>
        <w:rPr>
          <w:rFonts w:hint="eastAsia" w:ascii="仿宋_GB2312" w:hAnsi="仿宋_GB2312" w:eastAsia="仿宋_GB2312" w:cs="仿宋_GB2312"/>
          <w:b/>
          <w:bCs/>
          <w:color w:val="auto"/>
          <w:kern w:val="2"/>
          <w:sz w:val="32"/>
          <w:szCs w:val="32"/>
          <w:u w:val="none"/>
          <w:lang w:val="en-US" w:eastAsia="zh-CN" w:bidi="ar-SA"/>
        </w:rPr>
        <w:t>一是</w:t>
      </w:r>
      <w:r>
        <w:rPr>
          <w:rFonts w:hint="eastAsia" w:ascii="仿宋_GB2312" w:hAnsi="仿宋_GB2312" w:eastAsia="仿宋_GB2312" w:cs="仿宋_GB2312"/>
          <w:color w:val="auto"/>
          <w:kern w:val="2"/>
          <w:sz w:val="32"/>
          <w:szCs w:val="32"/>
          <w:u w:val="none"/>
          <w:lang w:val="en-US" w:eastAsia="zh-CN" w:bidi="ar-SA"/>
        </w:rPr>
        <w:t>强力推进重点学科及特色科室建设。</w:t>
      </w:r>
      <w:r>
        <w:rPr>
          <w:rFonts w:hint="eastAsia" w:ascii="仿宋_GB2312" w:hAnsi="仿宋_GB2312" w:eastAsia="仿宋_GB2312" w:cs="仿宋_GB2312"/>
          <w:b w:val="0"/>
          <w:bCs w:val="0"/>
          <w:sz w:val="32"/>
          <w:szCs w:val="32"/>
          <w:lang w:val="en-US" w:eastAsia="zh-CN"/>
        </w:rPr>
        <w:t>新区第一人民医院打造</w:t>
      </w:r>
      <w:r>
        <w:rPr>
          <w:rFonts w:hint="default" w:ascii="Times New Roman" w:hAnsi="Times New Roman" w:eastAsia="仿宋_GB2312" w:cs="Times New Roman"/>
          <w:kern w:val="2"/>
          <w:sz w:val="32"/>
          <w:szCs w:val="32"/>
          <w:lang w:val="en-US" w:eastAsia="zh-CN" w:bidi="ar-SA"/>
        </w:rPr>
        <w:t>6</w:t>
      </w:r>
      <w:r>
        <w:rPr>
          <w:rFonts w:hint="eastAsia" w:ascii="仿宋_GB2312" w:hAnsi="仿宋_GB2312" w:eastAsia="仿宋_GB2312" w:cs="仿宋_GB2312"/>
          <w:sz w:val="32"/>
          <w:szCs w:val="32"/>
          <w:lang w:val="en-US" w:eastAsia="zh-CN"/>
        </w:rPr>
        <w:t>个市级重点专科</w:t>
      </w:r>
      <w:r>
        <w:rPr>
          <w:rFonts w:hint="eastAsia" w:ascii="仿宋_GB2312" w:hAnsi="仿宋_GB2312" w:eastAsia="仿宋_GB2312" w:cs="仿宋_GB2312"/>
          <w:color w:val="auto"/>
          <w:kern w:val="2"/>
          <w:sz w:val="32"/>
          <w:szCs w:val="32"/>
          <w:u w:val="none"/>
          <w:lang w:val="en-US" w:eastAsia="zh-CN" w:bidi="ar-SA"/>
        </w:rPr>
        <w:t>（呼吸内分泌科、心血管神经内科、普外科、骨科、妇产科、儿科）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kern w:val="2"/>
          <w:sz w:val="32"/>
          <w:szCs w:val="32"/>
          <w:u w:val="none"/>
          <w:lang w:val="en-US" w:eastAsia="zh-CN" w:bidi="ar-SA"/>
        </w:rPr>
        <w:t>各基层医疗机构打造2个特色专科，</w:t>
      </w:r>
      <w:r>
        <w:rPr>
          <w:rFonts w:hint="eastAsia" w:ascii="仿宋_GB2312" w:eastAsia="仿宋_GB2312"/>
          <w:color w:val="auto"/>
          <w:sz w:val="32"/>
          <w:szCs w:val="32"/>
          <w:lang w:eastAsia="zh-CN"/>
        </w:rPr>
        <w:t>组织兰大一院、兰大二院相关专家对</w:t>
      </w:r>
      <w:r>
        <w:rPr>
          <w:rFonts w:hint="eastAsia" w:ascii="仿宋_GB2312" w:eastAsia="仿宋_GB2312"/>
          <w:color w:val="auto"/>
          <w:sz w:val="32"/>
          <w:szCs w:val="32"/>
          <w:lang w:val="en-US" w:eastAsia="zh-CN"/>
        </w:rPr>
        <w:t>6个</w:t>
      </w:r>
      <w:r>
        <w:rPr>
          <w:rFonts w:hint="eastAsia" w:ascii="仿宋_GB2312" w:eastAsia="仿宋_GB2312"/>
          <w:color w:val="auto"/>
          <w:sz w:val="32"/>
          <w:szCs w:val="32"/>
          <w:lang w:val="en-US"/>
        </w:rPr>
        <w:t>临床重点</w:t>
      </w:r>
      <w:r>
        <w:rPr>
          <w:rFonts w:hint="eastAsia" w:ascii="仿宋_GB2312" w:eastAsia="仿宋_GB2312"/>
          <w:color w:val="auto"/>
          <w:sz w:val="32"/>
          <w:szCs w:val="32"/>
          <w:lang w:val="en-US" w:eastAsia="zh-CN"/>
        </w:rPr>
        <w:t>专科于9月底前</w:t>
      </w:r>
      <w:r>
        <w:rPr>
          <w:rFonts w:hint="eastAsia" w:ascii="仿宋_GB2312" w:eastAsia="仿宋_GB2312"/>
          <w:color w:val="auto"/>
          <w:sz w:val="32"/>
          <w:szCs w:val="32"/>
        </w:rPr>
        <w:t>进行</w:t>
      </w:r>
      <w:r>
        <w:rPr>
          <w:rFonts w:hint="eastAsia" w:ascii="仿宋_GB2312" w:eastAsia="仿宋_GB2312"/>
          <w:color w:val="auto"/>
          <w:sz w:val="32"/>
          <w:szCs w:val="32"/>
          <w:lang w:eastAsia="zh-CN"/>
        </w:rPr>
        <w:t>验收并完成整改，组织</w:t>
      </w:r>
      <w:r>
        <w:rPr>
          <w:rFonts w:hint="eastAsia" w:ascii="仿宋_GB2312" w:eastAsia="仿宋_GB2312"/>
          <w:color w:val="auto"/>
          <w:sz w:val="32"/>
          <w:szCs w:val="32"/>
        </w:rPr>
        <w:t>新区</w:t>
      </w:r>
      <w:r>
        <w:rPr>
          <w:rFonts w:hint="eastAsia" w:ascii="仿宋_GB2312" w:eastAsia="仿宋_GB2312"/>
          <w:color w:val="auto"/>
          <w:sz w:val="32"/>
          <w:szCs w:val="32"/>
          <w:lang w:eastAsia="zh-CN"/>
        </w:rPr>
        <w:t>第一人民医院相关专家</w:t>
      </w:r>
      <w:r>
        <w:rPr>
          <w:rFonts w:hint="eastAsia" w:ascii="仿宋_GB2312" w:hAnsi="仿宋_GB2312" w:eastAsia="仿宋_GB2312" w:cs="仿宋_GB2312"/>
          <w:color w:val="auto"/>
          <w:kern w:val="2"/>
          <w:sz w:val="32"/>
          <w:szCs w:val="32"/>
          <w:u w:val="none"/>
          <w:lang w:val="en-US" w:eastAsia="zh-CN" w:bidi="ar-SA"/>
        </w:rPr>
        <w:t>对16个特色专科于9月中旬前全部完成验收</w:t>
      </w:r>
      <w:r>
        <w:rPr>
          <w:rFonts w:hint="eastAsia" w:ascii="仿宋_GB2312" w:eastAsia="仿宋_GB2312"/>
          <w:color w:val="auto"/>
          <w:sz w:val="32"/>
          <w:szCs w:val="32"/>
          <w:lang w:eastAsia="zh-CN"/>
        </w:rPr>
        <w:t>并完成整改</w:t>
      </w:r>
      <w:r>
        <w:rPr>
          <w:rFonts w:hint="eastAsia"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全面落实“乡检查、县诊断、乡治疗”，影像、心电、检验、病理、消供</w:t>
      </w:r>
      <w:r>
        <w:rPr>
          <w:rFonts w:hint="default" w:ascii="Times New Roman" w:hAnsi="Times New Roman" w:eastAsia="仿宋_GB2312" w:cs="Times New Roman"/>
          <w:kern w:val="2"/>
          <w:sz w:val="32"/>
          <w:szCs w:val="32"/>
          <w:lang w:val="en-US" w:eastAsia="zh-CN" w:bidi="ar-SA"/>
        </w:rPr>
        <w:t>5</w:t>
      </w:r>
      <w:r>
        <w:rPr>
          <w:rFonts w:hint="eastAsia" w:ascii="仿宋_GB2312" w:hAnsi="仿宋_GB2312" w:eastAsia="仿宋_GB2312" w:cs="仿宋_GB2312"/>
          <w:sz w:val="32"/>
          <w:szCs w:val="32"/>
          <w:lang w:val="en-US" w:eastAsia="zh-CN"/>
        </w:rPr>
        <w:t>大县域医学中心互联互通且</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kern w:val="2"/>
          <w:sz w:val="32"/>
          <w:szCs w:val="32"/>
          <w:lang w:val="en-US" w:eastAsia="zh-CN" w:bidi="ar-SA"/>
        </w:rPr>
        <w:t>00</w:t>
      </w:r>
      <w:r>
        <w:rPr>
          <w:rFonts w:hint="eastAsia" w:ascii="仿宋_GB2312" w:hAnsi="仿宋_GB2312" w:eastAsia="仿宋_GB2312" w:cs="仿宋_GB2312"/>
          <w:sz w:val="32"/>
          <w:szCs w:val="32"/>
          <w:lang w:val="en-US" w:eastAsia="zh-CN"/>
        </w:rPr>
        <w:t>%出具报告，其中</w:t>
      </w:r>
      <w:r>
        <w:rPr>
          <w:rFonts w:hint="eastAsia" w:ascii="仿宋_GB2312" w:eastAsia="仿宋_GB2312"/>
          <w:color w:val="auto"/>
          <w:sz w:val="32"/>
          <w:szCs w:val="32"/>
          <w:highlight w:val="none"/>
          <w:lang w:val="en-US" w:eastAsia="zh-CN"/>
        </w:rPr>
        <w:t>心电中心接收诊断申请并出具报告4583份，影像中心接收诊断申请并出具报告4505份（其中CT2947份，DR1558份），检验中心接收样本并出具报告6013份，病理中心接收标本并出具病理报告5份</w:t>
      </w:r>
      <w:r>
        <w:rPr>
          <w:rFonts w:hint="eastAsia" w:ascii="仿宋_GB2312" w:hAnsi="仿宋_GB2312" w:eastAsia="仿宋_GB2312" w:cs="仿宋_GB2312"/>
          <w:sz w:val="32"/>
          <w:szCs w:val="32"/>
          <w:lang w:val="en-US" w:eastAsia="zh-CN"/>
        </w:rPr>
        <w:t>。检验、心电和影像中心与辖区乡镇卫生院连接使用覆盖率</w:t>
      </w:r>
      <w:r>
        <w:rPr>
          <w:rFonts w:hint="default" w:ascii="Times New Roman" w:hAnsi="Times New Roman" w:eastAsia="仿宋_GB2312" w:cs="Times New Roman"/>
          <w:kern w:val="2"/>
          <w:sz w:val="32"/>
          <w:szCs w:val="32"/>
          <w:lang w:val="en-US" w:eastAsia="zh-CN" w:bidi="ar-SA"/>
        </w:rPr>
        <w:t>100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highlight w:val="none"/>
          <w:lang w:val="en-US" w:eastAsia="zh-CN"/>
        </w:rPr>
        <w:t>新区第一人民医院</w:t>
      </w:r>
      <w:r>
        <w:rPr>
          <w:rFonts w:hint="eastAsia" w:ascii="仿宋_GB2312" w:eastAsia="仿宋_GB2312"/>
          <w:color w:val="auto"/>
          <w:sz w:val="32"/>
          <w:szCs w:val="32"/>
          <w:highlight w:val="none"/>
          <w:lang w:val="en-US" w:eastAsia="zh-CN"/>
        </w:rPr>
        <w:t>已完成省内检查、检验结果互认项目</w:t>
      </w:r>
      <w:r>
        <w:rPr>
          <w:rFonts w:hint="default" w:ascii="Times New Roman" w:hAnsi="Times New Roman" w:eastAsia="仿宋_GB2312" w:cs="Times New Roman"/>
          <w:kern w:val="2"/>
          <w:sz w:val="32"/>
          <w:szCs w:val="32"/>
          <w:lang w:val="en-US" w:eastAsia="zh-CN" w:bidi="ar-SA"/>
        </w:rPr>
        <w:t>100</w:t>
      </w:r>
      <w:r>
        <w:rPr>
          <w:rFonts w:hint="eastAsia" w:ascii="仿宋_GB2312" w:hAnsi="仿宋_GB2312" w:eastAsia="仿宋_GB2312" w:cs="仿宋_GB2312"/>
          <w:color w:val="auto"/>
          <w:sz w:val="32"/>
          <w:szCs w:val="32"/>
          <w:highlight w:val="none"/>
          <w:lang w:val="en-US" w:eastAsia="zh-CN"/>
        </w:rPr>
        <w:t>项（</w:t>
      </w:r>
      <w:r>
        <w:rPr>
          <w:rFonts w:hint="eastAsia" w:ascii="仿宋_GB2312" w:eastAsia="仿宋_GB2312"/>
          <w:color w:val="auto"/>
          <w:sz w:val="32"/>
          <w:szCs w:val="32"/>
          <w:highlight w:val="none"/>
          <w:lang w:val="en-US" w:eastAsia="zh-CN"/>
        </w:rPr>
        <w:t>检验结果50项，放射25项，超声25项</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color w:val="auto"/>
          <w:kern w:val="2"/>
          <w:sz w:val="32"/>
          <w:szCs w:val="32"/>
          <w:u w:val="none"/>
          <w:lang w:val="en-US" w:eastAsia="zh-CN" w:bidi="ar-SA"/>
        </w:rPr>
        <w:t>“五大救治中心”建成使用，</w:t>
      </w:r>
      <w:r>
        <w:rPr>
          <w:rFonts w:hint="eastAsia" w:ascii="仿宋_GB2312" w:hAnsi="仿宋_GB2312" w:eastAsia="仿宋_GB2312" w:cs="仿宋_GB2312"/>
          <w:sz w:val="32"/>
          <w:szCs w:val="32"/>
          <w:lang w:val="en-US" w:eastAsia="zh-CN"/>
        </w:rPr>
        <w:t>卒中和创伤中心通过省级验收；危重新生儿救治、危重孕产妇救治中心通过市级验收；胸痛中心通过省级预检</w:t>
      </w:r>
      <w:r>
        <w:rPr>
          <w:rFonts w:hint="eastAsia" w:ascii="仿宋_GB2312" w:eastAsia="仿宋_GB2312"/>
          <w:color w:val="auto"/>
          <w:sz w:val="32"/>
          <w:szCs w:val="32"/>
          <w:highlight w:val="none"/>
          <w:lang w:val="en-US" w:eastAsia="zh-CN"/>
        </w:rPr>
        <w:t>，2024年1月25日接受国家验收。胸痛中心累计上传病例377例，发现STE</w:t>
      </w:r>
      <w:r>
        <w:rPr>
          <w:rFonts w:hint="eastAsia" w:ascii="仿宋_GB2312" w:hAnsi="仿宋_GB2312" w:eastAsia="仿宋_GB2312" w:cs="仿宋_GB2312"/>
          <w:sz w:val="32"/>
          <w:szCs w:val="32"/>
          <w:lang w:val="en-US" w:eastAsia="zh-CN"/>
        </w:rPr>
        <w:t>MI（ST段抬高型心肌梗死）共49人次，溶栓30人次；卒中中心共接诊患者306人，卒中累计溶栓52例，直报平台录入静脉溶栓病</w:t>
      </w:r>
      <w:r>
        <w:rPr>
          <w:rFonts w:hint="eastAsia" w:ascii="仿宋_GB2312" w:eastAsia="仿宋_GB2312"/>
          <w:color w:val="auto"/>
          <w:sz w:val="32"/>
          <w:szCs w:val="32"/>
          <w:highlight w:val="none"/>
          <w:lang w:val="en-US" w:eastAsia="zh-CN"/>
        </w:rPr>
        <w:t>例48例，4例急诊科溶栓后上转，脑出血病例19例，平均DNT时间45分钟。</w:t>
      </w:r>
    </w:p>
    <w:p w14:paraId="70F2CCEF">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color w:val="auto"/>
          <w:sz w:val="32"/>
          <w:szCs w:val="32"/>
          <w:lang w:val="en-US" w:eastAsia="zh-CN"/>
        </w:rPr>
        <w:t>加快专业人员科教培训。</w:t>
      </w:r>
      <w:r>
        <w:rPr>
          <w:rFonts w:hint="eastAsia" w:ascii="仿宋_GB2312" w:eastAsia="仿宋_GB2312" w:cs="Times New Roman"/>
          <w:color w:val="auto"/>
          <w:sz w:val="32"/>
          <w:szCs w:val="32"/>
          <w:rtl w:val="0"/>
          <w:lang w:val="en-US" w:eastAsia="zh-CN"/>
        </w:rPr>
        <w:t>各医疗机构累计派出省内外各类进修(规培)139人次，其中省外14人、省内125人，培训结束101人，正在培训38人。</w:t>
      </w:r>
      <w:r>
        <w:rPr>
          <w:rFonts w:hint="eastAsia" w:ascii="仿宋_GB2312" w:eastAsia="仿宋_GB2312" w:cs="Times New Roman"/>
          <w:b/>
          <w:bCs/>
          <w:color w:val="auto"/>
          <w:sz w:val="32"/>
          <w:szCs w:val="32"/>
          <w:rtl w:val="0"/>
          <w:lang w:val="en-US" w:eastAsia="zh-CN"/>
        </w:rPr>
        <w:t>三是</w:t>
      </w:r>
      <w:r>
        <w:rPr>
          <w:rFonts w:hint="default" w:ascii="仿宋_GB2312" w:hAnsi="仿宋_GB2312" w:eastAsia="仿宋_GB2312" w:cs="仿宋_GB2312"/>
          <w:sz w:val="32"/>
          <w:szCs w:val="32"/>
          <w:rtl w:val="0"/>
          <w:lang w:val="en-US" w:eastAsia="zh-CN"/>
        </w:rPr>
        <w:t>各医疗机构进行专业化培训</w:t>
      </w:r>
      <w:r>
        <w:rPr>
          <w:rFonts w:hint="eastAsia" w:ascii="仿宋_GB2312" w:hAnsi="仿宋_GB2312" w:eastAsia="仿宋_GB2312" w:cs="仿宋_GB2312"/>
          <w:sz w:val="32"/>
          <w:szCs w:val="32"/>
          <w:rtl w:val="0"/>
          <w:lang w:val="en-US" w:eastAsia="zh-CN"/>
        </w:rPr>
        <w:t>11</w:t>
      </w:r>
      <w:r>
        <w:rPr>
          <w:rFonts w:hint="default" w:ascii="仿宋_GB2312" w:hAnsi="仿宋_GB2312" w:eastAsia="仿宋_GB2312" w:cs="仿宋_GB2312"/>
          <w:sz w:val="32"/>
          <w:szCs w:val="32"/>
          <w:rtl w:val="0"/>
          <w:lang w:val="en-US" w:eastAsia="zh-CN"/>
        </w:rPr>
        <w:t>00人次，完成</w:t>
      </w:r>
      <w:r>
        <w:rPr>
          <w:rFonts w:hint="eastAsia" w:ascii="仿宋_GB2312" w:hAnsi="仿宋_GB2312" w:eastAsia="仿宋_GB2312" w:cs="仿宋_GB2312"/>
          <w:sz w:val="32"/>
          <w:szCs w:val="32"/>
          <w:rtl w:val="0"/>
          <w:lang w:val="en-US" w:eastAsia="zh-CN"/>
        </w:rPr>
        <w:t>新冠</w:t>
      </w:r>
      <w:r>
        <w:rPr>
          <w:rFonts w:hint="default" w:ascii="仿宋_GB2312" w:hAnsi="仿宋_GB2312" w:eastAsia="仿宋_GB2312" w:cs="仿宋_GB2312"/>
          <w:sz w:val="32"/>
          <w:szCs w:val="32"/>
          <w:rtl w:val="0"/>
          <w:lang w:val="en-US" w:eastAsia="zh-CN"/>
        </w:rPr>
        <w:t>重症轮</w:t>
      </w:r>
      <w:r>
        <w:rPr>
          <w:rFonts w:hint="default" w:ascii="仿宋_GB2312" w:eastAsia="仿宋_GB2312" w:cs="Times New Roman"/>
          <w:color w:val="auto"/>
          <w:sz w:val="32"/>
          <w:szCs w:val="32"/>
          <w:rtl w:val="0"/>
          <w:lang w:val="en-US" w:eastAsia="zh-CN"/>
        </w:rPr>
        <w:t>训、儿科专项培训</w:t>
      </w:r>
      <w:r>
        <w:rPr>
          <w:rFonts w:hint="eastAsia" w:ascii="仿宋_GB2312" w:eastAsia="仿宋_GB2312" w:cs="Times New Roman"/>
          <w:color w:val="auto"/>
          <w:sz w:val="32"/>
          <w:szCs w:val="32"/>
          <w:rtl w:val="0"/>
          <w:lang w:val="en-US" w:eastAsia="zh-CN"/>
        </w:rPr>
        <w:t>5</w:t>
      </w:r>
      <w:r>
        <w:rPr>
          <w:rFonts w:hint="default" w:ascii="仿宋_GB2312" w:eastAsia="仿宋_GB2312" w:cs="Times New Roman"/>
          <w:color w:val="auto"/>
          <w:sz w:val="32"/>
          <w:szCs w:val="32"/>
          <w:rtl w:val="0"/>
          <w:lang w:val="en-US" w:eastAsia="zh-CN"/>
        </w:rPr>
        <w:t>00余人次。特别针对基层医务人员（包括村医），开展</w:t>
      </w:r>
      <w:r>
        <w:rPr>
          <w:rFonts w:hint="eastAsia" w:ascii="仿宋_GB2312" w:eastAsia="仿宋_GB2312" w:cs="Times New Roman"/>
          <w:color w:val="auto"/>
          <w:sz w:val="32"/>
          <w:szCs w:val="32"/>
          <w:rtl w:val="0"/>
          <w:lang w:val="en-US" w:eastAsia="zh-CN"/>
        </w:rPr>
        <w:t>新冠</w:t>
      </w:r>
      <w:r>
        <w:rPr>
          <w:rFonts w:hint="default" w:ascii="仿宋_GB2312" w:eastAsia="仿宋_GB2312" w:cs="Times New Roman"/>
          <w:color w:val="auto"/>
          <w:sz w:val="32"/>
          <w:szCs w:val="32"/>
          <w:rtl w:val="0"/>
          <w:lang w:val="en-US" w:eastAsia="zh-CN"/>
        </w:rPr>
        <w:t>重症高风险人群识别、用药指导及健康管理服务等课程线上培训430人，参训率100%。</w:t>
      </w:r>
    </w:p>
    <w:p w14:paraId="45442AA3">
      <w:pPr>
        <w:pStyle w:val="13"/>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质量指标</w:t>
      </w:r>
    </w:p>
    <w:p w14:paraId="38AB7309">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rightChars="0" w:firstLine="640" w:firstLineChars="20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根据全面深化新区医疗卫生体制改革要求，制定推进县域医共体建设、</w:t>
      </w:r>
      <w:r>
        <w:rPr>
          <w:rFonts w:hint="eastAsia" w:ascii="仿宋_GB2312" w:hAnsi="仿宋_GB2312" w:eastAsia="仿宋_GB2312" w:cs="仿宋_GB2312"/>
          <w:kern w:val="2"/>
          <w:sz w:val="32"/>
          <w:szCs w:val="32"/>
          <w:lang w:val="en-US" w:eastAsia="zh-CN" w:bidi="ar-SA"/>
        </w:rPr>
        <w:t>五大县域心电诊断中心、重点学科体系建设等方案，并</w:t>
      </w:r>
      <w:r>
        <w:rPr>
          <w:rFonts w:hint="eastAsia" w:ascii="仿宋_GB2312" w:hAnsi="仿宋_GB2312" w:eastAsia="仿宋_GB2312" w:cs="仿宋_GB2312"/>
          <w:color w:val="auto"/>
          <w:kern w:val="2"/>
          <w:sz w:val="32"/>
          <w:szCs w:val="32"/>
          <w:lang w:val="en-US" w:eastAsia="zh-CN" w:bidi="ar-SA"/>
        </w:rPr>
        <w:t>对医务人员进行医疗安全、临床用药知识培训，对辖区社区群众进行健康知识宣传，全面提升了新区</w:t>
      </w:r>
      <w:r>
        <w:rPr>
          <w:rFonts w:hint="eastAsia" w:ascii="仿宋_GB2312" w:hAnsi="仿宋_GB2312" w:eastAsia="仿宋_GB2312" w:cs="仿宋_GB2312"/>
          <w:color w:val="auto"/>
          <w:sz w:val="32"/>
          <w:szCs w:val="32"/>
          <w:lang w:eastAsia="zh-CN"/>
        </w:rPr>
        <w:t>卫生健康服务水平，</w:t>
      </w:r>
      <w:r>
        <w:rPr>
          <w:rFonts w:hint="eastAsia" w:ascii="仿宋_GB2312" w:hAnsi="仿宋_GB2312" w:eastAsia="仿宋_GB2312" w:cs="仿宋_GB2312"/>
          <w:color w:val="auto"/>
          <w:kern w:val="2"/>
          <w:sz w:val="32"/>
          <w:szCs w:val="32"/>
          <w:lang w:val="en-US" w:eastAsia="zh-CN" w:bidi="ar-SA"/>
        </w:rPr>
        <w:t>提高了人民群众的健康意识。</w:t>
      </w:r>
    </w:p>
    <w:p w14:paraId="4C3CEC2F">
      <w:pPr>
        <w:pStyle w:val="13"/>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时效指标</w:t>
      </w:r>
    </w:p>
    <w:p w14:paraId="567845E6">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rightChars="0" w:firstLine="640" w:firstLineChars="20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认真贯彻落实党中央国务院决策部署，持续推动新区医改向纵深发展，及时下拨</w:t>
      </w:r>
      <w:r>
        <w:rPr>
          <w:rFonts w:hint="eastAsia" w:ascii="仿宋_GB2312" w:hAnsi="仿宋_GB2312" w:eastAsia="仿宋_GB2312" w:cs="仿宋_GB2312"/>
          <w:color w:val="auto"/>
          <w:kern w:val="2"/>
          <w:sz w:val="32"/>
          <w:szCs w:val="32"/>
          <w:lang w:val="zh-CN" w:eastAsia="zh-CN" w:bidi="ar-SA"/>
        </w:rPr>
        <w:t>医政医改管理经费</w:t>
      </w:r>
      <w:r>
        <w:rPr>
          <w:rFonts w:hint="default"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使医疗机构有充足的经费开展各项工作。</w:t>
      </w:r>
    </w:p>
    <w:p w14:paraId="60DD709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2.效益指标完成情况分析</w:t>
      </w:r>
    </w:p>
    <w:p w14:paraId="6B0C46E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（1）社会效益</w:t>
      </w:r>
    </w:p>
    <w:p w14:paraId="002E3D74">
      <w:pPr>
        <w:keepNext w:val="0"/>
        <w:keepLines w:val="0"/>
        <w:pageBreakBefore w:val="0"/>
        <w:widowControl/>
        <w:suppressLineNumbers w:val="0"/>
        <w:wordWrap/>
        <w:overflowPunct/>
        <w:topLinePunct w:val="0"/>
        <w:bidi w:val="0"/>
        <w:spacing w:line="560" w:lineRule="exact"/>
        <w:ind w:firstLine="640" w:firstLineChars="200"/>
        <w:jc w:val="left"/>
      </w:pPr>
      <w:r>
        <w:rPr>
          <w:rFonts w:hint="eastAsia" w:ascii="仿宋_GB2312" w:hAnsi="仿宋_GB2312" w:eastAsia="仿宋_GB2312" w:cs="仿宋_GB2312"/>
          <w:kern w:val="2"/>
          <w:sz w:val="32"/>
          <w:szCs w:val="32"/>
          <w:lang w:val="en-US" w:eastAsia="zh-CN" w:bidi="ar-SA"/>
        </w:rPr>
        <w:t>通过推进县域医共体、五大县域心电诊断中心、十大质控中心和重点学科体系建设，加强医疗质量管理，确保医疗安全和服务质量，不断提高新区各医疗机构医疗服务水平。</w:t>
      </w:r>
    </w:p>
    <w:p w14:paraId="1C8E9E8E">
      <w:pPr>
        <w:pStyle w:val="13"/>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leftChars="0" w:right="0" w:firstLine="736" w:firstLineChars="0"/>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可持续影响</w:t>
      </w:r>
    </w:p>
    <w:p w14:paraId="39049463">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right="0" w:rightChars="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织劳织密医疗保障网，减轻群众就医负担，改善医疗服务，增强群众看病就医满意感。</w:t>
      </w:r>
    </w:p>
    <w:p w14:paraId="2D45EF73">
      <w:pPr>
        <w:pStyle w:val="13"/>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val="en-US" w:eastAsia="zh-CN"/>
        </w:rPr>
        <w:t>满意度指标完成情况分析</w:t>
      </w:r>
    </w:p>
    <w:p w14:paraId="6390EDBA">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s="仿宋_GB2312"/>
          <w:color w:val="auto"/>
          <w:sz w:val="32"/>
          <w:szCs w:val="32"/>
          <w:lang w:eastAsia="zh-CN"/>
        </w:rPr>
      </w:pPr>
      <w:r>
        <w:rPr>
          <w:rFonts w:hint="eastAsia" w:ascii="仿宋_GB2312" w:hAnsi="Calibri" w:eastAsia="仿宋_GB2312" w:cs="仿宋_GB2312"/>
          <w:color w:val="auto"/>
          <w:sz w:val="32"/>
          <w:szCs w:val="32"/>
        </w:rPr>
        <w:t>满意度指标分值为10分，得</w:t>
      </w:r>
      <w:r>
        <w:rPr>
          <w:rFonts w:hint="eastAsia" w:ascii="仿宋_GB2312" w:eastAsia="仿宋_GB2312" w:cs="仿宋_GB2312"/>
          <w:color w:val="auto"/>
          <w:sz w:val="32"/>
          <w:szCs w:val="32"/>
          <w:lang w:val="en-US" w:eastAsia="zh-CN"/>
        </w:rPr>
        <w:t>9.8</w:t>
      </w:r>
      <w:r>
        <w:rPr>
          <w:rFonts w:hint="eastAsia" w:ascii="仿宋_GB2312" w:hAnsi="Calibri" w:eastAsia="仿宋_GB2312" w:cs="仿宋_GB2312"/>
          <w:color w:val="auto"/>
          <w:sz w:val="32"/>
          <w:szCs w:val="32"/>
        </w:rPr>
        <w:t>分。</w:t>
      </w:r>
      <w:r>
        <w:rPr>
          <w:rFonts w:hint="eastAsia" w:ascii="仿宋_GB2312" w:eastAsia="仿宋_GB2312" w:cs="仿宋_GB2312"/>
          <w:color w:val="auto"/>
          <w:sz w:val="32"/>
          <w:szCs w:val="32"/>
          <w:lang w:eastAsia="zh-CN"/>
        </w:rPr>
        <w:t>通过</w:t>
      </w:r>
      <w:r>
        <w:rPr>
          <w:rFonts w:hint="eastAsia" w:ascii="仿宋_GB2312" w:hAnsi="仿宋_GB2312" w:eastAsia="仿宋_GB2312" w:cs="仿宋_GB2312"/>
          <w:color w:val="auto"/>
          <w:sz w:val="32"/>
          <w:lang w:eastAsia="zh-CN"/>
        </w:rPr>
        <w:t>向新区第一人民医院</w:t>
      </w:r>
      <w:r>
        <w:rPr>
          <w:rFonts w:hint="eastAsia" w:ascii="仿宋_GB2312" w:hAnsi="仿宋_GB2312" w:eastAsia="仿宋_GB2312"/>
          <w:color w:val="auto"/>
          <w:sz w:val="32"/>
          <w:szCs w:val="24"/>
          <w:lang w:val="zh-CN"/>
        </w:rPr>
        <w:t>下拨</w:t>
      </w:r>
      <w:r>
        <w:rPr>
          <w:rFonts w:hint="eastAsia" w:ascii="仿宋_GB2312" w:eastAsia="仿宋_GB2312" w:cs="宋体"/>
          <w:color w:val="auto"/>
          <w:sz w:val="32"/>
          <w:szCs w:val="32"/>
          <w:lang w:val="zh-CN" w:eastAsia="zh-CN"/>
        </w:rPr>
        <w:t>医政医改管理经费</w:t>
      </w:r>
      <w:r>
        <w:rPr>
          <w:rFonts w:hint="default" w:ascii="仿宋_GB2312" w:hAnsi="Calibri" w:eastAsia="仿宋_GB2312" w:cs="仿宋_GB2312"/>
          <w:color w:val="auto"/>
          <w:sz w:val="32"/>
          <w:szCs w:val="32"/>
          <w:lang w:val="en-US" w:eastAsia="zh-CN"/>
        </w:rPr>
        <w:t>,</w:t>
      </w:r>
      <w:r>
        <w:rPr>
          <w:rFonts w:hint="eastAsia" w:ascii="仿宋_GB2312" w:eastAsia="仿宋_GB2312" w:cs="仿宋_GB2312"/>
          <w:color w:val="auto"/>
          <w:sz w:val="32"/>
          <w:szCs w:val="32"/>
          <w:lang w:val="en-US" w:eastAsia="zh-CN"/>
        </w:rPr>
        <w:t>使新区第一人民医院有充足的经费开展县域医共体、</w:t>
      </w:r>
      <w:r>
        <w:rPr>
          <w:rFonts w:hint="eastAsia" w:ascii="仿宋_GB2312" w:hAnsi="仿宋_GB2312" w:eastAsia="仿宋_GB2312" w:cs="仿宋_GB2312"/>
          <w:color w:val="auto"/>
          <w:sz w:val="32"/>
          <w:szCs w:val="32"/>
        </w:rPr>
        <w:t>重点</w:t>
      </w:r>
      <w:r>
        <w:rPr>
          <w:rFonts w:hint="eastAsia" w:ascii="仿宋_GB2312" w:hAnsi="仿宋_GB2312" w:eastAsia="仿宋_GB2312" w:cs="仿宋_GB2312"/>
          <w:color w:val="auto"/>
          <w:sz w:val="32"/>
          <w:szCs w:val="32"/>
          <w:lang w:eastAsia="zh-CN"/>
        </w:rPr>
        <w:t>学科</w:t>
      </w:r>
      <w:r>
        <w:rPr>
          <w:rFonts w:hint="eastAsia" w:ascii="仿宋_GB2312" w:hAnsi="仿宋_GB2312" w:eastAsia="仿宋_GB2312" w:cs="仿宋_GB2312"/>
          <w:color w:val="auto"/>
          <w:sz w:val="32"/>
          <w:szCs w:val="32"/>
        </w:rPr>
        <w:t>体系建设</w:t>
      </w:r>
      <w:r>
        <w:rPr>
          <w:rFonts w:hint="eastAsia" w:ascii="仿宋_GB2312" w:hAnsi="仿宋_GB2312" w:eastAsia="仿宋_GB2312" w:cs="仿宋_GB2312"/>
          <w:color w:val="auto"/>
          <w:sz w:val="32"/>
          <w:szCs w:val="32"/>
          <w:lang w:eastAsia="zh-CN"/>
        </w:rPr>
        <w:t>和人才培养等工作。</w:t>
      </w:r>
    </w:p>
    <w:p w14:paraId="028CA5A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0FE71E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ascii="仿宋_GB2312" w:eastAsia="仿宋_GB2312" w:cs="Times New Roman"/>
          <w:b w:val="0"/>
          <w:bCs w:val="0"/>
          <w:kern w:val="0"/>
          <w:sz w:val="32"/>
          <w:szCs w:val="32"/>
          <w:lang w:val="en-US" w:eastAsia="zh-CN" w:bidi="ar"/>
        </w:rPr>
        <w:t>2023年医政医改管理</w:t>
      </w:r>
      <w:r>
        <w:rPr>
          <w:rFonts w:hint="eastAsia" w:ascii="仿宋_GB2312" w:hAnsi="Calibri" w:eastAsia="仿宋_GB2312" w:cs="Times New Roman"/>
          <w:b w:val="0"/>
          <w:bCs w:val="0"/>
          <w:kern w:val="0"/>
          <w:sz w:val="32"/>
          <w:szCs w:val="32"/>
          <w:lang w:val="en-US" w:eastAsia="zh-CN" w:bidi="ar"/>
        </w:rPr>
        <w:t>经费</w:t>
      </w:r>
      <w:r>
        <w:rPr>
          <w:rFonts w:hint="eastAsia" w:ascii="仿宋_GB2312" w:eastAsia="仿宋_GB2312" w:cs="Times New Roman"/>
          <w:b w:val="0"/>
          <w:bCs w:val="0"/>
          <w:kern w:val="0"/>
          <w:sz w:val="32"/>
          <w:szCs w:val="32"/>
          <w:lang w:val="en-US" w:eastAsia="zh-CN" w:bidi="ar"/>
        </w:rPr>
        <w:t>偏离绩效目标的原因有以下几点：医保杠杆作用发挥不够充分。“三医联动”的领导体制和组织推进机制改革还需持续发力，“腾空</w:t>
      </w:r>
      <w:r>
        <w:rPr>
          <w:rFonts w:hint="eastAsia" w:ascii="仿宋_GB2312" w:hAnsi="仿宋_GB2312" w:eastAsia="仿宋_GB2312" w:cs="仿宋_GB2312"/>
          <w:color w:val="auto"/>
          <w:sz w:val="32"/>
          <w:szCs w:val="32"/>
          <w:lang w:eastAsia="zh-CN"/>
        </w:rPr>
        <w:t>间、调结构、保衔接”联动改革经验还需进一步推广，医保在调控引导医疗费用、购买医疗服务和产品方面的杠杆作用需进一步发挥。</w:t>
      </w:r>
      <w:r>
        <w:rPr>
          <w:rFonts w:hint="eastAsia" w:ascii="仿宋_GB2312" w:eastAsia="仿宋_GB2312"/>
          <w:sz w:val="32"/>
          <w:szCs w:val="32"/>
          <w:lang w:eastAsia="zh-CN"/>
        </w:rPr>
        <w:t>积极从省卫生健康委争取医改经费</w:t>
      </w:r>
      <w:r>
        <w:rPr>
          <w:rFonts w:hint="eastAsia" w:ascii="仿宋_GB2312" w:eastAsia="仿宋_GB2312"/>
          <w:sz w:val="32"/>
          <w:szCs w:val="32"/>
          <w:lang w:val="en-US" w:eastAsia="zh-CN"/>
        </w:rPr>
        <w:t>203万元，为了节约本级财政资金，此项资金已调整，工作已完成</w:t>
      </w:r>
      <w:r>
        <w:rPr>
          <w:rFonts w:hint="eastAsia" w:ascii="仿宋_GB2312" w:hAnsi="Times New Roman" w:eastAsia="仿宋_GB2312" w:cs="Times New Roman"/>
          <w:sz w:val="32"/>
          <w:szCs w:val="32"/>
        </w:rPr>
        <w:t>。</w:t>
      </w:r>
      <w:r>
        <w:rPr>
          <w:rFonts w:hint="eastAsia" w:ascii="仿宋_GB2312" w:hAnsi="仿宋_GB2312" w:eastAsia="仿宋_GB2312" w:cs="仿宋_GB2312"/>
          <w:color w:val="auto"/>
          <w:sz w:val="32"/>
          <w:szCs w:val="32"/>
          <w:lang w:eastAsia="zh-CN"/>
        </w:rPr>
        <w:t>下一步，</w:t>
      </w:r>
      <w:r>
        <w:rPr>
          <w:rFonts w:hint="eastAsia" w:ascii="仿宋_GB2312" w:eastAsia="仿宋_GB2312" w:cs="Times New Roman"/>
          <w:sz w:val="32"/>
          <w:szCs w:val="32"/>
          <w:lang w:eastAsia="zh-CN"/>
        </w:rPr>
        <w:t>一是</w:t>
      </w:r>
      <w:r>
        <w:rPr>
          <w:rFonts w:hint="eastAsia" w:ascii="仿宋_GB2312" w:eastAsia="仿宋_GB2312" w:cs="Times New Roman"/>
          <w:sz w:val="32"/>
          <w:szCs w:val="32"/>
          <w:lang w:val="en-US" w:eastAsia="zh-CN"/>
        </w:rPr>
        <w:t>全力</w:t>
      </w:r>
      <w:r>
        <w:rPr>
          <w:rFonts w:hint="eastAsia" w:ascii="仿宋_GB2312" w:eastAsia="仿宋_GB2312" w:cs="Times New Roman"/>
          <w:sz w:val="32"/>
          <w:szCs w:val="32"/>
          <w:lang w:val="zh-CN" w:eastAsia="zh-CN"/>
        </w:rPr>
        <w:t>推进</w:t>
      </w:r>
      <w:r>
        <w:rPr>
          <w:rFonts w:hint="eastAsia" w:ascii="仿宋_GB2312" w:eastAsia="仿宋_GB2312" w:cs="Times New Roman"/>
          <w:sz w:val="32"/>
          <w:szCs w:val="32"/>
          <w:lang w:val="en-US" w:eastAsia="zh-CN"/>
        </w:rPr>
        <w:t>兰州新区紧密型县域医共体试点建设工作；</w:t>
      </w:r>
      <w:r>
        <w:rPr>
          <w:rFonts w:hint="eastAsia" w:ascii="仿宋_GB2312" w:eastAsia="仿宋_GB2312" w:cs="Times New Roman"/>
          <w:sz w:val="32"/>
          <w:szCs w:val="32"/>
          <w:lang w:eastAsia="zh-CN"/>
        </w:rPr>
        <w:t>二是结合实际全面推广三明医改经验，</w:t>
      </w:r>
      <w:r>
        <w:rPr>
          <w:rFonts w:hint="eastAsia" w:ascii="仿宋_GB2312" w:eastAsia="仿宋_GB2312" w:cs="Times New Roman"/>
          <w:sz w:val="32"/>
          <w:szCs w:val="32"/>
        </w:rPr>
        <w:t>系统推动分级诊疗、现代医院管理、全民医保、药品供应保障、综合监管五项基本医疗卫生制度；三是继续加强高质量紧密型医联体建设，加深专科（技术）联盟合作力度，与省内外名院、名科建立医疗专科联盟</w:t>
      </w:r>
      <w:r>
        <w:rPr>
          <w:rFonts w:hint="eastAsia" w:ascii="仿宋_GB2312" w:eastAsia="仿宋_GB2312" w:cs="Times New Roman"/>
          <w:sz w:val="32"/>
          <w:szCs w:val="32"/>
          <w:lang w:eastAsia="zh-CN"/>
        </w:rPr>
        <w:t>；四是加快5大急危重症救治中心和5大县域医学中心建设，全力推进胸痛、创伤、卒中、危重孕产妇、危重新生儿5个急危重症救治中心建设，深入推进5大县域医学中心实质化高效运转，第一人民医院检验、心电、影像中心与乡镇卫生院互联互通全覆盖，确保“乡检查、县诊断、乡治疗”制度落地落实；五是打造临床重点学科，新区第一人民医院实现二级医疗机构学科全覆盖，加强急诊急救、新生儿救治、高危孕产妇、代谢性疾病、重症救治等方面的诊疗水平，建设3-5个市级重点学科；六是强化应急救援服务能力建设，化工园区急救分站实现标准化建设、规范化管理、专业化服务；七是成立</w:t>
      </w:r>
      <w:r>
        <w:rPr>
          <w:rFonts w:hint="eastAsia" w:ascii="仿宋_GB2312" w:eastAsia="仿宋_GB2312" w:cs="Times New Roman"/>
          <w:sz w:val="32"/>
          <w:szCs w:val="32"/>
          <w:lang w:val="en-US" w:eastAsia="zh-CN"/>
        </w:rPr>
        <w:t>病例和</w:t>
      </w:r>
      <w:r>
        <w:rPr>
          <w:rFonts w:hint="eastAsia" w:ascii="仿宋_GB2312" w:eastAsia="仿宋_GB2312" w:cs="Times New Roman"/>
          <w:sz w:val="32"/>
          <w:szCs w:val="32"/>
          <w:lang w:eastAsia="zh-CN"/>
        </w:rPr>
        <w:t>处方点评专家库，开展</w:t>
      </w:r>
      <w:r>
        <w:rPr>
          <w:rFonts w:hint="eastAsia" w:ascii="仿宋_GB2312" w:eastAsia="仿宋_GB2312" w:cs="Times New Roman"/>
          <w:sz w:val="32"/>
          <w:szCs w:val="32"/>
          <w:lang w:val="en-US" w:eastAsia="zh-CN"/>
        </w:rPr>
        <w:t>病例质控和</w:t>
      </w:r>
      <w:r>
        <w:rPr>
          <w:rFonts w:hint="eastAsia" w:ascii="仿宋_GB2312" w:eastAsia="仿宋_GB2312" w:cs="Times New Roman"/>
          <w:sz w:val="32"/>
          <w:szCs w:val="32"/>
          <w:lang w:eastAsia="zh-CN"/>
        </w:rPr>
        <w:t>处方点评工作，不断规范临床用药行为；八是</w:t>
      </w:r>
      <w:r>
        <w:rPr>
          <w:rFonts w:hint="eastAsia" w:ascii="仿宋_GB2312" w:eastAsia="仿宋_GB2312" w:cs="Times New Roman"/>
          <w:sz w:val="32"/>
          <w:szCs w:val="32"/>
          <w:lang w:val="en-US" w:eastAsia="zh-CN"/>
        </w:rPr>
        <w:t>加快形成人才考核评价服务新机制，全面落实省委人才工作会议精神，打破户籍、身份、学历、人事关系等限制；坚持柔性引进和刚性引进相结合，建立全系统“惜才、爱才、会用才、用好才”的人才服务和储备机制。</w:t>
      </w:r>
    </w:p>
    <w:p w14:paraId="7925A37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65362E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3CAAE77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1673A8D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65DAE7C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6342D50F">
      <w:pPr>
        <w:ind w:firstLine="643"/>
        <w:outlineLvl w:val="2"/>
        <w:rPr>
          <w:rFonts w:hint="eastAsia" w:ascii="仿宋_GB2312" w:eastAsia="仿宋_GB2312"/>
          <w:sz w:val="32"/>
          <w:szCs w:val="32"/>
          <w:lang w:eastAsia="zh-CN"/>
        </w:rPr>
      </w:pPr>
      <w:r>
        <w:rPr>
          <w:rFonts w:hint="eastAsia" w:ascii="仿宋_GB2312" w:eastAsia="仿宋_GB2312"/>
          <w:sz w:val="32"/>
          <w:szCs w:val="32"/>
          <w:lang w:eastAsia="zh-CN"/>
        </w:rPr>
        <w:t>2023年初预算资金主要用于，为全面推广三明医改经验，继续推动新区第一人民医院和秦川中心卫生院紧密型县域医共体试点工作，持续推进全民健康信息化建设，积极探索“互联网+医疗健康”新模式，提升总医院（医联体）信息化建设水平，强化基层信息化服务能力，预算医改检测平台建设资金200万元。由于年初我委2023年积极向省卫健委争取医改资金，目前已下达到位资金203万元（甘财社【2022】98号-100万元、甘财社【2023】60号-103万元），将全部投入到医改信息化建设工作中，将本级预算资金按照优先用于其他重点项目中的原则，将本级年初预算资金医政医改管理经费调减</w:t>
      </w:r>
      <w:r>
        <w:rPr>
          <w:rFonts w:hint="eastAsia"/>
          <w:sz w:val="32"/>
          <w:szCs w:val="32"/>
          <w:lang w:eastAsia="zh-CN"/>
        </w:rPr>
        <w:t>缴回</w:t>
      </w:r>
      <w:r>
        <w:rPr>
          <w:rFonts w:hint="eastAsia" w:ascii="仿宋_GB2312" w:eastAsia="仿宋_GB2312"/>
          <w:sz w:val="32"/>
          <w:szCs w:val="32"/>
          <w:lang w:eastAsia="zh-CN"/>
        </w:rPr>
        <w:t>。</w:t>
      </w:r>
    </w:p>
    <w:p w14:paraId="04B64888">
      <w:pPr>
        <w:ind w:firstLine="643"/>
        <w:outlineLvl w:val="2"/>
        <w:rPr>
          <w:rFonts w:hint="eastAsia" w:ascii="楷体" w:hAnsi="楷体" w:eastAsia="楷体" w:cs="楷体"/>
          <w:b/>
          <w:bCs/>
          <w:szCs w:val="32"/>
          <w:lang w:eastAsia="zh-CN"/>
        </w:rPr>
      </w:pPr>
      <w:r>
        <w:rPr>
          <w:rFonts w:hint="eastAsia" w:ascii="楷体" w:hAnsi="楷体" w:eastAsia="楷体" w:cs="楷体"/>
          <w:b/>
          <w:bCs/>
          <w:szCs w:val="32"/>
        </w:rPr>
        <w:t>（</w:t>
      </w:r>
      <w:r>
        <w:rPr>
          <w:rFonts w:hint="eastAsia" w:ascii="楷体" w:hAnsi="楷体" w:eastAsia="楷体" w:cs="楷体"/>
          <w:b/>
          <w:bCs/>
          <w:szCs w:val="32"/>
          <w:lang w:eastAsia="zh-CN"/>
        </w:rPr>
        <w:t>五</w:t>
      </w:r>
      <w:r>
        <w:rPr>
          <w:rFonts w:hint="eastAsia" w:ascii="楷体" w:hAnsi="楷体" w:eastAsia="楷体" w:cs="楷体"/>
          <w:b/>
          <w:bCs/>
          <w:szCs w:val="32"/>
        </w:rPr>
        <w:t>）</w:t>
      </w:r>
      <w:r>
        <w:rPr>
          <w:rFonts w:hint="eastAsia" w:ascii="楷体" w:hAnsi="楷体" w:eastAsia="楷体" w:cs="楷体"/>
          <w:b/>
          <w:bCs/>
          <w:szCs w:val="32"/>
          <w:lang w:eastAsia="zh-CN"/>
        </w:rPr>
        <w:t>中医药建设和发展项目经费</w:t>
      </w:r>
    </w:p>
    <w:p w14:paraId="2EB71F8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ascii="Helvetica" w:hAnsi="Helvetica" w:eastAsia="Helvetica" w:cs="Helvetica"/>
          <w:i w:val="0"/>
          <w:caps w:val="0"/>
          <w:color w:val="333333"/>
          <w:spacing w:val="0"/>
          <w:sz w:val="32"/>
          <w:szCs w:val="32"/>
        </w:rPr>
      </w:pPr>
      <w:r>
        <w:rPr>
          <w:rFonts w:ascii="黑体" w:hAnsi="宋体" w:eastAsia="黑体" w:cs="黑体"/>
          <w:i w:val="0"/>
          <w:caps w:val="0"/>
          <w:color w:val="333333"/>
          <w:spacing w:val="0"/>
          <w:sz w:val="32"/>
          <w:szCs w:val="32"/>
          <w:shd w:val="clear" w:color="auto" w:fill="FFFFFF"/>
        </w:rPr>
        <w:t>一、项目基本情况</w:t>
      </w:r>
    </w:p>
    <w:p w14:paraId="5844590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ascii="楷体" w:hAnsi="楷体" w:eastAsia="楷体" w:cs="楷体"/>
          <w:i w:val="0"/>
          <w:caps w:val="0"/>
          <w:color w:val="333333"/>
          <w:spacing w:val="0"/>
          <w:sz w:val="32"/>
          <w:szCs w:val="32"/>
          <w:shd w:val="clear" w:color="auto" w:fill="FFFFFF"/>
        </w:rPr>
      </w:pPr>
      <w:r>
        <w:rPr>
          <w:rFonts w:ascii="楷体" w:hAnsi="楷体" w:eastAsia="楷体" w:cs="楷体"/>
          <w:i w:val="0"/>
          <w:caps w:val="0"/>
          <w:color w:val="333333"/>
          <w:spacing w:val="0"/>
          <w:sz w:val="32"/>
          <w:szCs w:val="32"/>
          <w:shd w:val="clear" w:color="auto" w:fill="FFFFFF"/>
        </w:rPr>
        <w:t>（一）</w:t>
      </w:r>
      <w:r>
        <w:rPr>
          <w:rFonts w:hint="eastAsia" w:ascii="楷体" w:hAnsi="楷体" w:eastAsia="楷体" w:cs="楷体"/>
          <w:i w:val="0"/>
          <w:caps w:val="0"/>
          <w:color w:val="333333"/>
          <w:spacing w:val="0"/>
          <w:sz w:val="32"/>
          <w:szCs w:val="32"/>
          <w:shd w:val="clear" w:color="auto" w:fill="FFFFFF"/>
          <w:lang w:eastAsia="zh-CN"/>
        </w:rPr>
        <w:t>项目</w:t>
      </w:r>
      <w:r>
        <w:rPr>
          <w:rFonts w:ascii="楷体" w:hAnsi="楷体" w:eastAsia="楷体" w:cs="楷体"/>
          <w:i w:val="0"/>
          <w:caps w:val="0"/>
          <w:color w:val="333333"/>
          <w:spacing w:val="0"/>
          <w:sz w:val="32"/>
          <w:szCs w:val="32"/>
          <w:shd w:val="clear" w:color="auto" w:fill="FFFFFF"/>
        </w:rPr>
        <w:t>背景</w:t>
      </w:r>
    </w:p>
    <w:p w14:paraId="05725BE7">
      <w:pPr>
        <w:keepNext w:val="0"/>
        <w:keepLines w:val="0"/>
        <w:pageBreakBefore w:val="0"/>
        <w:numPr>
          <w:ilvl w:val="0"/>
          <w:numId w:val="0"/>
        </w:numPr>
        <w:wordWrap/>
        <w:overflowPunct/>
        <w:topLinePunct w:val="0"/>
        <w:bidi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根据中共中央国务院《关于促进中医药传承创新发展的意见》、中共甘肃省委、甘肃省人民政府《关于促进中医药传承创新发展的若干措施》、《关于构建生态产业体系推动绿色发展崛起的决定》和《甘肃省推进绿色生态产业发展规划》。甘肃省人民政府办公厅《关于印发甘肃省深化医药卫生体制改革2022年重点工作任务的通知》（甘政办发〔2022〕84号）第11条：健全完善中医药服务体系。协调推进省人民医院、省妇幼保健院、省肿瘤医院、天水市中西医结合医院、酒泉市人民医院等创建中西医协同“旗舰”医院。推动定西市中医院、临夏州中医医院等2个国家中医特色重点医院建设项目有序实施。总结重大疑难疾病中西医临床协作经验，形成并推广重大疑难疾病中西医结合诊疗方案。推进130个乡镇卫生院（社区卫生服务中心）中医馆建设，年底实现全省乡镇卫生院和社区卫生服务中心中医馆100%覆盖，乡、村两级中医适宜技术100%覆盖。落实医保支持中医药传承创新发展的相关政策，推动中医优势病种按病种付费。</w:t>
      </w:r>
    </w:p>
    <w:p w14:paraId="1C053678">
      <w:pPr>
        <w:keepNext w:val="0"/>
        <w:keepLines w:val="0"/>
        <w:pageBreakBefore w:val="0"/>
        <w:numPr>
          <w:ilvl w:val="0"/>
          <w:numId w:val="0"/>
        </w:numPr>
        <w:wordWrap/>
        <w:overflowPunct/>
        <w:topLinePunct w:val="0"/>
        <w:bidi w:val="0"/>
        <w:spacing w:line="560" w:lineRule="exact"/>
        <w:ind w:firstLine="640" w:firstLineChars="200"/>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二</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项目内容</w:t>
      </w:r>
    </w:p>
    <w:p w14:paraId="0B17D8A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outlineLvl w:val="1"/>
        <w:rPr>
          <w:rFonts w:hint="eastAsia"/>
          <w:lang w:val="en-US" w:eastAsia="zh-CN"/>
        </w:rPr>
      </w:pPr>
      <w:r>
        <w:rPr>
          <w:rFonts w:hint="eastAsia" w:ascii="仿宋_GB2312" w:hAnsi="Calibri" w:eastAsia="仿宋_GB2312" w:cs="Times New Roman"/>
          <w:b w:val="0"/>
          <w:bCs w:val="0"/>
          <w:kern w:val="0"/>
          <w:sz w:val="32"/>
          <w:szCs w:val="32"/>
          <w:lang w:val="en-US" w:eastAsia="zh-CN" w:bidi="ar"/>
        </w:rPr>
        <w:t>中医药建设和发展经费项目是</w:t>
      </w:r>
      <w:r>
        <w:rPr>
          <w:rFonts w:hint="eastAsia" w:ascii="仿宋_GB2312" w:eastAsia="仿宋_GB2312" w:cs="Times New Roman"/>
          <w:b w:val="0"/>
          <w:bCs w:val="0"/>
          <w:kern w:val="0"/>
          <w:sz w:val="32"/>
          <w:szCs w:val="32"/>
          <w:lang w:val="en-US" w:eastAsia="zh-CN" w:bidi="ar"/>
        </w:rPr>
        <w:t>新区</w:t>
      </w:r>
      <w:r>
        <w:rPr>
          <w:rFonts w:hint="eastAsia" w:ascii="仿宋_GB2312" w:hAnsi="Calibri" w:eastAsia="仿宋_GB2312" w:cs="Times New Roman"/>
          <w:b w:val="0"/>
          <w:bCs w:val="0"/>
          <w:kern w:val="0"/>
          <w:sz w:val="32"/>
          <w:szCs w:val="32"/>
          <w:lang w:val="en-US" w:eastAsia="zh-CN" w:bidi="ar"/>
        </w:rPr>
        <w:t>财政资金拨款专项工作项目，其主要用途：</w:t>
      </w:r>
      <w:r>
        <w:rPr>
          <w:rFonts w:hint="eastAsia" w:ascii="仿宋_GB2312" w:eastAsia="仿宋_GB2312" w:cs="Times New Roman"/>
          <w:b w:val="0"/>
          <w:bCs w:val="0"/>
          <w:kern w:val="0"/>
          <w:sz w:val="32"/>
          <w:szCs w:val="32"/>
          <w:lang w:val="en-US" w:eastAsia="zh-CN" w:bidi="ar"/>
        </w:rPr>
        <w:t>一是</w:t>
      </w:r>
      <w:r>
        <w:rPr>
          <w:rFonts w:hint="eastAsia" w:ascii="仿宋_GB2312" w:hAnsi="Calibri" w:eastAsia="仿宋_GB2312" w:cs="Times New Roman"/>
          <w:b w:val="0"/>
          <w:bCs w:val="0"/>
          <w:kern w:val="0"/>
          <w:sz w:val="32"/>
          <w:szCs w:val="32"/>
          <w:lang w:val="en-US" w:eastAsia="zh-CN" w:bidi="ar"/>
        </w:rPr>
        <w:t>为全面提升中医药服务能力，完善中医医疗服务体系，推进辖区社区卫生服务站、村卫生室开展“中医阁”建设，完善中医药场地、中医药诊疗服务设施，</w:t>
      </w:r>
      <w:r>
        <w:rPr>
          <w:rFonts w:hint="eastAsia" w:ascii="仿宋_GB2312" w:eastAsia="仿宋_GB2312" w:cs="Times New Roman"/>
          <w:b w:val="0"/>
          <w:bCs w:val="0"/>
          <w:kern w:val="0"/>
          <w:sz w:val="32"/>
          <w:szCs w:val="32"/>
          <w:lang w:val="en-US" w:eastAsia="zh-CN" w:bidi="ar"/>
        </w:rPr>
        <w:t>建设8个“旗舰中医阁”。二是用于</w:t>
      </w:r>
      <w:r>
        <w:rPr>
          <w:rFonts w:hint="eastAsia" w:ascii="仿宋_GB2312" w:hAnsi="Calibri" w:eastAsia="仿宋_GB2312" w:cs="Times New Roman"/>
          <w:b w:val="0"/>
          <w:bCs w:val="0"/>
          <w:kern w:val="0"/>
          <w:sz w:val="32"/>
          <w:szCs w:val="32"/>
          <w:lang w:val="en-US" w:eastAsia="zh-CN" w:bidi="ar"/>
        </w:rPr>
        <w:t>中国（甘肃）中医药产业博览会参会、布置药博会新区馆展馆、宣传和招商等。202</w:t>
      </w:r>
      <w:r>
        <w:rPr>
          <w:rFonts w:hint="eastAsia" w:ascii="仿宋_GB2312" w:eastAsia="仿宋_GB2312" w:cs="Times New Roman"/>
          <w:b w:val="0"/>
          <w:bCs w:val="0"/>
          <w:kern w:val="0"/>
          <w:sz w:val="32"/>
          <w:szCs w:val="32"/>
          <w:lang w:val="en-US" w:eastAsia="zh-CN" w:bidi="ar"/>
        </w:rPr>
        <w:t>3</w:t>
      </w:r>
      <w:r>
        <w:rPr>
          <w:rFonts w:hint="eastAsia" w:ascii="仿宋_GB2312" w:hAnsi="Calibri" w:eastAsia="仿宋_GB2312" w:cs="Times New Roman"/>
          <w:b w:val="0"/>
          <w:bCs w:val="0"/>
          <w:kern w:val="0"/>
          <w:sz w:val="32"/>
          <w:szCs w:val="32"/>
          <w:lang w:val="en-US" w:eastAsia="zh-CN" w:bidi="ar"/>
        </w:rPr>
        <w:t>年度中医药建设和发展经费为经常性支出项目，预算金额为</w:t>
      </w:r>
      <w:r>
        <w:rPr>
          <w:rFonts w:hint="eastAsia" w:ascii="仿宋_GB2312" w:eastAsia="仿宋_GB2312" w:cs="Times New Roman"/>
          <w:b w:val="0"/>
          <w:bCs w:val="0"/>
          <w:kern w:val="0"/>
          <w:sz w:val="32"/>
          <w:szCs w:val="32"/>
          <w:lang w:val="en-US" w:eastAsia="zh-CN" w:bidi="ar"/>
        </w:rPr>
        <w:t>40</w:t>
      </w:r>
      <w:r>
        <w:rPr>
          <w:rFonts w:hint="eastAsia" w:ascii="仿宋_GB2312" w:hAnsi="Calibri" w:eastAsia="仿宋_GB2312" w:cs="Times New Roman"/>
          <w:b w:val="0"/>
          <w:bCs w:val="0"/>
          <w:kern w:val="0"/>
          <w:sz w:val="32"/>
          <w:szCs w:val="32"/>
          <w:lang w:val="en-US" w:eastAsia="zh-CN" w:bidi="ar"/>
        </w:rPr>
        <w:t>万元。</w:t>
      </w:r>
    </w:p>
    <w:p w14:paraId="7F04366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三</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绩效目标</w:t>
      </w:r>
    </w:p>
    <w:p w14:paraId="154AFCB8">
      <w:pPr>
        <w:keepNext w:val="0"/>
        <w:keepLines w:val="0"/>
        <w:pageBreakBefore w:val="0"/>
        <w:numPr>
          <w:ilvl w:val="0"/>
          <w:numId w:val="0"/>
        </w:numPr>
        <w:wordWrap/>
        <w:overflowPunct/>
        <w:topLinePunct w:val="0"/>
        <w:bidi w:val="0"/>
        <w:spacing w:line="560" w:lineRule="exact"/>
        <w:ind w:firstLine="643" w:firstLineChars="200"/>
        <w:rPr>
          <w:rFonts w:hint="eastAsia" w:ascii="仿宋_GB2312" w:hAnsi="Calibri" w:eastAsia="仿宋_GB2312" w:cs="Times New Roman"/>
          <w:b w:val="0"/>
          <w:bCs w:val="0"/>
          <w:kern w:val="0"/>
          <w:sz w:val="32"/>
          <w:szCs w:val="32"/>
          <w:lang w:val="en-US" w:eastAsia="zh-CN" w:bidi="ar"/>
        </w:rPr>
      </w:pPr>
      <w:r>
        <w:rPr>
          <w:rFonts w:hint="eastAsia" w:ascii="仿宋_GB2312" w:hAnsi="仿宋_GB2312" w:eastAsia="仿宋_GB2312" w:cs="仿宋_GB2312"/>
          <w:b/>
          <w:bCs/>
          <w:color w:val="000000"/>
          <w:sz w:val="32"/>
          <w:szCs w:val="32"/>
          <w:lang w:val="en-US" w:eastAsia="zh-CN"/>
        </w:rPr>
        <w:t>总体目标：</w:t>
      </w:r>
      <w:r>
        <w:rPr>
          <w:rFonts w:hint="eastAsia" w:ascii="仿宋_GB2312" w:hAnsi="Times New Roman" w:eastAsia="仿宋_GB2312" w:cs="Times New Roman"/>
          <w:sz w:val="32"/>
          <w:szCs w:val="32"/>
          <w:lang w:val="en-US" w:eastAsia="zh-CN"/>
        </w:rPr>
        <w:t>一是深入贯彻落实健康甘肃战略，按照兰州新区全面实施健康新区行动要求，推进兰州新区中医预防保健服务体系建设工作，开展中医药特色文化和内涵建设，提升中医药服务能力，推广中医适宜技术，大力发展各级医疗机构中医医院的预防、养生、保健服务，传播中医药健康养生知识，提高群众健康水平。二是确保药博会新区馆建设，宣传和招商引资有力，提升新区中医医疗服务能力。</w:t>
      </w:r>
    </w:p>
    <w:p w14:paraId="79940C5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四</w:t>
      </w:r>
      <w:r>
        <w:rPr>
          <w:rFonts w:ascii="楷体" w:hAnsi="楷体" w:eastAsia="楷体" w:cs="楷体"/>
          <w:i w:val="0"/>
          <w:caps w:val="0"/>
          <w:color w:val="333333"/>
          <w:spacing w:val="0"/>
          <w:sz w:val="32"/>
          <w:szCs w:val="32"/>
          <w:shd w:val="clear" w:color="auto" w:fill="FFFFFF"/>
        </w:rPr>
        <w:t>）</w:t>
      </w:r>
      <w:r>
        <w:rPr>
          <w:rFonts w:hint="eastAsia" w:ascii="楷体" w:hAnsi="楷体" w:eastAsia="楷体" w:cs="楷体"/>
          <w:i w:val="0"/>
          <w:caps w:val="0"/>
          <w:color w:val="333333"/>
          <w:spacing w:val="0"/>
          <w:sz w:val="32"/>
          <w:szCs w:val="32"/>
          <w:shd w:val="clear" w:color="auto" w:fill="FFFFFF"/>
          <w:lang w:eastAsia="zh-CN"/>
        </w:rPr>
        <w:t>项目预算情况</w:t>
      </w:r>
    </w:p>
    <w:p w14:paraId="48F9AF2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default"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该项目年初预算40万元，全部为新区预算资金。</w:t>
      </w:r>
    </w:p>
    <w:p w14:paraId="425F3CC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二、监控结论及分析</w:t>
      </w:r>
    </w:p>
    <w:p w14:paraId="101470A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default" w:ascii="楷体" w:hAnsi="楷体" w:eastAsia="楷体" w:cs="楷体"/>
          <w:i w:val="0"/>
          <w:caps w:val="0"/>
          <w:color w:val="333333"/>
          <w:spacing w:val="0"/>
          <w:sz w:val="32"/>
          <w:szCs w:val="32"/>
          <w:shd w:val="clear" w:color="auto" w:fill="FFFFFF"/>
          <w:lang w:val="en-US" w:eastAsia="zh-CN"/>
        </w:rPr>
      </w:pPr>
      <w:r>
        <w:rPr>
          <w:rFonts w:hint="eastAsia" w:ascii="楷体" w:hAnsi="楷体" w:eastAsia="楷体" w:cs="楷体"/>
          <w:i w:val="0"/>
          <w:caps w:val="0"/>
          <w:color w:val="333333"/>
          <w:spacing w:val="0"/>
          <w:sz w:val="32"/>
          <w:szCs w:val="32"/>
          <w:shd w:val="clear" w:color="auto" w:fill="FFFFFF"/>
          <w:lang w:eastAsia="zh-CN"/>
        </w:rPr>
        <w:t>（一）项目管理情况</w:t>
      </w:r>
    </w:p>
    <w:p w14:paraId="75A6A8D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olor w:val="auto"/>
          <w:sz w:val="32"/>
          <w:lang w:val="zh-CN"/>
        </w:rPr>
      </w:pPr>
      <w:r>
        <w:rPr>
          <w:rFonts w:hint="eastAsia" w:ascii="仿宋_GB2312" w:hAnsi="仿宋_GB2312" w:eastAsia="仿宋_GB2312"/>
          <w:color w:val="auto"/>
          <w:sz w:val="32"/>
        </w:rPr>
        <w:t>本项目严格按照《财政预算项目资金管理办法》和相关政策规定执行，项目资金使用从申请、复核、审核、批复等各环节操作程序到位，手续齐全，符合《财政专项资金管理办法》和相关政策规定。</w:t>
      </w:r>
    </w:p>
    <w:p w14:paraId="780A3C0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333333"/>
          <w:spacing w:val="0"/>
          <w:sz w:val="32"/>
          <w:szCs w:val="32"/>
          <w:shd w:val="clear" w:color="auto" w:fill="FFFFFF"/>
          <w:lang w:eastAsia="zh-CN"/>
        </w:rPr>
      </w:pPr>
      <w:r>
        <w:rPr>
          <w:rFonts w:hint="eastAsia" w:ascii="楷体" w:hAnsi="楷体" w:eastAsia="楷体" w:cs="楷体"/>
          <w:i w:val="0"/>
          <w:caps w:val="0"/>
          <w:color w:val="333333"/>
          <w:spacing w:val="0"/>
          <w:sz w:val="32"/>
          <w:szCs w:val="32"/>
          <w:shd w:val="clear" w:color="auto" w:fill="FFFFFF"/>
          <w:lang w:eastAsia="zh-CN"/>
        </w:rPr>
        <w:t>（二）预算执行情况</w:t>
      </w:r>
    </w:p>
    <w:p w14:paraId="65595E35">
      <w:pPr>
        <w:keepNext w:val="0"/>
        <w:keepLines w:val="0"/>
        <w:pageBreakBefore w:val="0"/>
        <w:widowControl/>
        <w:suppressLineNumbers w:val="0"/>
        <w:wordWrap/>
        <w:overflowPunct/>
        <w:topLinePunct w:val="0"/>
        <w:bidi w:val="0"/>
        <w:spacing w:line="560" w:lineRule="exact"/>
        <w:ind w:firstLine="640" w:firstLineChars="200"/>
        <w:jc w:val="left"/>
        <w:rPr>
          <w:rFonts w:hint="eastAsia" w:ascii="仿宋_GB2312" w:eastAsia="仿宋_GB2312" w:cs="宋体"/>
          <w:color w:val="000000"/>
          <w:sz w:val="32"/>
          <w:szCs w:val="32"/>
          <w:lang w:val="en-US" w:eastAsia="zh-CN"/>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年共收到</w:t>
      </w:r>
      <w:r>
        <w:rPr>
          <w:rFonts w:hint="eastAsia" w:ascii="仿宋_GB2312" w:eastAsia="仿宋_GB2312"/>
          <w:sz w:val="32"/>
          <w:szCs w:val="32"/>
          <w:lang w:val="en-US" w:eastAsia="zh-CN"/>
        </w:rPr>
        <w:t>项目</w:t>
      </w:r>
      <w:r>
        <w:rPr>
          <w:rFonts w:hint="eastAsia" w:ascii="仿宋_GB2312" w:eastAsia="仿宋_GB2312"/>
          <w:sz w:val="32"/>
          <w:szCs w:val="32"/>
        </w:rPr>
        <w:t>资金</w:t>
      </w:r>
      <w:r>
        <w:rPr>
          <w:rFonts w:hint="eastAsia" w:ascii="仿宋_GB2312" w:eastAsia="仿宋_GB2312"/>
          <w:sz w:val="32"/>
          <w:szCs w:val="32"/>
          <w:lang w:val="en-US" w:eastAsia="zh-CN"/>
        </w:rPr>
        <w:t>40</w:t>
      </w:r>
      <w:r>
        <w:rPr>
          <w:rFonts w:hint="eastAsia" w:ascii="仿宋_GB2312" w:eastAsia="仿宋_GB2312"/>
          <w:sz w:val="32"/>
          <w:szCs w:val="32"/>
        </w:rPr>
        <w:t>万元，</w:t>
      </w:r>
      <w:r>
        <w:rPr>
          <w:rFonts w:hint="eastAsia" w:ascii="仿宋_GB2312" w:eastAsia="仿宋_GB2312"/>
          <w:sz w:val="32"/>
          <w:szCs w:val="32"/>
          <w:lang w:eastAsia="zh-CN"/>
        </w:rPr>
        <w:t>具体资金使用情况如下：</w:t>
      </w:r>
      <w:r>
        <w:rPr>
          <w:rFonts w:hint="eastAsia" w:ascii="仿宋_GB2312" w:eastAsia="仿宋_GB2312" w:cs="宋体"/>
          <w:color w:val="000000"/>
          <w:sz w:val="32"/>
          <w:szCs w:val="32"/>
          <w:lang w:val="en-US" w:eastAsia="zh-CN"/>
        </w:rPr>
        <w:t>2023年下拨中医药建设和发展经费24万元，</w:t>
      </w:r>
      <w:r>
        <w:rPr>
          <w:rFonts w:hint="eastAsia" w:ascii="仿宋_GB2312" w:eastAsia="仿宋_GB2312"/>
          <w:sz w:val="32"/>
          <w:szCs w:val="32"/>
          <w:lang w:val="en-US" w:eastAsia="zh-CN"/>
        </w:rPr>
        <w:t>24万元</w:t>
      </w:r>
      <w:r>
        <w:rPr>
          <w:rFonts w:hint="eastAsia" w:ascii="仿宋_GB2312" w:eastAsia="仿宋_GB2312" w:cs="Times New Roman"/>
          <w:kern w:val="2"/>
          <w:sz w:val="32"/>
          <w:szCs w:val="32"/>
          <w:lang w:val="zh-CN" w:eastAsia="zh-CN" w:bidi="ar-SA"/>
        </w:rPr>
        <w:t>下拨</w:t>
      </w:r>
      <w:r>
        <w:rPr>
          <w:rFonts w:hint="eastAsia" w:ascii="仿宋_GB2312" w:eastAsia="仿宋_GB2312" w:cs="Times New Roman"/>
          <w:kern w:val="2"/>
          <w:sz w:val="32"/>
          <w:szCs w:val="32"/>
          <w:lang w:val="en-US" w:eastAsia="zh-CN" w:bidi="ar-SA"/>
        </w:rPr>
        <w:t>7家基层</w:t>
      </w:r>
      <w:r>
        <w:rPr>
          <w:rFonts w:hint="eastAsia" w:ascii="仿宋_GB2312" w:eastAsia="仿宋_GB2312" w:cs="Times New Roman"/>
          <w:kern w:val="2"/>
          <w:sz w:val="32"/>
          <w:szCs w:val="32"/>
          <w:lang w:val="zh-CN" w:eastAsia="zh-CN" w:bidi="ar-SA"/>
        </w:rPr>
        <w:t>医疗机构用于建设“旗舰”中医阁，其中下拨中川镇卫生院、秦川中心卫生院、栖霞社区卫生服务中心、新安社区卫生服务中心各</w:t>
      </w:r>
      <w:r>
        <w:rPr>
          <w:rFonts w:hint="eastAsia" w:ascii="仿宋_GB2312" w:eastAsia="仿宋_GB2312" w:cs="Times New Roman"/>
          <w:kern w:val="2"/>
          <w:sz w:val="32"/>
          <w:szCs w:val="32"/>
          <w:lang w:val="en-US" w:eastAsia="zh-CN" w:bidi="ar-SA"/>
        </w:rPr>
        <w:t>3万元（各建设1个中医阁），瑞岭</w:t>
      </w:r>
      <w:r>
        <w:rPr>
          <w:rFonts w:hint="eastAsia" w:ascii="仿宋_GB2312" w:eastAsia="仿宋_GB2312" w:cs="Times New Roman"/>
          <w:kern w:val="2"/>
          <w:sz w:val="32"/>
          <w:szCs w:val="32"/>
          <w:lang w:val="zh-CN" w:eastAsia="zh-CN" w:bidi="ar-SA"/>
        </w:rPr>
        <w:t>雅苑社区卫生服务中心和西岔中心卫生院各</w:t>
      </w:r>
      <w:r>
        <w:rPr>
          <w:rFonts w:hint="eastAsia" w:ascii="仿宋_GB2312" w:eastAsia="仿宋_GB2312" w:cs="Times New Roman"/>
          <w:kern w:val="2"/>
          <w:sz w:val="32"/>
          <w:szCs w:val="32"/>
          <w:lang w:val="en-US" w:eastAsia="zh-CN" w:bidi="ar-SA"/>
        </w:rPr>
        <w:t>6万元（各建设2个中医阁）。</w:t>
      </w:r>
      <w:r>
        <w:rPr>
          <w:rFonts w:hint="eastAsia" w:ascii="仿宋_GB2312" w:eastAsia="仿宋_GB2312" w:cs="宋体"/>
          <w:color w:val="000000"/>
          <w:sz w:val="32"/>
          <w:szCs w:val="32"/>
          <w:lang w:val="en-US" w:eastAsia="zh-CN"/>
        </w:rPr>
        <w:t>剩余16万元用于参加甘肃省举办的中医药产业博览会，</w:t>
      </w:r>
      <w:r>
        <w:rPr>
          <w:rFonts w:hint="eastAsia" w:ascii="仿宋_GB2312" w:hAnsi="仿宋_GB2312" w:eastAsia="仿宋_GB2312" w:cs="Times New Roman"/>
          <w:color w:val="auto"/>
          <w:sz w:val="32"/>
          <w:lang w:val="en-US" w:eastAsia="zh-CN"/>
        </w:rPr>
        <w:t>因</w:t>
      </w:r>
      <w:r>
        <w:rPr>
          <w:rFonts w:hint="eastAsia" w:ascii="仿宋_GB2312" w:eastAsia="仿宋_GB2312"/>
          <w:sz w:val="32"/>
          <w:szCs w:val="32"/>
          <w:lang w:eastAsia="zh-CN"/>
        </w:rPr>
        <w:t>建设</w:t>
      </w:r>
      <w:r>
        <w:rPr>
          <w:rFonts w:hint="eastAsia" w:ascii="仿宋_GB2312" w:eastAsia="仿宋_GB2312"/>
          <w:b w:val="0"/>
          <w:bCs w:val="0"/>
          <w:sz w:val="32"/>
          <w:szCs w:val="32"/>
          <w:lang w:val="en-US" w:eastAsia="zh-CN"/>
        </w:rPr>
        <w:t>药博会新区馆</w:t>
      </w:r>
      <w:r>
        <w:rPr>
          <w:rFonts w:hint="eastAsia" w:ascii="仿宋_GB2312" w:eastAsia="仿宋_GB2312"/>
          <w:sz w:val="32"/>
          <w:szCs w:val="32"/>
          <w:lang w:eastAsia="zh-CN"/>
        </w:rPr>
        <w:t>资金经合局已支付</w:t>
      </w:r>
      <w:r>
        <w:rPr>
          <w:rFonts w:hint="eastAsia" w:ascii="仿宋_GB2312" w:hAnsi="仿宋_GB2312" w:eastAsia="仿宋_GB2312" w:cs="Times New Roman"/>
          <w:color w:val="auto"/>
          <w:sz w:val="32"/>
          <w:lang w:val="en-US" w:eastAsia="zh-CN"/>
        </w:rPr>
        <w:t>，故16万元的</w:t>
      </w:r>
      <w:r>
        <w:rPr>
          <w:rFonts w:hint="eastAsia" w:ascii="仿宋_GB2312" w:hAnsi="Calibri" w:eastAsia="仿宋_GB2312" w:cs="Times New Roman"/>
          <w:b w:val="0"/>
          <w:bCs w:val="0"/>
          <w:kern w:val="0"/>
          <w:sz w:val="32"/>
          <w:szCs w:val="32"/>
          <w:lang w:val="en-US" w:eastAsia="zh-CN" w:bidi="ar"/>
        </w:rPr>
        <w:t>中医药建设和发展经费</w:t>
      </w:r>
      <w:r>
        <w:rPr>
          <w:rFonts w:hint="eastAsia" w:ascii="仿宋_GB2312" w:hAnsi="仿宋_GB2312" w:eastAsia="仿宋_GB2312" w:cs="Times New Roman"/>
          <w:color w:val="auto"/>
          <w:sz w:val="32"/>
          <w:lang w:val="en-US" w:eastAsia="zh-CN"/>
        </w:rPr>
        <w:t>未使用。</w:t>
      </w:r>
    </w:p>
    <w:p w14:paraId="210F0A00">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（三）绩效目标完成情况</w:t>
      </w:r>
    </w:p>
    <w:p w14:paraId="27DDB819">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1.产出指标完成情况</w:t>
      </w:r>
    </w:p>
    <w:p w14:paraId="0999F013">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（1）数量指标</w:t>
      </w:r>
    </w:p>
    <w:p w14:paraId="17DFA3ED">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eastAsia="仿宋_GB2312" w:cs="宋体"/>
          <w:color w:val="000000"/>
          <w:sz w:val="32"/>
          <w:szCs w:val="32"/>
          <w:lang w:val="en-US" w:eastAsia="zh-CN"/>
        </w:rPr>
      </w:pPr>
      <w:r>
        <w:rPr>
          <w:rFonts w:hint="eastAsia" w:ascii="仿宋_GB2312" w:eastAsia="仿宋_GB2312" w:cs="Times New Roman"/>
          <w:kern w:val="2"/>
          <w:sz w:val="32"/>
          <w:szCs w:val="32"/>
          <w:lang w:val="zh-CN" w:eastAsia="zh-CN" w:bidi="ar-SA"/>
        </w:rPr>
        <w:t>中川镇卫生院、秦川中心卫生院、栖霞社区卫生服务中心、新安社区卫生服务中心</w:t>
      </w:r>
      <w:r>
        <w:rPr>
          <w:rFonts w:hint="eastAsia" w:ascii="仿宋_GB2312" w:eastAsia="仿宋_GB2312" w:cs="Times New Roman"/>
          <w:kern w:val="2"/>
          <w:sz w:val="32"/>
          <w:szCs w:val="32"/>
          <w:lang w:val="en-US" w:eastAsia="zh-CN" w:bidi="ar-SA"/>
        </w:rPr>
        <w:t>各建设了1个中医阁；瑞岭</w:t>
      </w:r>
      <w:r>
        <w:rPr>
          <w:rFonts w:hint="eastAsia" w:ascii="仿宋_GB2312" w:eastAsia="仿宋_GB2312" w:cs="Times New Roman"/>
          <w:kern w:val="2"/>
          <w:sz w:val="32"/>
          <w:szCs w:val="32"/>
          <w:lang w:val="zh-CN" w:eastAsia="zh-CN" w:bidi="ar-SA"/>
        </w:rPr>
        <w:t>雅苑社区卫生服务中心和西岔中心卫生院</w:t>
      </w:r>
      <w:r>
        <w:rPr>
          <w:rFonts w:hint="eastAsia" w:ascii="仿宋_GB2312" w:eastAsia="仿宋_GB2312" w:cs="Times New Roman"/>
          <w:kern w:val="2"/>
          <w:sz w:val="32"/>
          <w:szCs w:val="32"/>
          <w:lang w:val="en-US" w:eastAsia="zh-CN" w:bidi="ar-SA"/>
        </w:rPr>
        <w:t>各建设了2个中医阁。</w:t>
      </w:r>
      <w:r>
        <w:rPr>
          <w:rFonts w:hint="eastAsia" w:ascii="仿宋_GB2312" w:eastAsia="仿宋_GB2312" w:cs="宋体"/>
          <w:color w:val="000000"/>
          <w:sz w:val="32"/>
          <w:szCs w:val="32"/>
          <w:lang w:val="en-US" w:eastAsia="zh-CN"/>
        </w:rPr>
        <w:t>目前，8家村卫生室（社区卫生服务站）至少均能开展4类6项以上中医药适宜技术。参加甘肃省举办的中医药产业博览会。</w:t>
      </w:r>
    </w:p>
    <w:p w14:paraId="7973B62D">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（2）质量指标</w:t>
      </w:r>
    </w:p>
    <w:p w14:paraId="7ADD6F3D">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eastAsia="仿宋_GB2312" w:cs="宋体"/>
          <w:color w:val="000000"/>
          <w:sz w:val="32"/>
          <w:szCs w:val="32"/>
          <w:lang w:val="en-US" w:eastAsia="zh-CN"/>
        </w:rPr>
      </w:pPr>
      <w:r>
        <w:rPr>
          <w:rFonts w:hint="eastAsia" w:ascii="仿宋_GB2312" w:eastAsia="仿宋_GB2312" w:cs="宋体"/>
          <w:color w:val="000000"/>
          <w:sz w:val="32"/>
          <w:szCs w:val="32"/>
          <w:lang w:val="en-US" w:eastAsia="zh-CN"/>
        </w:rPr>
        <w:t>项目计划已基本完成，项目内容全部开展，部分内容仍在实行过程中，项目完成质量高、及时，效率性高。通过建设与改造中医阁，</w:t>
      </w:r>
      <w:r>
        <w:rPr>
          <w:rFonts w:hint="eastAsia" w:ascii="仿宋_GB2312" w:eastAsia="仿宋_GB2312" w:cs="Times New Roman"/>
          <w:b w:val="0"/>
          <w:bCs w:val="0"/>
          <w:kern w:val="0"/>
          <w:sz w:val="32"/>
          <w:szCs w:val="32"/>
          <w:lang w:val="en-US" w:eastAsia="zh-CN" w:bidi="ar"/>
        </w:rPr>
        <w:t>改善了</w:t>
      </w:r>
      <w:r>
        <w:rPr>
          <w:rFonts w:hint="eastAsia" w:ascii="仿宋_GB2312" w:eastAsia="仿宋_GB2312" w:cs="宋体"/>
          <w:color w:val="000000"/>
          <w:sz w:val="32"/>
          <w:szCs w:val="32"/>
          <w:lang w:val="en-US" w:eastAsia="zh-CN"/>
        </w:rPr>
        <w:t>8家村卫生室（社区卫生服务站）</w:t>
      </w:r>
      <w:r>
        <w:rPr>
          <w:rFonts w:hint="eastAsia" w:ascii="仿宋_GB2312" w:eastAsia="仿宋_GB2312" w:cs="Times New Roman"/>
          <w:b w:val="0"/>
          <w:bCs w:val="0"/>
          <w:kern w:val="0"/>
          <w:sz w:val="32"/>
          <w:szCs w:val="32"/>
          <w:lang w:val="en-US" w:eastAsia="zh-CN" w:bidi="ar"/>
        </w:rPr>
        <w:t>中医药服务环境和服务条件</w:t>
      </w:r>
      <w:r>
        <w:rPr>
          <w:rFonts w:hint="eastAsia" w:ascii="仿宋_GB2312" w:eastAsia="仿宋_GB2312" w:cs="宋体"/>
          <w:color w:val="000000"/>
          <w:sz w:val="32"/>
          <w:szCs w:val="32"/>
          <w:lang w:val="en-US" w:eastAsia="zh-CN"/>
        </w:rPr>
        <w:t>。参加甘肃省举办的中医药产业博览会，宣传兰州新区中医药产业招商引资政策。</w:t>
      </w:r>
    </w:p>
    <w:p w14:paraId="0A0A2EF7">
      <w:pPr>
        <w:keepNext w:val="0"/>
        <w:keepLines w:val="0"/>
        <w:pageBreakBefore w:val="0"/>
        <w:widowControl/>
        <w:numPr>
          <w:ilvl w:val="0"/>
          <w:numId w:val="8"/>
        </w:numPr>
        <w:wordWrap/>
        <w:overflowPunct/>
        <w:topLinePunct w:val="0"/>
        <w:autoSpaceDE w:val="0"/>
        <w:autoSpaceDN w:val="0"/>
        <w:bidi w:val="0"/>
        <w:adjustRightInd w:val="0"/>
        <w:snapToGrid w:val="0"/>
        <w:spacing w:line="560" w:lineRule="exact"/>
        <w:ind w:firstLine="640" w:firstLineChars="200"/>
        <w:textAlignment w:val="baseline"/>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时效指标</w:t>
      </w:r>
    </w:p>
    <w:p w14:paraId="0AC05168">
      <w:pPr>
        <w:pStyle w:val="40"/>
        <w:keepNext w:val="0"/>
        <w:keepLines w:val="0"/>
        <w:pageBreakBefore w:val="0"/>
        <w:numPr>
          <w:ilvl w:val="0"/>
          <w:numId w:val="0"/>
        </w:numPr>
        <w:wordWrap/>
        <w:overflowPunct/>
        <w:topLinePunct w:val="0"/>
        <w:bidi w:val="0"/>
        <w:spacing w:line="560" w:lineRule="exact"/>
        <w:ind w:firstLine="640" w:firstLineChars="200"/>
        <w:rPr>
          <w:rFonts w:hint="eastAsia" w:ascii="仿宋_GB2312" w:hAnsi="Calibri" w:eastAsia="仿宋_GB2312" w:cs="宋体"/>
          <w:outline w:val="0"/>
          <w:color w:val="000000"/>
          <w:kern w:val="2"/>
          <w:sz w:val="32"/>
          <w:szCs w:val="32"/>
          <w:lang w:val="en-US" w:eastAsia="zh-CN" w:bidi="ar-SA"/>
        </w:rPr>
      </w:pPr>
      <w:r>
        <w:rPr>
          <w:rFonts w:hint="eastAsia" w:ascii="仿宋_GB2312" w:hAnsi="Calibri" w:eastAsia="仿宋_GB2312" w:cs="宋体"/>
          <w:outline w:val="0"/>
          <w:color w:val="000000"/>
          <w:kern w:val="2"/>
          <w:sz w:val="32"/>
          <w:szCs w:val="32"/>
          <w:lang w:val="en-US" w:eastAsia="zh-CN" w:bidi="ar-SA"/>
        </w:rPr>
        <w:t>及时给各医疗机构下拨经费，督促各基层医疗机构村卫生室（社区卫生服务站）开展中医特色优势专科建设工作，加强业务技术培训，提高中医专业技术。确保药博会新区馆建设，宣传和招商引资有力。</w:t>
      </w:r>
    </w:p>
    <w:p w14:paraId="6E1F55B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2.效益指标完成情况分析</w:t>
      </w:r>
    </w:p>
    <w:p w14:paraId="7F565B0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（1）社会效益</w:t>
      </w:r>
    </w:p>
    <w:p w14:paraId="7E8B1611">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Calibri" w:eastAsia="仿宋_GB2312" w:cs="宋体"/>
          <w:outline w:val="0"/>
          <w:color w:val="auto"/>
          <w:kern w:val="2"/>
          <w:sz w:val="32"/>
          <w:szCs w:val="32"/>
          <w:lang w:val="en-US" w:eastAsia="zh-CN" w:bidi="ar-SA"/>
        </w:rPr>
      </w:pPr>
      <w:r>
        <w:rPr>
          <w:rFonts w:hint="eastAsia" w:ascii="仿宋_GB2312" w:hAnsi="Times New Roman" w:eastAsia="仿宋_GB2312" w:cs="Times New Roman"/>
          <w:sz w:val="32"/>
          <w:szCs w:val="32"/>
          <w:lang w:eastAsia="zh-CN"/>
        </w:rPr>
        <w:t>通过</w:t>
      </w:r>
      <w:r>
        <w:rPr>
          <w:rFonts w:hint="eastAsia" w:ascii="仿宋_GB2312" w:hAnsi="Times New Roman" w:eastAsia="仿宋_GB2312" w:cs="Times New Roman"/>
          <w:sz w:val="32"/>
          <w:szCs w:val="32"/>
        </w:rPr>
        <w:t>创建辖区</w:t>
      </w:r>
      <w:r>
        <w:rPr>
          <w:rFonts w:hint="eastAsia" w:ascii="仿宋_GB2312" w:hAnsi="Times New Roman" w:eastAsia="仿宋_GB2312" w:cs="Times New Roman"/>
          <w:sz w:val="32"/>
          <w:szCs w:val="32"/>
          <w:lang w:val="en-US" w:eastAsia="zh-CN"/>
        </w:rPr>
        <w:t>8个</w:t>
      </w:r>
      <w:r>
        <w:rPr>
          <w:rFonts w:hint="eastAsia" w:ascii="仿宋_GB2312" w:hAnsi="Times New Roman" w:eastAsia="仿宋_GB2312" w:cs="Times New Roman"/>
          <w:sz w:val="32"/>
          <w:szCs w:val="32"/>
        </w:rPr>
        <w:t>社区卫生服务站、村卫生室开展“中医阁”，完善中医药场地、中医药诊疗服务设施，打造中医馆的“村级版”</w:t>
      </w:r>
      <w:r>
        <w:rPr>
          <w:rFonts w:hint="eastAsia" w:ascii="仿宋_GB2312" w:hAnsi="Calibri" w:eastAsia="仿宋_GB2312" w:cs="宋体"/>
          <w:outline w:val="0"/>
          <w:color w:val="auto"/>
          <w:kern w:val="2"/>
          <w:sz w:val="32"/>
          <w:szCs w:val="32"/>
          <w:lang w:val="en-US" w:eastAsia="zh-CN" w:bidi="ar-SA"/>
        </w:rPr>
        <w:t>，充分发挥中医药技术在</w:t>
      </w:r>
      <w:r>
        <w:rPr>
          <w:rFonts w:hint="eastAsia" w:ascii="仿宋_GB2312" w:eastAsia="仿宋_GB2312" w:cs="宋体"/>
          <w:outline w:val="0"/>
          <w:color w:val="auto"/>
          <w:kern w:val="2"/>
          <w:sz w:val="32"/>
          <w:szCs w:val="32"/>
          <w:lang w:val="en-US" w:eastAsia="zh-CN" w:bidi="ar-SA"/>
        </w:rPr>
        <w:t>基层医疗机构</w:t>
      </w:r>
      <w:r>
        <w:rPr>
          <w:rFonts w:hint="eastAsia" w:ascii="仿宋_GB2312" w:hAnsi="Calibri" w:eastAsia="仿宋_GB2312" w:cs="宋体"/>
          <w:outline w:val="0"/>
          <w:color w:val="auto"/>
          <w:kern w:val="2"/>
          <w:sz w:val="32"/>
          <w:szCs w:val="32"/>
          <w:lang w:val="en-US" w:eastAsia="zh-CN" w:bidi="ar-SA"/>
        </w:rPr>
        <w:t>诊疗过程中的巨大作用。</w:t>
      </w:r>
      <w:r>
        <w:rPr>
          <w:rFonts w:hint="eastAsia" w:ascii="仿宋_GB2312" w:eastAsia="仿宋_GB2312" w:cs="宋体"/>
          <w:color w:val="000000"/>
          <w:sz w:val="32"/>
          <w:szCs w:val="32"/>
          <w:lang w:val="en-US" w:eastAsia="zh-CN"/>
        </w:rPr>
        <w:t>参加甘肃省举办的中医药产业博览会，宣传兰州新区中医药产业相关产品和政策，推进招商引资落地</w:t>
      </w:r>
      <w:r>
        <w:rPr>
          <w:rFonts w:hint="eastAsia" w:ascii="仿宋_GB2312" w:hAnsi="Calibri" w:eastAsia="仿宋_GB2312" w:cs="宋体"/>
          <w:outline w:val="0"/>
          <w:color w:val="000000"/>
          <w:kern w:val="2"/>
          <w:sz w:val="32"/>
          <w:szCs w:val="32"/>
          <w:lang w:val="en-US" w:eastAsia="zh-CN" w:bidi="ar-SA"/>
        </w:rPr>
        <w:t>，提升新区中医医疗服务能力</w:t>
      </w:r>
      <w:r>
        <w:rPr>
          <w:rFonts w:hint="eastAsia" w:ascii="仿宋_GB2312" w:eastAsia="仿宋_GB2312" w:cs="宋体"/>
          <w:outline w:val="0"/>
          <w:color w:val="000000"/>
          <w:kern w:val="2"/>
          <w:sz w:val="32"/>
          <w:szCs w:val="32"/>
          <w:lang w:val="en-US" w:eastAsia="zh-CN" w:bidi="ar-SA"/>
        </w:rPr>
        <w:t>。</w:t>
      </w:r>
    </w:p>
    <w:p w14:paraId="17C8D18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（2）可持续影响</w:t>
      </w:r>
    </w:p>
    <w:p w14:paraId="1975F232">
      <w:pPr>
        <w:keepNext w:val="0"/>
        <w:keepLines w:val="0"/>
        <w:pageBreakBefore w:val="0"/>
        <w:widowControl/>
        <w:wordWrap/>
        <w:overflowPunct/>
        <w:topLinePunct w:val="0"/>
        <w:autoSpaceDE w:val="0"/>
        <w:autoSpaceDN w:val="0"/>
        <w:bidi w:val="0"/>
        <w:adjustRightInd w:val="0"/>
        <w:snapToGrid w:val="0"/>
        <w:spacing w:line="560" w:lineRule="exact"/>
        <w:ind w:firstLine="640" w:firstLineChars="200"/>
        <w:textAlignment w:val="baseline"/>
        <w:rPr>
          <w:rFonts w:hint="eastAsia" w:ascii="楷体" w:hAnsi="楷体" w:eastAsia="仿宋_GB2312" w:cs="楷体"/>
          <w:i w:val="0"/>
          <w:caps w:val="0"/>
          <w:color w:val="0000FF"/>
          <w:spacing w:val="0"/>
          <w:sz w:val="32"/>
          <w:szCs w:val="32"/>
          <w:shd w:val="clear" w:color="auto" w:fill="FFFFFF"/>
          <w:lang w:val="en-US" w:eastAsia="zh-CN"/>
        </w:rPr>
      </w:pPr>
      <w:r>
        <w:rPr>
          <w:rFonts w:hint="eastAsia" w:ascii="仿宋_GB2312" w:eastAsia="仿宋_GB2312" w:cs="宋体"/>
          <w:color w:val="auto"/>
          <w:sz w:val="32"/>
          <w:szCs w:val="32"/>
          <w:lang w:val="en-US" w:eastAsia="zh-CN"/>
        </w:rPr>
        <w:t>加强基层中医药服</w:t>
      </w:r>
      <w:r>
        <w:rPr>
          <w:rFonts w:hint="eastAsia" w:ascii="仿宋_GB2312" w:eastAsia="仿宋_GB2312" w:cs="宋体"/>
          <w:color w:val="000000"/>
          <w:sz w:val="32"/>
          <w:szCs w:val="32"/>
          <w:lang w:val="en-US" w:eastAsia="zh-CN"/>
        </w:rPr>
        <w:t>务能力建设，更好地发挥中医药在基层卫生服务中的作用，让广大基层人民群众能方便享受到“简、便、验、廉、安全有效”的中医药服务。</w:t>
      </w:r>
      <w:r>
        <w:rPr>
          <w:rFonts w:hint="eastAsia" w:ascii="仿宋_GB2312" w:hAnsi="Times New Roman" w:eastAsia="仿宋_GB2312" w:cs="Times New Roman"/>
          <w:sz w:val="32"/>
          <w:szCs w:val="32"/>
        </w:rPr>
        <w:t>做好中国（甘肃）中医药产业博览会参会工作，确保药博会新区馆建设，宣传和招商引资有力</w:t>
      </w:r>
      <w:r>
        <w:rPr>
          <w:rFonts w:hint="eastAsia" w:ascii="仿宋_GB2312" w:hAnsi="Times New Roman" w:eastAsia="仿宋_GB2312" w:cs="Times New Roman"/>
          <w:sz w:val="32"/>
          <w:szCs w:val="32"/>
          <w:lang w:eastAsia="zh-CN"/>
        </w:rPr>
        <w:t>。</w:t>
      </w:r>
    </w:p>
    <w:p w14:paraId="46529742">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736" w:leftChars="0" w:right="0" w:rightChars="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3.满意度指标完成情况分析</w:t>
      </w:r>
    </w:p>
    <w:p w14:paraId="499D58E2">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eastAsia="仿宋_GB2312" w:cs="仿宋_GB2312"/>
          <w:color w:val="auto"/>
          <w:sz w:val="32"/>
          <w:szCs w:val="32"/>
          <w:lang w:eastAsia="zh-CN"/>
        </w:rPr>
      </w:pPr>
      <w:r>
        <w:rPr>
          <w:rFonts w:hint="eastAsia" w:ascii="仿宋_GB2312" w:hAnsi="Calibri" w:eastAsia="仿宋_GB2312" w:cs="仿宋_GB2312"/>
          <w:color w:val="auto"/>
          <w:sz w:val="32"/>
          <w:szCs w:val="32"/>
        </w:rPr>
        <w:t>满意度指标分值为10分，得</w:t>
      </w:r>
      <w:r>
        <w:rPr>
          <w:rFonts w:hint="eastAsia" w:ascii="仿宋_GB2312" w:hAnsi="Calibri" w:eastAsia="仿宋_GB2312" w:cs="仿宋_GB2312"/>
          <w:color w:val="auto"/>
          <w:sz w:val="32"/>
          <w:szCs w:val="32"/>
          <w:lang w:val="en-US" w:eastAsia="zh-CN"/>
        </w:rPr>
        <w:t>9.8</w:t>
      </w:r>
      <w:r>
        <w:rPr>
          <w:rFonts w:hint="eastAsia" w:ascii="仿宋_GB2312" w:hAnsi="Calibri" w:eastAsia="仿宋_GB2312" w:cs="仿宋_GB2312"/>
          <w:color w:val="auto"/>
          <w:sz w:val="32"/>
          <w:szCs w:val="32"/>
        </w:rPr>
        <w:t>分。</w:t>
      </w:r>
      <w:r>
        <w:rPr>
          <w:rFonts w:hint="eastAsia" w:ascii="仿宋_GB2312" w:hAnsi="Calibri" w:eastAsia="仿宋_GB2312" w:cs="仿宋_GB2312"/>
          <w:color w:val="auto"/>
          <w:sz w:val="32"/>
          <w:szCs w:val="32"/>
          <w:lang w:eastAsia="zh-CN"/>
        </w:rPr>
        <w:t>通过向各医疗机构</w:t>
      </w:r>
      <w:r>
        <w:rPr>
          <w:rFonts w:hint="eastAsia" w:ascii="仿宋_GB2312" w:hAnsi="Calibri" w:eastAsia="仿宋_GB2312" w:cs="仿宋_GB2312"/>
          <w:color w:val="auto"/>
          <w:sz w:val="32"/>
          <w:szCs w:val="32"/>
          <w:lang w:val="zh-CN"/>
        </w:rPr>
        <w:t>下拨</w:t>
      </w:r>
      <w:r>
        <w:rPr>
          <w:rFonts w:hint="eastAsia" w:ascii="仿宋_GB2312" w:hAnsi="Calibri" w:eastAsia="仿宋_GB2312" w:cs="仿宋_GB2312"/>
          <w:color w:val="auto"/>
          <w:sz w:val="32"/>
          <w:szCs w:val="32"/>
          <w:lang w:val="zh-CN" w:eastAsia="zh-CN"/>
        </w:rPr>
        <w:t>中医药基础建设经费</w:t>
      </w:r>
      <w:r>
        <w:rPr>
          <w:rFonts w:hint="default" w:ascii="仿宋_GB2312" w:hAnsi="Calibri" w:eastAsia="仿宋_GB2312" w:cs="仿宋_GB2312"/>
          <w:color w:val="auto"/>
          <w:sz w:val="32"/>
          <w:szCs w:val="32"/>
          <w:lang w:val="en-US" w:eastAsia="zh-CN"/>
        </w:rPr>
        <w:t>,</w:t>
      </w:r>
      <w:r>
        <w:rPr>
          <w:rFonts w:hint="eastAsia" w:ascii="仿宋_GB2312" w:hAnsi="Calibri" w:eastAsia="仿宋_GB2312" w:cs="仿宋_GB2312"/>
          <w:color w:val="auto"/>
          <w:sz w:val="32"/>
          <w:szCs w:val="32"/>
          <w:lang w:val="en-US" w:eastAsia="zh-CN"/>
        </w:rPr>
        <w:t>使各医疗机构有充足的经费开展</w:t>
      </w:r>
      <w:r>
        <w:rPr>
          <w:rFonts w:hint="eastAsia" w:ascii="仿宋_GB2312" w:eastAsia="仿宋_GB2312" w:cs="仿宋_GB2312"/>
          <w:color w:val="auto"/>
          <w:sz w:val="32"/>
          <w:szCs w:val="32"/>
          <w:lang w:eastAsia="zh-CN"/>
        </w:rPr>
        <w:t>中医阁建设及人才培养</w:t>
      </w:r>
      <w:r>
        <w:rPr>
          <w:rFonts w:hint="eastAsia" w:ascii="仿宋_GB2312" w:hAnsi="Calibri" w:eastAsia="仿宋_GB2312" w:cs="仿宋_GB2312"/>
          <w:color w:val="auto"/>
          <w:sz w:val="32"/>
          <w:szCs w:val="32"/>
          <w:lang w:eastAsia="zh-CN"/>
        </w:rPr>
        <w:t>等工作</w:t>
      </w:r>
      <w:r>
        <w:rPr>
          <w:rFonts w:hint="eastAsia" w:ascii="仿宋_GB2312" w:eastAsia="仿宋_GB2312" w:cs="仿宋_GB2312"/>
          <w:color w:val="auto"/>
          <w:sz w:val="32"/>
          <w:szCs w:val="32"/>
          <w:lang w:eastAsia="zh-CN"/>
        </w:rPr>
        <w:t>，</w:t>
      </w:r>
      <w:r>
        <w:rPr>
          <w:rFonts w:hint="eastAsia" w:ascii="仿宋_GB2312" w:hAnsi="Calibri" w:eastAsia="仿宋_GB2312" w:cs="仿宋_GB2312"/>
          <w:color w:val="auto"/>
          <w:sz w:val="32"/>
          <w:szCs w:val="32"/>
          <w:lang w:val="en-US" w:eastAsia="zh-CN"/>
        </w:rPr>
        <w:t>推进中医药事业传承发展，提升中医药服务能力。</w:t>
      </w:r>
    </w:p>
    <w:p w14:paraId="327A9E9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1F11FDC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该项目资金大多用于中医阁用房装修改造，而购置中医诊疗设备投入较少。下一步，新区卫生健康委将继续沿着“突出中医特色，发挥优势，以专科建设为重点，以完善综合服务功能为目标”的业务发展思路，督促各医疗机构村卫生室（社区卫生服务站）加强中医特色诊疗，在专业上拓展新项目。</w:t>
      </w:r>
    </w:p>
    <w:p w14:paraId="2F8C2DA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390E7DA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56E17AC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7755611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756858E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6FFCCE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pPr>
      <w:r>
        <w:rPr>
          <w:rFonts w:hint="eastAsia" w:ascii="仿宋_GB2312" w:eastAsia="仿宋_GB2312"/>
          <w:sz w:val="32"/>
          <w:szCs w:val="32"/>
          <w:lang w:eastAsia="zh-CN"/>
        </w:rPr>
        <w:t>因建设</w:t>
      </w:r>
      <w:r>
        <w:rPr>
          <w:rFonts w:hint="eastAsia" w:ascii="仿宋_GB2312" w:eastAsia="仿宋_GB2312"/>
          <w:b w:val="0"/>
          <w:bCs w:val="0"/>
          <w:sz w:val="32"/>
          <w:szCs w:val="32"/>
          <w:lang w:val="en-US" w:eastAsia="zh-CN"/>
        </w:rPr>
        <w:t>药博会新区馆</w:t>
      </w:r>
      <w:r>
        <w:rPr>
          <w:rFonts w:hint="eastAsia" w:ascii="仿宋_GB2312" w:eastAsia="仿宋_GB2312"/>
          <w:sz w:val="32"/>
          <w:szCs w:val="32"/>
          <w:lang w:eastAsia="zh-CN"/>
        </w:rPr>
        <w:t>资金经合局已支付，我委的资金</w:t>
      </w:r>
      <w:r>
        <w:rPr>
          <w:rFonts w:hint="eastAsia" w:ascii="仿宋_GB2312" w:eastAsia="仿宋_GB2312"/>
          <w:sz w:val="32"/>
          <w:szCs w:val="32"/>
          <w:lang w:val="en-US" w:eastAsia="zh-CN"/>
        </w:rPr>
        <w:t>16万元</w:t>
      </w:r>
      <w:r>
        <w:rPr>
          <w:rFonts w:hint="eastAsia" w:ascii="仿宋_GB2312" w:eastAsia="仿宋_GB2312"/>
          <w:sz w:val="32"/>
          <w:szCs w:val="32"/>
          <w:lang w:eastAsia="zh-CN"/>
        </w:rPr>
        <w:t>预算未执行</w:t>
      </w:r>
      <w:r>
        <w:rPr>
          <w:rFonts w:hint="eastAsia" w:ascii="仿宋_GB2312" w:eastAsia="仿宋_GB2312"/>
          <w:sz w:val="32"/>
          <w:szCs w:val="32"/>
        </w:rPr>
        <w:t>。</w:t>
      </w:r>
    </w:p>
    <w:p w14:paraId="4ACCF93D">
      <w:pPr>
        <w:ind w:firstLine="643"/>
        <w:outlineLvl w:val="2"/>
        <w:rPr>
          <w:rFonts w:hint="eastAsia" w:ascii="楷体" w:hAnsi="楷体" w:eastAsia="楷体" w:cs="楷体"/>
          <w:b/>
          <w:bCs/>
          <w:szCs w:val="32"/>
          <w:lang w:eastAsia="zh-CN"/>
        </w:rPr>
      </w:pPr>
      <w:r>
        <w:rPr>
          <w:rFonts w:hint="eastAsia" w:ascii="楷体" w:hAnsi="楷体" w:eastAsia="楷体" w:cs="楷体"/>
          <w:b/>
          <w:bCs/>
          <w:szCs w:val="32"/>
        </w:rPr>
        <w:t>（</w:t>
      </w:r>
      <w:r>
        <w:rPr>
          <w:rFonts w:hint="eastAsia" w:ascii="楷体" w:hAnsi="楷体" w:eastAsia="楷体" w:cs="楷体"/>
          <w:b/>
          <w:bCs/>
          <w:szCs w:val="32"/>
          <w:lang w:eastAsia="zh-CN"/>
        </w:rPr>
        <w:t>六</w:t>
      </w:r>
      <w:r>
        <w:rPr>
          <w:rFonts w:hint="eastAsia" w:ascii="楷体" w:hAnsi="楷体" w:eastAsia="楷体" w:cs="楷体"/>
          <w:b/>
          <w:bCs/>
          <w:szCs w:val="32"/>
        </w:rPr>
        <w:t>）</w:t>
      </w:r>
      <w:r>
        <w:rPr>
          <w:rFonts w:hint="eastAsia" w:ascii="楷体" w:hAnsi="楷体" w:eastAsia="楷体" w:cs="楷体"/>
          <w:b/>
          <w:bCs/>
          <w:szCs w:val="32"/>
          <w:lang w:eastAsia="zh-CN"/>
        </w:rPr>
        <w:t>基本公共卫生项目经费</w:t>
      </w:r>
    </w:p>
    <w:p w14:paraId="70DD9CCF">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35826F1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4B8182B5">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国家基本公共卫生服务项目，是促进基本公共卫生服务逐步均等化的重要内容，是深化医药卫生体制改革的重要工作。是我国政府针对当前城乡居民存在的主要健康问题，以儿童、孕产妇、老年人、慢性疾病患者为重点人群，面向全体居民免费提供的最基本的公共卫生服务。开展服务项目所需资金主要由政府承担，城乡居民可直接受益，服务主要由乡镇卫生院、村卫生室、社区卫生服务中心(站)负责具体实施。</w:t>
      </w:r>
    </w:p>
    <w:p w14:paraId="7DB18B2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4304C62B">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全年开展城乡居民健康档案管理、健康教育、预防接种、0~6岁儿童健康管理、孕产妇健康管理、老年人健康管理、慢性病患者健康管理(高血压、糖尿病)、严重精神障碍患者管理、结核病患者健康管理、传染病及突发公共卫生事件报告和处理服务、中医药健康管理、卫生计生监督协管服务工作。</w:t>
      </w:r>
    </w:p>
    <w:p w14:paraId="79E3AE86">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22F5A825">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总目标：通过各级政府对国家基本公共卫生服务项目的投入，按照“倾斜基层、优化结构、突出重点、提高质量”的原则，重点巩固现有服务项目，进一步扩大服务覆盖面，加强项目宣传和培训，完善服务模式和项目管理方式，提高服务规范程度，提高居民感受度，实现基本公共卫生服务均等化。</w:t>
      </w:r>
    </w:p>
    <w:p w14:paraId="03F6C977">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051D3015">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hAnsi="仿宋_GB2312" w:eastAsia="仿宋_GB2312" w:cs="仿宋_GB2312"/>
          <w:sz w:val="32"/>
          <w:szCs w:val="32"/>
          <w:lang w:val="en-US" w:eastAsia="zh-CN"/>
        </w:rPr>
        <w:t>2485.87</w:t>
      </w:r>
      <w:r>
        <w:rPr>
          <w:rFonts w:hint="eastAsia" w:ascii="仿宋_GB2312" w:eastAsia="仿宋_GB2312"/>
          <w:sz w:val="32"/>
          <w:szCs w:val="32"/>
        </w:rPr>
        <w:t>万元，其中</w:t>
      </w:r>
      <w:r>
        <w:rPr>
          <w:rFonts w:hint="eastAsia" w:ascii="仿宋_GB2312" w:eastAsia="仿宋_GB2312"/>
          <w:sz w:val="32"/>
          <w:szCs w:val="32"/>
          <w:lang w:eastAsia="zh-CN"/>
        </w:rPr>
        <w:t>中央拨付</w:t>
      </w:r>
      <w:r>
        <w:rPr>
          <w:rFonts w:hint="eastAsia" w:ascii="仿宋_GB2312" w:eastAsia="仿宋_GB2312"/>
          <w:sz w:val="32"/>
          <w:szCs w:val="32"/>
          <w:lang w:val="en-US" w:eastAsia="zh-CN"/>
        </w:rPr>
        <w:t>1989.68万元，省级拨付335.99万元</w:t>
      </w:r>
      <w:r>
        <w:rPr>
          <w:rFonts w:hint="eastAsia" w:ascii="仿宋_GB2312" w:eastAsia="仿宋_GB2312"/>
          <w:sz w:val="32"/>
          <w:szCs w:val="32"/>
        </w:rPr>
        <w:t>，新区配套</w:t>
      </w:r>
      <w:r>
        <w:rPr>
          <w:rFonts w:hint="eastAsia" w:ascii="仿宋_GB2312" w:eastAsia="仿宋_GB2312"/>
          <w:sz w:val="32"/>
          <w:szCs w:val="32"/>
          <w:lang w:val="en-US" w:eastAsia="zh-CN"/>
        </w:rPr>
        <w:t>160.2</w:t>
      </w:r>
      <w:r>
        <w:rPr>
          <w:rFonts w:hint="eastAsia" w:ascii="仿宋_GB2312" w:eastAsia="仿宋_GB2312"/>
          <w:sz w:val="32"/>
          <w:szCs w:val="32"/>
        </w:rPr>
        <w:t>万元。</w:t>
      </w:r>
    </w:p>
    <w:p w14:paraId="0308BECC">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01B7F22B">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03B139C6">
      <w:pPr>
        <w:numPr>
          <w:ilvl w:val="0"/>
          <w:numId w:val="0"/>
        </w:num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val="en-US" w:eastAsia="zh-CN"/>
        </w:rPr>
        <w:t>1.</w:t>
      </w:r>
      <w:r>
        <w:rPr>
          <w:rFonts w:hint="eastAsia" w:ascii="楷体" w:hAnsi="楷体" w:eastAsia="楷体" w:cs="楷体"/>
          <w:sz w:val="32"/>
          <w:szCs w:val="32"/>
          <w:lang w:eastAsia="zh-CN"/>
        </w:rPr>
        <w:t>抓实抓细基本</w:t>
      </w:r>
      <w:r>
        <w:rPr>
          <w:rFonts w:hint="eastAsia" w:ascii="楷体" w:hAnsi="楷体" w:eastAsia="楷体" w:cs="楷体"/>
          <w:sz w:val="32"/>
          <w:szCs w:val="32"/>
        </w:rPr>
        <w:t>公共卫生</w:t>
      </w:r>
      <w:r>
        <w:rPr>
          <w:rFonts w:hint="eastAsia" w:ascii="楷体" w:hAnsi="楷体" w:eastAsia="楷体" w:cs="楷体"/>
          <w:sz w:val="32"/>
          <w:szCs w:val="32"/>
          <w:lang w:eastAsia="zh-CN"/>
        </w:rPr>
        <w:t>项目工作</w:t>
      </w:r>
    </w:p>
    <w:p w14:paraId="05EFE85B">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采取“请进来、走出去”方式融会贯通。坚持邀请省级考核组专家进行季度、半年、年度基本公共卫生服务项目和家庭医生签约服务考核评价，确保权威公正。根据工作进度结合年度排名实行末尾淘汰制，根据工作需要调整了部分基层医疗机构主要负责人，建议部分基层医疗机构对分管领导进行了调整。</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是新区基本公共卫生成为全省亮点和名片。连续接待国家卫健委公共卫生考核、优质服务基层行复核、经省卫生健康委推荐，8月7日健康报、中国新闻社甘肃分社、甘肃日报、每日甘肃网、省广播电视总台、视听甘肃、中国网甘肃频道记者团队对新区基本公卫工作进行了采访报道，深入西岔中心卫生院、雅苑社区卫生服务中心对智慧公卫系统开展采访，与村医代表进行访谈，通过入户走访、采访签约居民，全面宣传新区基本公共卫生工作。</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是慢性病综合防控示范区建设。组织兰大公卫学院团队开展慢性病社会影响因素调查，掌握新区重点慢性病状况及社会影响因素，工作成效显著。结合兰州新区18岁以上居民卫生服务实际情况，新区慢性病危险因素现场调查目标人口数在15万左右，抽样采用三阶段整群随机抽样的方法，抽样人数在2000-3000之间，占目标对象的1.33%—2.0%，实际完成全部调查内容人数为2674人，占目标对象1.8%。并积极与省卫健委疾控处、基层处对接降低了新区慢病考核指标。</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是组织开展2023年糖尿病高危人群健康教育与筛查能力提升项目。组织糖尿病高危人群现场筛查活动，进行糖尿病相关疾病知识宣教，提升基层医疗卫生人员糖尿病筛查服务能力，增强健康教育和慢病管理能力。进一步深化落实糖尿病“早发现，早诊断，早治疗”的防控措施，促进基层糖尿病健康知识传播，提升基层糖尿病知晓率。新区共承担筛查项目3800人，组织基层科多次在筛查现场了解进度情况，现场发现问题解决问题。因新区项目开展出色，获省卫生健康委推荐，新区代表甘肃接受国家卫生健康委能力建设和继续教育中心组织的媒体采访和项目调研，受到国家调研组高度肯定和赞扬。</w:t>
      </w:r>
    </w:p>
    <w:p w14:paraId="79C19AA1">
      <w:p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val="en-US" w:eastAsia="zh-CN"/>
        </w:rPr>
        <w:t>2.</w:t>
      </w:r>
      <w:r>
        <w:rPr>
          <w:rFonts w:hint="eastAsia" w:ascii="楷体" w:hAnsi="楷体" w:eastAsia="楷体" w:cs="楷体"/>
          <w:sz w:val="32"/>
          <w:szCs w:val="32"/>
        </w:rPr>
        <w:t>坚持夯实基层服务能力基础</w:t>
      </w:r>
    </w:p>
    <w:p w14:paraId="6FD37D59">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通过规范机构内部管理，改善硬件设施设备，加强临床专科建设，拓展医疗服务项目，提高医疗质量安全等举措，涌现了一批综合实力不断提升，并各具特色的基层医疗机构，新区基层医疗机构能力走在了全省前列。目前兰州新区乡镇卫生院（社区卫生服务中心）“国家优质服务基层行”基本标准达标率100%，推荐标准达标率57.14%，稳居全省第一。秦川中心卫生院成功创建为社区医院，并被确定为省级基层卫生人才培训基地（第一批）。3家基层医疗机构代表甘肃省接受国家“优质服务基层行”活动现场一致性评价，评价过程中均受到了国家专家组高度肯定。二是强化医共体建设，医防融合发展。通过紧密型县域医共体建设，由医共体牵头单位新区第一人民医院对成员单位开展组团式对口帮扶，实现县乡村一体化管理。各基层医院根据发展基础和群众需要，错位发展、分别打造2个特色科室，将基层特色科室作为牵头医院相关科室的延伸。向基层医疗机构下沉二级病种139种、药品246种。大病重病患者向区内回流、常见多发病向基层回流的趋势愈发明显，“基层首诊、双向转诊、急慢分治、上下联动”的分级诊疗和就医新格局基本实现。</w:t>
      </w:r>
    </w:p>
    <w:p w14:paraId="68EA168E">
      <w:pPr>
        <w:numPr>
          <w:ilvl w:val="0"/>
          <w:numId w:val="0"/>
        </w:num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val="en-US" w:eastAsia="zh-CN"/>
        </w:rPr>
        <w:t>3.</w:t>
      </w:r>
      <w:r>
        <w:rPr>
          <w:rFonts w:hint="eastAsia" w:ascii="楷体" w:hAnsi="楷体" w:eastAsia="楷体" w:cs="楷体"/>
          <w:sz w:val="32"/>
          <w:szCs w:val="32"/>
        </w:rPr>
        <w:t>坚持以人为本持续完善乡村医生体系建设</w:t>
      </w:r>
    </w:p>
    <w:p w14:paraId="6C26F739">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强基固本服务人才，改革推动服务体系不断完善。全面提升乡镇卫生院防病治病和健康管理能力，鼓励拓展康复医疗、医养结合、安宁疗护等服务功能，为乡村医生拓展职业前景提供坚实后盾的“娘家人”，做好呵护成长的贴心人。树立“乡村医生就是人才”的观念，注重改善环境发现人才，发展壮大乡村医疗卫生队伍，充分认识到乡村和社区医生不仅仅是“健康守门人”角色，更是推动医防融合发展，深化家签服务内涵，让人民群众有更多获得感幸福感的“开拓者”。二是不拘一格人才，加强适宜人才培养和引进。近几年累计引进52名大学生（含定向生8名）补充乡村医生队伍，其中2023年通过大学生乡村医生专项计划，聘用27名大学生并免试申请乡村医生注册。先后引进具备例针刀医学诊疗技术、皇甫谧针灸术、中医皮肤病、中医康复、中医脾胃病等特长的人才为乡村医生，为其量身打造乡镇卫生院延伸至村级的医疗服务点。优秀的人才环境先后吸引县级医院、民营医院、个体诊所等不同来源的人才到新区村卫生室（社区卫生服务站）工作。三是落实乡村医生多渠道补偿政策。足额发放基本公共卫生服务项目补助、家庭医生签约补助、村医定额补助、基本药物制度补助，一般诊疗费和中医药适宜技术等收入由乡镇卫生院按照绩效考核结果按月发放。为所有村医购买企业职工养老保险、职工基本医疗保险离岗村医发放养老补助，鼓励有条件的基层医疗机构为村医缴纳五险一金、互助险等社会保险。新区财政为每一个村卫生室每年补贴运营经费1000元。各基层医疗机构通过发放统一工作服、家签服，享受单位食堂餐补，提供拎包入住过渡宿舍，租用新能源汽车，补贴电话费、网费等方式提供衣食住行用全面后勤保障。四是鼓励各基层医疗机构根据实际情况探索乡聘村用新机制，中川镇卫生院探索将通过职称考试尚未聘用的乡村医生发放职称补贴，新安社区卫生服务中心为女村医休产假期间每月发放1000元补助。实施基层卫生人员能力提升培训计划，鼓励乡村医生参加业务培训和继续教育。依托国培项目、甘肃省基层医疗卫生服务能力提升远程培训系统、新区医共体培训体系等线上线下平台，围绕基本医疗、急诊急救、基本公共卫生、中医适宜技术、健康帮扶政策等重点内容，多途径、多方式开展培训工作，48名村医完成五批次的国家培训项目。五是支持符合条件的乡村医生接受中、高等医学学历教育。推动乡村医生向执业（助理）医师转化，打造一支专业化、规范化乡村医生队伍。新区108名村医中(不含应届大学生)，执业（助理）医师85人，执业（助理）医师占比78.7%，排名全省第一。探索将取得执业医师资格，且群众反映好的乡村医生，通过新区公开招聘的形式选拔录用，先后有多名乡村医生考入乡镇卫生院（社区卫生服务中心）。</w:t>
      </w:r>
    </w:p>
    <w:p w14:paraId="6CEA1991">
      <w:pPr>
        <w:numPr>
          <w:ilvl w:val="0"/>
          <w:numId w:val="0"/>
        </w:numPr>
        <w:spacing w:line="600" w:lineRule="exact"/>
        <w:ind w:firstLine="640" w:firstLineChars="200"/>
        <w:rPr>
          <w:rFonts w:hint="eastAsia" w:ascii="楷体" w:hAnsi="楷体" w:eastAsia="楷体" w:cs="楷体"/>
          <w:sz w:val="32"/>
          <w:szCs w:val="32"/>
        </w:rPr>
      </w:pPr>
      <w:r>
        <w:rPr>
          <w:rFonts w:hint="eastAsia" w:ascii="仿宋_GB2312" w:hAnsi="仿宋_GB2312" w:eastAsia="仿宋_GB2312" w:cs="仿宋_GB2312"/>
          <w:sz w:val="32"/>
          <w:szCs w:val="32"/>
          <w:lang w:val="en-US" w:eastAsia="zh-CN"/>
        </w:rPr>
        <w:t>4.</w:t>
      </w:r>
      <w:r>
        <w:rPr>
          <w:rFonts w:hint="eastAsia" w:ascii="楷体" w:hAnsi="楷体" w:eastAsia="楷体" w:cs="楷体"/>
          <w:sz w:val="32"/>
          <w:szCs w:val="32"/>
        </w:rPr>
        <w:t>全面推进“明星粉丝”家庭医生签约“三清一满意”行动</w:t>
      </w:r>
    </w:p>
    <w:p w14:paraId="4ABC2A81">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三清一满意”专项行动探索符合新区特色的明星粉丝家签模式，强化签约服务内涵，深度推动医防融合。一是探索建立具有新区特色的明星粉丝家签模式。过去村医作为家庭医生签约主体，虽然和群众更熟悉，但服务能力相对较弱，上下协调手段相对单一。为克服这一痛难点，兰州新区成立以卫生院（社区卫生服务中心）临床医生为团队长的医防融合家签团队吸纳公卫专干、村医为成员，团队分片包干，每签约一人新区财政给予团队5元补贴。卫生院（社区卫生服务中心）根据考核成绩打包拨付相关经费给团队，团队长负责内部协调及绩效二次考核，充分调动团队积极性，促进团队紧密协作，目标统一。在此基础上进一步探索新区明星粉丝家签模式，推出一批业务能力高、责任心强、与群众联系密切的“明星”医生，吸引群众“粉丝”与之签约，成立医防融合明星家签团队80个。开展“明星家庭医生”评比活动，以赛促干，引导团队良性竞争，相互借鉴，共同进步。二是全面推行信息化，签约服务更加高效。依托信息化手段，通过新区智慧公卫系统“互联网﹢”家庭医生签约服务信息平台，签约医生可通过手机APP端口直接完成各类签约数据的采集与录入，自动生成签约台账并支持导出打印，实现了签约流程集成化。系统内置工作地点实时定位、佐证资料实时传输等制约性技术手段，并自动存储签约医生开展签约服务的工作时间、服务内容等痕迹资料，实现了绩效评价可追溯。强化与人口计生系统、his系统、电子档案系统、慢病系统等平台动态对接，做好签约居民动态信息变更与居民电子健康档案的归总。提供个性化的健康干预，前移健康管理关口。三是专项行动精准摸排，精细服务。借助信息化手段与入户摸排相结合，联合公共卫生委员会，开展家签“三清一满意”（服务数据清、重点人群清、病情近况清，不断提升群众满意度）专项行动。第一轮地毯式全域排摸，做到底数清楚。第二轮盯住糖尿病、高血压等慢性病及其他患病人群，做到重点突出。第三轮将团队专科医生与摸排出的重点签约对象通过电话、微信等方式紧密绑定，建立重点人群数据库，全部由家签团队通过主动追踪做到“一对一”个性化签约服务，根据家签对象病情变化实行精准分级分类管理，实现“全专联合”，根据家签对象病情变化实行精准分级分类管理。累计面对面排摸73426户次341586人次，完成家庭医生签约建档289190人，签约率达到96.4%。累计摸排新增高血压患者5162人，管理率提升19.06%；新增糖尿病患者1531人，管理率提升14.68%；新增严重精神障碍患者132人，管理率提升9.8%；摸排其他疾病 2215人，其中：心脑血管疾病655人，慢性疼痛疾病 393人，肿瘤365人，肺系疾病 343人，消化道疾病242人，传染病82人。根据摸排结果进行个性化追踪服务，对需要住院的通过新区医共体途径积极送人就医，累计上转1145人次、下转1091人次，“基层首诊、双向转诊、急慢分治、上下联动”的分级诊疗和就医新格局初步形成，群众对健康服务满意度明显提升，非常认可。</w:t>
      </w:r>
    </w:p>
    <w:p w14:paraId="5F4D9C0A">
      <w:pPr>
        <w:numPr>
          <w:ilvl w:val="0"/>
          <w:numId w:val="0"/>
        </w:num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val="en-US" w:eastAsia="zh-CN"/>
        </w:rPr>
        <w:t>5.</w:t>
      </w:r>
      <w:r>
        <w:rPr>
          <w:rFonts w:hint="eastAsia" w:ascii="楷体" w:hAnsi="楷体" w:eastAsia="楷体" w:cs="楷体"/>
          <w:sz w:val="32"/>
          <w:szCs w:val="32"/>
        </w:rPr>
        <w:t>创新宣传方式，提升群众参与度</w:t>
      </w:r>
    </w:p>
    <w:p w14:paraId="463073DA">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专业宣传广告公司合作，组织2023年基本公共卫生服务项目暨家庭医生签约服务宣传活动。新区卫生健康委利用每一个节假日、中国传统节日等，组织各基层医疗机构进行精准宣传。组织新区基层医疗机构50余人赴新区最专业文化传媒公司学习专业化、视频化、网络化宣传报道知识，并快速学以致用，近期拍摄的基层公卫系列科普视频点击量均过千次。新区基层健康工作在新区卫生健康委微信公众号发表宣传信息100余篇，被甘肃电视台、甘肃日报、甘肃经济日报、新区发布、新区报等省市级媒体宣传报道50余篇，被人民卫生出版社等国家级媒体采纳或宣传报道5次。在国家卫健委基层司指导，中华医学会全科分会等三部门举办的“家医岗位练兵暨风采展示活动”中，家医健康文艺风采作品全国共15部作品入选，由新区选送的作品《我是一名战士》（作者王俊成）入选，家医职业风采全国共50部作品入选，新区选送的《秦川卫生院宣传片》（作者段颖婷）、《中川卫生院宣传片》（作者赖兰花）2部作品入选，以上作品于2023年2月17日在山东省临沂市集中展示演出，《我是一名战士》最后荣获全国岗位练兵暨风采展示总决赛投票第三名。另有《战疫的奉献》被中国社区卫生协会展播。新区的基层卫生健康宣传工作采取贴近老百姓喜闻乐见的形式，不断走深走实，进一步提升了群众的知晓率、认同感和满意度。</w:t>
      </w:r>
    </w:p>
    <w:p w14:paraId="2DF1F555">
      <w:pPr>
        <w:numPr>
          <w:ilvl w:val="0"/>
          <w:numId w:val="0"/>
        </w:num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val="en-US" w:eastAsia="zh-CN"/>
        </w:rPr>
        <w:t>6.</w:t>
      </w:r>
      <w:r>
        <w:rPr>
          <w:rFonts w:hint="eastAsia" w:ascii="楷体" w:hAnsi="楷体" w:eastAsia="楷体" w:cs="楷体"/>
          <w:sz w:val="32"/>
          <w:szCs w:val="32"/>
        </w:rPr>
        <w:t>不断优化妇幼健康服务流程，提升服务能能力</w:t>
      </w:r>
    </w:p>
    <w:p w14:paraId="630E6210">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巩固强化母婴安全制度落实成效。切实维护妇女儿童健康权益，制定《兰州新区母婴安全行动提升计划实施方案》，以预防和减少孕产妇和婴儿死亡为核心，以落实母婴安全保障制度为重点，进一步完善危重孕产妇和新生儿救治体系，提高各级医疗机构妇幼健康服务能力，提升妇幼健康服务水平。进一步做好重大妇幼项目，降低出生缺陷发生风险，提高出生人口素质，切实提高妇女儿童健康水平。二是加强督导培训。每季度举办妇幼健康工作例会暨妇幼健康工作培训会，对妇幼健康工作进行总结，就母婴安全保障工作、0-6岁儿童眼保健工作、妇幼健康信息管理及妇幼重大项目工作进行培训，安排下一步重点工作。全面加强妇幼保健服务能力建设，促进妇幼健康服务工作有序开展，对新区7家基层医疗机构及2家助产机构的妇幼保健工作进行现场督导和培训，逐一下发督导意见，规范妇幼健康服务项目管理，提高孕产妇和儿童健康管理服务水平。邀请国家名中医郭晓颖主任团队在西岔中心卫生院开展儿童健康服务能力提升培训，共预约服务20余名6月至6岁之间儿童，参与培训医务人员50余名，示教过程作为系统内培训教材推广应用。邀请甘肃省妇产科首席专家、省妇幼妇产科何晓春主任、兰州大学第二医院妇产科吕银凤主任、省人民医院产科孙晓彤主任、儿科赛依帕主任组成专家评审组，对新生儿死亡及孕产妇危重症病例进行了评审。8月31日-9月1日邀请省妇幼保健院儿保科郭金仙主任、产科刘小晖主任、保健部黄奎奎和赵亚学主任，采取现场查看资料、个案追踪、访谈等形式，对孕产妇和儿童保健管理关键环节、高危人群管理工作、妇幼重大项目管理及实施、项目信息管理等进行现场检查和督导。9月8日-9日，兰州新区举办2023年兰州新区新生儿复苏项目培训暨县级师资认证班，此次培训班邀请了省内顶尖专家学者。兰大一院儿科主任李宇宁、兰大二院儿童医院副院长徐丁、甘肃省新生儿重症监护质控中心主任石静云、省人民医院新生儿科主任赛依帕、市妇幼保健院新生儿科主任周立、兰大一院新生儿科主任杨学梅、兰大二院新生儿科主任王凡分别进行授课。培训后开展了现场实操考核，市妇幼保健院新生儿科主任周立与省妇幼保健院新生儿科主任石静云对学员操作进行考核打分并做现场点评。三是全力以赴实施好“两癌”免费检查”为民办实事工作。加强与妇联、财政、党群等部门的沟通协调，多措并行，精准施策，压实责任，统筹推进。联合新区妇联、财政、党群等部门联合制定了《兰州新区2023年城乡妇女“两癌”免费检查工作实施方案》。在省妇联规定检查项目基础上，免费增加妇科超声检查项目，对妇女常见病、卵巢癌、子宫肌瘤、子宫内膜癌等疾病进行了有效筛查，新区财政在落实新区配套资金的基础上，检查资金由新区财政按照50元/人的标准全额配套。完善随访登记制度，保证资料的完整性，确保“两癌”检查数据真实无误。区2018年以来累计完成两癌筛查23441人（根据新区档案系统推算新区现有33-64岁妇女符合两癌筛查条件22486人），其中2018-2020年完成筛查18011人，2021年完成筛查1142人，2022年完成筛查1749人，2023年完成筛查2539人，每年均超额完成任务。截止2023年11月30日，今年共发现癌前病变5例，确诊宫颈癌5例。对“两癌”妇女进行了健康回访、用药指导，形成闭环管理。工作成效获2022年省政府督查组充分肯定，经验做法被甘肃电视台宣传报道。今年再次顺利完成省政府为民办实事督查组检查验收，并获督查组充分肯定和表扬。</w:t>
      </w:r>
    </w:p>
    <w:p w14:paraId="7A2E4992">
      <w:pPr>
        <w:numPr>
          <w:ilvl w:val="0"/>
          <w:numId w:val="0"/>
        </w:numPr>
        <w:spacing w:line="500" w:lineRule="exact"/>
        <w:ind w:firstLine="640" w:firstLineChars="200"/>
        <w:rPr>
          <w:rFonts w:hint="eastAsia" w:ascii="楷体_GB2312" w:eastAsia="楷体_GB2312"/>
          <w:sz w:val="32"/>
          <w:szCs w:val="32"/>
        </w:rPr>
      </w:pPr>
      <w:r>
        <w:rPr>
          <w:rFonts w:hint="eastAsia" w:ascii="楷体_GB2312" w:eastAsia="楷体_GB2312"/>
          <w:sz w:val="32"/>
          <w:szCs w:val="32"/>
          <w:lang w:eastAsia="zh-CN"/>
        </w:rPr>
        <w:t>（二）</w:t>
      </w:r>
      <w:r>
        <w:rPr>
          <w:rFonts w:hint="eastAsia" w:ascii="楷体_GB2312" w:eastAsia="楷体_GB2312"/>
          <w:sz w:val="32"/>
          <w:szCs w:val="32"/>
        </w:rPr>
        <w:t>预算执行情况。</w:t>
      </w:r>
    </w:p>
    <w:p w14:paraId="534D52BA">
      <w:pPr>
        <w:numPr>
          <w:ilvl w:val="0"/>
          <w:numId w:val="0"/>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23</w:t>
      </w:r>
      <w:r>
        <w:rPr>
          <w:rFonts w:hint="eastAsia" w:ascii="仿宋_GB2312" w:eastAsia="仿宋_GB2312"/>
          <w:sz w:val="32"/>
          <w:szCs w:val="32"/>
        </w:rPr>
        <w:t>年新区共下拨基本公共卫生服务项目补助经费</w:t>
      </w:r>
      <w:r>
        <w:rPr>
          <w:rFonts w:hint="eastAsia" w:ascii="仿宋_GB2312" w:eastAsia="仿宋_GB2312"/>
          <w:sz w:val="32"/>
          <w:szCs w:val="32"/>
          <w:lang w:val="en-US" w:eastAsia="zh-CN"/>
        </w:rPr>
        <w:t>2485.87</w:t>
      </w:r>
      <w:r>
        <w:rPr>
          <w:rFonts w:hint="eastAsia" w:ascii="仿宋_GB2312" w:eastAsia="仿宋_GB2312"/>
          <w:sz w:val="32"/>
          <w:szCs w:val="32"/>
        </w:rPr>
        <w:t>万元至各基层医疗卫生机构</w:t>
      </w:r>
      <w:r>
        <w:rPr>
          <w:rFonts w:hint="eastAsia" w:ascii="仿宋_GB2312" w:eastAsia="仿宋_GB2312"/>
          <w:sz w:val="32"/>
          <w:szCs w:val="32"/>
          <w:lang w:eastAsia="zh-CN"/>
        </w:rPr>
        <w:t>，</w:t>
      </w:r>
      <w:r>
        <w:rPr>
          <w:rFonts w:hint="eastAsia" w:ascii="仿宋_GB2312" w:eastAsia="仿宋_GB2312"/>
          <w:sz w:val="32"/>
          <w:szCs w:val="32"/>
        </w:rPr>
        <w:t>其中</w:t>
      </w:r>
      <w:r>
        <w:rPr>
          <w:rFonts w:hint="eastAsia" w:ascii="仿宋_GB2312" w:eastAsia="仿宋_GB2312"/>
          <w:sz w:val="32"/>
          <w:szCs w:val="32"/>
          <w:lang w:eastAsia="zh-CN"/>
        </w:rPr>
        <w:t>中央拨付</w:t>
      </w:r>
      <w:r>
        <w:rPr>
          <w:rFonts w:hint="eastAsia" w:ascii="仿宋_GB2312" w:eastAsia="仿宋_GB2312"/>
          <w:sz w:val="32"/>
          <w:szCs w:val="32"/>
          <w:lang w:val="en-US" w:eastAsia="zh-CN"/>
        </w:rPr>
        <w:t>1989.68万元，省级拨付335.99万元</w:t>
      </w:r>
      <w:r>
        <w:rPr>
          <w:rFonts w:hint="eastAsia" w:ascii="仿宋_GB2312" w:eastAsia="仿宋_GB2312"/>
          <w:sz w:val="32"/>
          <w:szCs w:val="32"/>
        </w:rPr>
        <w:t>，新区配套</w:t>
      </w:r>
      <w:r>
        <w:rPr>
          <w:rFonts w:hint="eastAsia" w:ascii="仿宋_GB2312" w:eastAsia="仿宋_GB2312"/>
          <w:sz w:val="32"/>
          <w:szCs w:val="32"/>
          <w:lang w:val="en-US" w:eastAsia="zh-CN"/>
        </w:rPr>
        <w:t>160.2</w:t>
      </w:r>
      <w:r>
        <w:rPr>
          <w:rFonts w:hint="eastAsia" w:ascii="仿宋_GB2312" w:eastAsia="仿宋_GB2312"/>
          <w:sz w:val="32"/>
          <w:szCs w:val="32"/>
        </w:rPr>
        <w:t>万元。</w:t>
      </w:r>
    </w:p>
    <w:p w14:paraId="6E43AAA0">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32099335">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26A18655">
      <w:pPr>
        <w:spacing w:line="600" w:lineRule="exact"/>
        <w:ind w:left="973" w:leftChars="304"/>
        <w:jc w:val="left"/>
        <w:rPr>
          <w:rFonts w:ascii="仿宋_GB2312" w:hAnsi="仿宋_GB2312" w:eastAsia="仿宋_GB2312" w:cs="仿宋_GB2312"/>
          <w:color w:val="171717" w:themeColor="background2" w:themeShade="1A"/>
          <w:sz w:val="32"/>
          <w:szCs w:val="32"/>
        </w:rPr>
      </w:pPr>
      <w:r>
        <w:rPr>
          <w:rFonts w:hint="eastAsia" w:ascii="仿宋_GB2312" w:hAnsi="仿宋_GB2312" w:eastAsia="仿宋_GB2312" w:cs="仿宋_GB2312"/>
          <w:bCs/>
          <w:sz w:val="32"/>
          <w:szCs w:val="32"/>
        </w:rPr>
        <w:t>（1）居民健康档案管理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截止年底，建立居民健康档案</w:t>
      </w:r>
      <w:r>
        <w:rPr>
          <w:rFonts w:hint="eastAsia" w:ascii="仿宋_GB2312" w:hAnsi="仿宋_GB2312" w:eastAsia="仿宋_GB2312" w:cs="仿宋_GB2312"/>
          <w:color w:val="000000"/>
          <w:sz w:val="32"/>
          <w:szCs w:val="32"/>
          <w:lang w:val="en-US" w:eastAsia="zh-CN"/>
        </w:rPr>
        <w:t>279221</w:t>
      </w:r>
      <w:r>
        <w:rPr>
          <w:rFonts w:hint="eastAsia" w:ascii="仿宋_GB2312" w:hAnsi="仿宋_GB2312" w:eastAsia="仿宋_GB2312" w:cs="仿宋_GB2312"/>
          <w:sz w:val="32"/>
          <w:szCs w:val="32"/>
        </w:rPr>
        <w:t>份，其中高血压管理档案</w:t>
      </w:r>
    </w:p>
    <w:p w14:paraId="7F84B3B2">
      <w:pPr>
        <w:spacing w:line="600" w:lineRule="exact"/>
        <w:jc w:val="left"/>
        <w:rPr>
          <w:rFonts w:ascii="仿宋_GB2312" w:hAnsi="仿宋_GB2312" w:eastAsia="仿宋_GB2312" w:cs="仿宋_GB2312"/>
          <w:color w:val="171717" w:themeColor="background2" w:themeShade="1A"/>
          <w:sz w:val="32"/>
          <w:szCs w:val="32"/>
        </w:rPr>
      </w:pPr>
      <w:r>
        <w:rPr>
          <w:rFonts w:hint="eastAsia" w:ascii="仿宋_GB2312" w:hAnsi="仿宋_GB2312" w:eastAsia="仿宋_GB2312" w:cs="仿宋_GB2312"/>
          <w:color w:val="000000"/>
          <w:sz w:val="32"/>
          <w:szCs w:val="32"/>
          <w:lang w:val="en-US" w:eastAsia="zh-CN"/>
        </w:rPr>
        <w:t>22603</w:t>
      </w:r>
      <w:r>
        <w:rPr>
          <w:rFonts w:hint="eastAsia" w:ascii="仿宋_GB2312" w:hAnsi="仿宋_GB2312" w:eastAsia="仿宋_GB2312" w:cs="仿宋_GB2312"/>
          <w:sz w:val="32"/>
          <w:szCs w:val="32"/>
        </w:rPr>
        <w:t>份，</w:t>
      </w:r>
      <w:r>
        <w:rPr>
          <w:rFonts w:hint="eastAsia" w:ascii="仿宋_GB2312" w:hAnsi="仿宋_GB2312" w:eastAsia="仿宋_GB2312" w:cs="仿宋_GB2312"/>
          <w:color w:val="171717" w:themeColor="background2" w:themeShade="1A"/>
          <w:sz w:val="32"/>
          <w:szCs w:val="32"/>
        </w:rPr>
        <w:t>糖尿病管理档案</w:t>
      </w:r>
      <w:r>
        <w:rPr>
          <w:rFonts w:hint="eastAsia" w:ascii="仿宋_GB2312" w:hAnsi="仿宋_GB2312" w:eastAsia="仿宋_GB2312" w:cs="仿宋_GB2312"/>
          <w:color w:val="000000"/>
          <w:sz w:val="32"/>
          <w:szCs w:val="32"/>
          <w:lang w:val="en-US" w:eastAsia="zh-CN"/>
        </w:rPr>
        <w:t>5045</w:t>
      </w:r>
      <w:r>
        <w:rPr>
          <w:rFonts w:hint="eastAsia" w:ascii="仿宋_GB2312" w:hAnsi="仿宋_GB2312" w:eastAsia="仿宋_GB2312" w:cs="仿宋_GB2312"/>
          <w:color w:val="171717" w:themeColor="background2" w:themeShade="1A"/>
          <w:sz w:val="32"/>
          <w:szCs w:val="32"/>
        </w:rPr>
        <w:t>份， 0-6岁</w:t>
      </w:r>
      <w:r>
        <w:rPr>
          <w:rFonts w:hint="eastAsia" w:ascii="仿宋_GB2312" w:hAnsi="仿宋_GB2312" w:eastAsia="仿宋_GB2312" w:cs="仿宋_GB2312"/>
          <w:sz w:val="32"/>
          <w:szCs w:val="32"/>
        </w:rPr>
        <w:t>儿童健康管理档案</w:t>
      </w:r>
      <w:r>
        <w:rPr>
          <w:rFonts w:hint="eastAsia" w:ascii="仿宋_GB2312" w:hAnsi="仿宋_GB2312" w:eastAsia="仿宋_GB2312" w:cs="仿宋_GB2312"/>
          <w:sz w:val="32"/>
          <w:szCs w:val="32"/>
          <w:lang w:val="en-US" w:eastAsia="zh-CN"/>
        </w:rPr>
        <w:t>17126</w:t>
      </w:r>
      <w:r>
        <w:rPr>
          <w:rFonts w:hint="eastAsia" w:ascii="仿宋_GB2312" w:hAnsi="仿宋_GB2312" w:eastAsia="仿宋_GB2312" w:cs="仿宋_GB2312"/>
          <w:sz w:val="32"/>
          <w:szCs w:val="32"/>
        </w:rPr>
        <w:t>份，孕产妇管理档案</w:t>
      </w:r>
      <w:r>
        <w:rPr>
          <w:rFonts w:hint="eastAsia" w:ascii="仿宋_GB2312" w:hAnsi="仿宋_GB2312" w:eastAsia="仿宋_GB2312" w:cs="仿宋_GB2312"/>
          <w:sz w:val="32"/>
          <w:szCs w:val="32"/>
          <w:lang w:val="en-US" w:eastAsia="zh-CN"/>
        </w:rPr>
        <w:t>2133</w:t>
      </w:r>
      <w:r>
        <w:rPr>
          <w:rFonts w:hint="eastAsia" w:ascii="仿宋_GB2312" w:hAnsi="仿宋_GB2312" w:eastAsia="仿宋_GB2312" w:cs="仿宋_GB2312"/>
          <w:sz w:val="32"/>
          <w:szCs w:val="32"/>
        </w:rPr>
        <w:t>份，严重精神障碍患者健康档案</w:t>
      </w:r>
      <w:r>
        <w:rPr>
          <w:rFonts w:hint="eastAsia" w:ascii="仿宋_GB2312" w:hAnsi="仿宋_GB2312" w:eastAsia="仿宋_GB2312" w:cs="仿宋_GB2312"/>
          <w:sz w:val="32"/>
          <w:szCs w:val="32"/>
          <w:lang w:val="en-US" w:eastAsia="zh-CN"/>
        </w:rPr>
        <w:t>1032</w:t>
      </w:r>
      <w:r>
        <w:rPr>
          <w:rFonts w:hint="eastAsia" w:ascii="仿宋_GB2312" w:hAnsi="仿宋_GB2312" w:eastAsia="仿宋_GB2312" w:cs="仿宋_GB2312"/>
          <w:sz w:val="32"/>
          <w:szCs w:val="32"/>
        </w:rPr>
        <w:t>份，老年人健康管理档案</w:t>
      </w:r>
      <w:r>
        <w:rPr>
          <w:rFonts w:hint="eastAsia" w:ascii="仿宋_GB2312" w:hAnsi="仿宋_GB2312" w:eastAsia="仿宋_GB2312" w:cs="仿宋_GB2312"/>
          <w:sz w:val="32"/>
          <w:szCs w:val="32"/>
          <w:lang w:val="en-US" w:eastAsia="zh-CN"/>
        </w:rPr>
        <w:t>20896</w:t>
      </w:r>
      <w:r>
        <w:rPr>
          <w:rFonts w:hint="eastAsia" w:ascii="仿宋_GB2312" w:hAnsi="仿宋_GB2312" w:eastAsia="仿宋_GB2312" w:cs="仿宋_GB2312"/>
          <w:sz w:val="32"/>
          <w:szCs w:val="32"/>
        </w:rPr>
        <w:t>份，体检</w:t>
      </w:r>
      <w:r>
        <w:rPr>
          <w:rFonts w:hint="eastAsia" w:ascii="仿宋_GB2312" w:hAnsi="仿宋_GB2312" w:eastAsia="仿宋_GB2312" w:cs="仿宋_GB2312"/>
          <w:sz w:val="32"/>
          <w:szCs w:val="32"/>
          <w:lang w:val="en-US" w:eastAsia="zh-CN"/>
        </w:rPr>
        <w:t>18561</w:t>
      </w:r>
      <w:r>
        <w:rPr>
          <w:rFonts w:hint="eastAsia" w:ascii="仿宋_GB2312" w:hAnsi="仿宋_GB2312" w:eastAsia="仿宋_GB2312" w:cs="仿宋_GB2312"/>
          <w:sz w:val="32"/>
          <w:szCs w:val="32"/>
        </w:rPr>
        <w:t>人次。</w:t>
      </w:r>
    </w:p>
    <w:p w14:paraId="2D0D3A85">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（2）健康教育</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认真贯彻落实上级部门的各项健康教育项目工作。采取了发放宣传材料、开展健康宣教、设置宣传栏等各种宣传方式，针对重点人群、重点疾病和主要卫生问题和危险因素开展健康教育和健康促进活动。</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年共举办健康教育知识讲座</w:t>
      </w:r>
      <w:r>
        <w:rPr>
          <w:rFonts w:hint="eastAsia" w:ascii="仿宋_GB2312" w:hAnsi="仿宋_GB2312" w:eastAsia="仿宋_GB2312" w:cs="仿宋_GB2312"/>
          <w:color w:val="000000" w:themeColor="text1"/>
          <w:sz w:val="32"/>
          <w:szCs w:val="32"/>
          <w:lang w:val="en-US" w:eastAsia="zh-CN"/>
        </w:rPr>
        <w:t>241</w:t>
      </w:r>
      <w:r>
        <w:rPr>
          <w:rFonts w:hint="eastAsia" w:ascii="仿宋_GB2312" w:hAnsi="仿宋_GB2312" w:eastAsia="仿宋_GB2312" w:cs="仿宋_GB2312"/>
          <w:color w:val="000000" w:themeColor="text1"/>
          <w:sz w:val="32"/>
          <w:szCs w:val="32"/>
        </w:rPr>
        <w:t>次、健康咨询活动</w:t>
      </w:r>
      <w:r>
        <w:rPr>
          <w:rFonts w:hint="eastAsia" w:ascii="仿宋_GB2312" w:hAnsi="仿宋_GB2312" w:eastAsia="仿宋_GB2312" w:cs="仿宋_GB2312"/>
          <w:color w:val="000000" w:themeColor="text1"/>
          <w:sz w:val="32"/>
          <w:szCs w:val="32"/>
          <w:lang w:val="en-US" w:eastAsia="zh-CN"/>
        </w:rPr>
        <w:t>151</w:t>
      </w:r>
      <w:r>
        <w:rPr>
          <w:rFonts w:hint="eastAsia" w:ascii="仿宋_GB2312" w:hAnsi="仿宋_GB2312" w:eastAsia="仿宋_GB2312" w:cs="仿宋_GB2312"/>
          <w:color w:val="000000" w:themeColor="text1"/>
          <w:sz w:val="32"/>
          <w:szCs w:val="32"/>
        </w:rPr>
        <w:t>次，发放各类宣传材料</w:t>
      </w:r>
      <w:r>
        <w:rPr>
          <w:rFonts w:hint="eastAsia" w:ascii="仿宋_GB2312" w:hAnsi="仿宋_GB2312" w:eastAsia="仿宋_GB2312" w:cs="仿宋_GB2312"/>
          <w:color w:val="000000" w:themeColor="text1"/>
          <w:sz w:val="32"/>
          <w:szCs w:val="32"/>
          <w:lang w:val="en-US" w:eastAsia="zh-CN"/>
        </w:rPr>
        <w:t>265547</w:t>
      </w:r>
      <w:r>
        <w:rPr>
          <w:rFonts w:hint="eastAsia" w:ascii="仿宋_GB2312" w:hAnsi="仿宋_GB2312" w:eastAsia="仿宋_GB2312" w:cs="仿宋_GB2312"/>
          <w:color w:val="000000" w:themeColor="text1"/>
          <w:sz w:val="32"/>
          <w:szCs w:val="32"/>
        </w:rPr>
        <w:t>余份，更换宣传栏内容</w:t>
      </w:r>
      <w:r>
        <w:rPr>
          <w:rFonts w:hint="eastAsia" w:ascii="仿宋_GB2312" w:hAnsi="仿宋_GB2312" w:eastAsia="仿宋_GB2312" w:cs="仿宋_GB2312"/>
          <w:color w:val="000000" w:themeColor="text1"/>
          <w:sz w:val="32"/>
          <w:szCs w:val="32"/>
          <w:lang w:val="en-US" w:eastAsia="zh-CN"/>
        </w:rPr>
        <w:t>101</w:t>
      </w:r>
      <w:r>
        <w:rPr>
          <w:rFonts w:hint="eastAsia" w:ascii="仿宋_GB2312" w:hAnsi="仿宋_GB2312" w:eastAsia="仿宋_GB2312" w:cs="仿宋_GB2312"/>
          <w:color w:val="000000" w:themeColor="text1"/>
          <w:sz w:val="32"/>
          <w:szCs w:val="32"/>
        </w:rPr>
        <w:t>期次</w:t>
      </w:r>
      <w:r>
        <w:rPr>
          <w:rFonts w:hint="eastAsia" w:ascii="仿宋_GB2312" w:hAnsi="仿宋_GB2312" w:eastAsia="仿宋_GB2312" w:cs="仿宋_GB2312"/>
          <w:sz w:val="32"/>
          <w:szCs w:val="32"/>
        </w:rPr>
        <w:t xml:space="preserve">。通过各种媒介加大宣传力度，让居民通过多种途径接收健康知识信息。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（3）儿童健康管理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加强对辖区内0-6岁儿童管理工作，目前我辖区共有0-6岁儿</w:t>
      </w:r>
    </w:p>
    <w:p w14:paraId="40A76A41">
      <w:pPr>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童</w:t>
      </w:r>
      <w:r>
        <w:rPr>
          <w:rFonts w:hint="eastAsia" w:ascii="仿宋_GB2312" w:hAnsi="仿宋_GB2312" w:eastAsia="仿宋_GB2312" w:cs="仿宋_GB2312"/>
          <w:sz w:val="32"/>
          <w:szCs w:val="32"/>
          <w:lang w:val="en-US" w:eastAsia="zh-CN"/>
        </w:rPr>
        <w:t>17126</w:t>
      </w:r>
      <w:r>
        <w:rPr>
          <w:rFonts w:hint="eastAsia" w:ascii="仿宋_GB2312" w:hAnsi="仿宋_GB2312" w:eastAsia="仿宋_GB2312" w:cs="仿宋_GB2312"/>
          <w:sz w:val="32"/>
          <w:szCs w:val="32"/>
        </w:rPr>
        <w:t>人；对0-3岁儿童，利用儿童接种日在辖区对目标儿童进行规范体检，采取先体检后接种措施；与各幼儿园联系，对辖区所有幼儿园3-6岁儿童进行了免费体检。</w:t>
      </w:r>
    </w:p>
    <w:p w14:paraId="74529231">
      <w:pPr>
        <w:spacing w:line="600" w:lineRule="exact"/>
        <w:ind w:left="790" w:leftChars="247"/>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（4）孕产妇健康管理</w:t>
      </w:r>
    </w:p>
    <w:p w14:paraId="7913BCDB">
      <w:pPr>
        <w:spacing w:line="600" w:lineRule="exact"/>
        <w:ind w:left="790" w:leftChars="247"/>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努力提高孕产妇管理工作，对辖区内孕产妇全部建立了母子保健</w:t>
      </w:r>
    </w:p>
    <w:p w14:paraId="2D18D6A0">
      <w:pPr>
        <w:spacing w:line="600" w:lineRule="exact"/>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sz w:val="32"/>
          <w:szCs w:val="32"/>
        </w:rPr>
        <w:t>服务手册，加大了宣传国家降消项目住院分娩好处以及多项免费检查政策，</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年共登记管理孕产妇</w:t>
      </w:r>
      <w:r>
        <w:rPr>
          <w:rFonts w:hint="eastAsia" w:ascii="仿宋_GB2312" w:hAnsi="仿宋_GB2312" w:eastAsia="仿宋_GB2312" w:cs="仿宋_GB2312"/>
          <w:color w:val="000000" w:themeColor="text1"/>
          <w:sz w:val="32"/>
          <w:szCs w:val="32"/>
          <w:lang w:val="en-US" w:eastAsia="zh-CN"/>
        </w:rPr>
        <w:t>2133</w:t>
      </w:r>
      <w:r>
        <w:rPr>
          <w:rFonts w:hint="eastAsia" w:ascii="仿宋_GB2312" w:hAnsi="仿宋_GB2312" w:eastAsia="仿宋_GB2312" w:cs="仿宋_GB2312"/>
          <w:color w:val="000000" w:themeColor="text1"/>
          <w:sz w:val="32"/>
          <w:szCs w:val="32"/>
        </w:rPr>
        <w:t>人，产后访视</w:t>
      </w:r>
      <w:r>
        <w:rPr>
          <w:rFonts w:hint="eastAsia" w:ascii="仿宋_GB2312" w:hAnsi="仿宋_GB2312" w:eastAsia="仿宋_GB2312" w:cs="仿宋_GB2312"/>
          <w:sz w:val="32"/>
          <w:szCs w:val="32"/>
          <w:lang w:val="en-US" w:eastAsia="zh-CN"/>
        </w:rPr>
        <w:t>2135</w:t>
      </w:r>
      <w:r>
        <w:rPr>
          <w:rFonts w:hint="eastAsia" w:ascii="仿宋_GB2312" w:hAnsi="仿宋_GB2312" w:eastAsia="仿宋_GB2312" w:cs="仿宋_GB2312"/>
          <w:color w:val="000000" w:themeColor="text1"/>
          <w:sz w:val="32"/>
          <w:szCs w:val="32"/>
        </w:rPr>
        <w:t>人。</w:t>
      </w:r>
    </w:p>
    <w:p w14:paraId="364578AB">
      <w:pPr>
        <w:spacing w:line="600" w:lineRule="exact"/>
        <w:ind w:left="320" w:leftChars="100"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rPr>
        <w:t>（5）老年人健康管理</w:t>
      </w:r>
    </w:p>
    <w:p w14:paraId="7CE91C4B">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辖区65岁以上老年人建档</w:t>
      </w:r>
      <w:r>
        <w:rPr>
          <w:rFonts w:hint="eastAsia" w:ascii="仿宋_GB2312" w:hAnsi="仿宋_GB2312" w:eastAsia="仿宋_GB2312" w:cs="仿宋_GB2312"/>
          <w:sz w:val="32"/>
          <w:szCs w:val="32"/>
          <w:lang w:val="en-US" w:eastAsia="zh-CN"/>
        </w:rPr>
        <w:t>20896</w:t>
      </w:r>
      <w:r>
        <w:rPr>
          <w:rFonts w:hint="eastAsia" w:ascii="仿宋_GB2312" w:hAnsi="仿宋_GB2312" w:eastAsia="仿宋_GB2312" w:cs="仿宋_GB2312"/>
          <w:sz w:val="32"/>
          <w:szCs w:val="32"/>
        </w:rPr>
        <w:t>名，截止年底已体检</w:t>
      </w:r>
      <w:r>
        <w:rPr>
          <w:rFonts w:hint="eastAsia" w:ascii="仿宋_GB2312" w:hAnsi="仿宋_GB2312" w:eastAsia="仿宋_GB2312" w:cs="仿宋_GB2312"/>
          <w:color w:val="000000" w:themeColor="text1"/>
          <w:sz w:val="32"/>
          <w:szCs w:val="32"/>
          <w:lang w:val="en-US" w:eastAsia="zh-CN"/>
        </w:rPr>
        <w:t>18561</w:t>
      </w:r>
      <w:r>
        <w:rPr>
          <w:rFonts w:hint="eastAsia" w:ascii="仿宋_GB2312" w:hAnsi="仿宋_GB2312" w:eastAsia="仿宋_GB2312" w:cs="仿宋_GB2312"/>
          <w:sz w:val="32"/>
          <w:szCs w:val="32"/>
        </w:rPr>
        <w:t>人，同时建立花名册。采取了电话预约、门诊随访等方式相结合的义诊体检及健康指导，深受社区居民的欢迎。</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（6）慢性病管理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利用档案复核升级各村对辖区内35岁以上人群进行了血压和血糖筛查，其中：高血压</w:t>
      </w:r>
      <w:r>
        <w:rPr>
          <w:rFonts w:hint="eastAsia" w:ascii="仿宋_GB2312" w:hAnsi="仿宋_GB2312" w:eastAsia="仿宋_GB2312" w:cs="仿宋_GB2312"/>
          <w:sz w:val="32"/>
          <w:szCs w:val="32"/>
          <w:lang w:val="en-US" w:eastAsia="zh-CN"/>
        </w:rPr>
        <w:t>22603</w:t>
      </w:r>
      <w:r>
        <w:rPr>
          <w:rFonts w:hint="eastAsia" w:ascii="仿宋_GB2312" w:hAnsi="仿宋_GB2312" w:eastAsia="仿宋_GB2312" w:cs="仿宋_GB2312"/>
          <w:sz w:val="32"/>
          <w:szCs w:val="32"/>
        </w:rPr>
        <w:t>人，糖尿病</w:t>
      </w:r>
      <w:r>
        <w:rPr>
          <w:rFonts w:hint="eastAsia" w:ascii="仿宋_GB2312" w:hAnsi="仿宋_GB2312" w:eastAsia="仿宋_GB2312" w:cs="仿宋_GB2312"/>
          <w:sz w:val="32"/>
          <w:szCs w:val="32"/>
          <w:lang w:val="en-US" w:eastAsia="zh-CN"/>
        </w:rPr>
        <w:t>5045</w:t>
      </w:r>
      <w:r>
        <w:rPr>
          <w:rFonts w:hint="eastAsia" w:ascii="仿宋_GB2312" w:hAnsi="仿宋_GB2312" w:eastAsia="仿宋_GB2312" w:cs="仿宋_GB2312"/>
          <w:sz w:val="32"/>
          <w:szCs w:val="32"/>
        </w:rPr>
        <w:t>人，全部纳入慢性病管理，并将随访记录归档。</w:t>
      </w:r>
    </w:p>
    <w:p w14:paraId="593322BD">
      <w:pPr>
        <w:spacing w:line="600" w:lineRule="exact"/>
        <w:ind w:left="320" w:leftChars="100"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rPr>
        <w:t>（7）严重精神障碍患者管理</w:t>
      </w:r>
    </w:p>
    <w:p w14:paraId="540DAB0E">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年底发现</w:t>
      </w:r>
      <w:r>
        <w:rPr>
          <w:rFonts w:hint="eastAsia" w:ascii="仿宋_GB2312" w:hAnsi="仿宋_GB2312" w:eastAsia="仿宋_GB2312" w:cs="仿宋_GB2312"/>
          <w:bCs/>
          <w:sz w:val="32"/>
          <w:szCs w:val="32"/>
        </w:rPr>
        <w:t>严重精神障碍患者</w:t>
      </w:r>
      <w:r>
        <w:rPr>
          <w:rFonts w:hint="eastAsia" w:ascii="仿宋_GB2312" w:hAnsi="仿宋_GB2312" w:eastAsia="仿宋_GB2312" w:cs="仿宋_GB2312"/>
          <w:sz w:val="32"/>
          <w:szCs w:val="32"/>
          <w:lang w:val="en-US" w:eastAsia="zh-CN"/>
        </w:rPr>
        <w:t>1032</w:t>
      </w:r>
      <w:r>
        <w:rPr>
          <w:rFonts w:hint="eastAsia" w:ascii="仿宋_GB2312" w:hAnsi="仿宋_GB2312" w:eastAsia="仿宋_GB2312" w:cs="仿宋_GB2312"/>
          <w:sz w:val="32"/>
          <w:szCs w:val="32"/>
        </w:rPr>
        <w:t>人，规范管理</w:t>
      </w:r>
      <w:r>
        <w:rPr>
          <w:rFonts w:hint="eastAsia" w:ascii="仿宋_GB2312" w:hAnsi="仿宋_GB2312" w:eastAsia="仿宋_GB2312" w:cs="仿宋_GB2312"/>
          <w:sz w:val="32"/>
          <w:szCs w:val="32"/>
          <w:lang w:val="en-US" w:eastAsia="zh-CN"/>
        </w:rPr>
        <w:t>1006</w:t>
      </w:r>
      <w:r>
        <w:rPr>
          <w:rFonts w:hint="eastAsia" w:ascii="仿宋_GB2312" w:hAnsi="仿宋_GB2312" w:eastAsia="仿宋_GB2312" w:cs="仿宋_GB2312"/>
          <w:sz w:val="32"/>
          <w:szCs w:val="32"/>
        </w:rPr>
        <w:t>人。</w:t>
      </w:r>
    </w:p>
    <w:p w14:paraId="1122BB0A">
      <w:pPr>
        <w:spacing w:line="600" w:lineRule="exact"/>
        <w:ind w:left="320" w:leftChars="100"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rPr>
        <w:t>（8）肺结核患者管理</w:t>
      </w:r>
    </w:p>
    <w:p w14:paraId="53A85B1C">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各基层医疗机构公卫科会同村医对辖区结核病患者实施规范管理，按时进行服药督导，对新发现的结核病人及时上报，全年共确诊肺结核</w:t>
      </w: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例，已结案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人。</w:t>
      </w:r>
    </w:p>
    <w:p w14:paraId="3643FC32">
      <w:pPr>
        <w:spacing w:line="600" w:lineRule="exact"/>
        <w:ind w:left="320" w:leftChars="100" w:firstLine="320" w:firstLineChars="1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（9）传染病及突发公共卫生事件报告和处理</w:t>
      </w:r>
    </w:p>
    <w:p w14:paraId="401749F3">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各基层医疗机构公卫科和各村卫生室认真贯彻执行《传染病防治法》、《突发公共卫生事件紧急条例》，对中心医务人员定期进行了传染病防治知识培训。拟定了《突发公共卫生》《传染病管理制度》、《门诊预检分诊制度》，设定专人负责传染病网络直报，坚持门诊登记和疫情自查制度，每月自查一次并进行疫情分析，无漏报、迟报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（10）卫生监督协管</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 xml:space="preserve">    按照新区卫生监督工作要求，对辖区公共场所进行巡查，对查处的无健康证和卫生许可证单位，督促其及时整改，较好的完成了卫生监督协管任务。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（11）中医药服务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全面按照中医药服务规范要求，落实基层医疗卫生机构对老年人中医体质辨识和儿童保健中医指导等健康管理服务，使中医药健康管理服务目标人群覆盖率达到70%以上。</w:t>
      </w:r>
    </w:p>
    <w:p w14:paraId="111F97B9">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69AE7391">
      <w:pPr>
        <w:spacing w:line="600" w:lineRule="exact"/>
        <w:ind w:firstLine="640" w:firstLineChars="200"/>
        <w:rPr>
          <w:rFonts w:ascii="仿宋_GB2312" w:hAnsi="楷体" w:eastAsia="仿宋_GB2312" w:cs="楷体"/>
          <w:sz w:val="32"/>
          <w:szCs w:val="32"/>
        </w:rPr>
      </w:pPr>
      <w:r>
        <w:rPr>
          <w:rFonts w:hint="eastAsia" w:ascii="仿宋_GB2312" w:hAnsi="仿宋_GB2312" w:eastAsia="仿宋_GB2312" w:cs="仿宋_GB2312"/>
          <w:sz w:val="32"/>
          <w:szCs w:val="32"/>
        </w:rPr>
        <w:t>基本公共卫生服务能力得到提升，基本公共卫生服务项目得到较好落实，老百姓获得感不断增强，群众满意度不断提高。人民群众健康意识进一步得到增强，使人人享受到基本公共卫生服务带来的健康实惠，村卫生室人员的收入在稳步提升。同时提高乡村医生的技术水平和整体素质，增强村卫生室服务功能，提高村医收入，稳定村医队伍，努力满足广大人民群众基本医疗服务需要，确保广大农民享受安全、有效、方便、价廉的公共卫生和基本医疗服务</w:t>
      </w:r>
      <w:r>
        <w:rPr>
          <w:rFonts w:hint="eastAsia" w:ascii="仿宋_GB2312" w:eastAsia="仿宋_GB2312"/>
          <w:sz w:val="32"/>
          <w:szCs w:val="32"/>
        </w:rPr>
        <w:t>。</w:t>
      </w:r>
    </w:p>
    <w:p w14:paraId="63B7A08F">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2195707B">
      <w:pPr>
        <w:spacing w:line="50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通过细致的业务指导、定期的绩效考核以及足额、及时下拨项目补助资金，提高基层医务人员的基本公共卫生服务水平和整体素质，有效提升了群众的满意度。</w:t>
      </w:r>
    </w:p>
    <w:p w14:paraId="3D9CE92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0C8AF31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43122BA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476C6E6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049F947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3A53E65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4EB0E49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0918DB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pPr>
      <w:r>
        <w:rPr>
          <w:rFonts w:hint="eastAsia" w:ascii="仿宋_GB2312" w:hAnsi="仿宋_GB2312" w:eastAsia="仿宋_GB2312" w:cs="仿宋_GB2312"/>
          <w:b w:val="0"/>
          <w:bCs w:val="0"/>
          <w:color w:val="000000"/>
          <w:sz w:val="32"/>
          <w:szCs w:val="32"/>
          <w:lang w:val="en-US" w:eastAsia="zh-CN"/>
        </w:rPr>
        <w:t>无。</w:t>
      </w:r>
    </w:p>
    <w:p w14:paraId="74328305">
      <w:pPr>
        <w:ind w:firstLine="643"/>
        <w:outlineLvl w:val="2"/>
        <w:rPr>
          <w:rFonts w:hint="eastAsia" w:ascii="楷体" w:hAnsi="楷体" w:eastAsia="楷体" w:cs="楷体"/>
          <w:b/>
          <w:bCs/>
          <w:szCs w:val="32"/>
          <w:highlight w:val="none"/>
          <w:lang w:eastAsia="zh-CN"/>
        </w:rPr>
      </w:pP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七</w:t>
      </w: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家族医生签约服务项目资金</w:t>
      </w:r>
    </w:p>
    <w:p w14:paraId="54C8F8B1">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63DABBA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69C8616D">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进一步落实医改任务，促进医疗卫生工作重心下移、资源下沉，为城乡居民提供质优价廉的基本医疗卫生服务。围绕人人享有基本医疗卫生服务的目标，以维护居民健康为中心，以基层为重点，合理配置和有效利用基层卫生服务资源。</w:t>
      </w:r>
    </w:p>
    <w:p w14:paraId="6611F60B">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594DAD9E">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全年各家签团队做好重点人群应签尽签工作及续约工作，同时落实已签约群众的履约服务，重点加强对建档立卡贫困户、老年人、留守儿童、计生特殊家庭、残疾人特困家庭的签约服务，做好老年人免费体检、重点扶贫对象免费体检、慢病管理服务，新区卫生健康委按工作进度及签约数拨付资金。</w:t>
      </w:r>
    </w:p>
    <w:p w14:paraId="552C564F">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25EF5262">
      <w:pPr>
        <w:spacing w:line="560" w:lineRule="exact"/>
        <w:ind w:firstLine="643" w:firstLineChars="200"/>
        <w:rPr>
          <w:rFonts w:ascii="仿宋_GB2312" w:hAnsi="Verdana" w:cs="宋体"/>
          <w:color w:val="000000"/>
          <w:kern w:val="0"/>
          <w:sz w:val="32"/>
          <w:szCs w:val="32"/>
          <w:lang w:bidi="ar"/>
        </w:rPr>
      </w:pPr>
      <w:r>
        <w:rPr>
          <w:rFonts w:hint="eastAsia" w:ascii="仿宋_GB2312" w:eastAsia="仿宋_GB2312"/>
          <w:b/>
          <w:bCs/>
          <w:sz w:val="32"/>
          <w:szCs w:val="32"/>
        </w:rPr>
        <w:t>总体目标：</w:t>
      </w:r>
      <w:r>
        <w:rPr>
          <w:rFonts w:hint="eastAsia" w:ascii="仿宋_GB2312" w:eastAsia="仿宋_GB2312"/>
          <w:sz w:val="32"/>
          <w:szCs w:val="32"/>
        </w:rPr>
        <w:t>通过开展家庭签约服务，能最大限度合理截留基层普通病人基层首诊，发现需要上转治疗的，由家庭医生负责联接上级专家及医疗机构给病人提供快捷、高效的专业服务，在解决基层“看病难看病贵”的同时，也极大提高医院优质医疗资源效益。</w:t>
      </w:r>
    </w:p>
    <w:p w14:paraId="44F9D38D">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rPr>
        <w:t>阶段性目标：</w:t>
      </w:r>
      <w:r>
        <w:rPr>
          <w:rFonts w:hint="eastAsia" w:ascii="仿宋_GB2312" w:eastAsia="仿宋_GB2312"/>
          <w:sz w:val="32"/>
          <w:szCs w:val="32"/>
        </w:rPr>
        <w:t>家庭医生签约服务覆盖率达到</w:t>
      </w:r>
      <w:r>
        <w:rPr>
          <w:rFonts w:hint="eastAsia" w:ascii="仿宋_GB2312" w:eastAsia="仿宋_GB2312"/>
          <w:sz w:val="32"/>
          <w:szCs w:val="32"/>
          <w:lang w:val="en-US" w:eastAsia="zh-CN"/>
        </w:rPr>
        <w:t>6</w:t>
      </w:r>
      <w:r>
        <w:rPr>
          <w:rFonts w:hint="eastAsia" w:ascii="仿宋_GB2312" w:eastAsia="仿宋_GB2312"/>
          <w:sz w:val="32"/>
          <w:szCs w:val="32"/>
        </w:rPr>
        <w:t>0%以上，重点人群</w:t>
      </w:r>
      <w:r>
        <w:rPr>
          <w:rFonts w:hint="eastAsia" w:ascii="仿宋_GB2312" w:eastAsia="仿宋_GB2312"/>
          <w:sz w:val="32"/>
          <w:szCs w:val="32"/>
          <w:lang w:eastAsia="zh-CN"/>
        </w:rPr>
        <w:t>和</w:t>
      </w:r>
      <w:r>
        <w:rPr>
          <w:rFonts w:hint="eastAsia" w:ascii="仿宋_GB2312" w:eastAsia="仿宋_GB2312"/>
          <w:sz w:val="32"/>
          <w:szCs w:val="32"/>
        </w:rPr>
        <w:t>建档立卡贫困户做到应签尽签，不断提高服务质量。</w:t>
      </w:r>
    </w:p>
    <w:p w14:paraId="7512C1A8">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7D5A7806">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eastAsia="仿宋_GB2312"/>
          <w:sz w:val="32"/>
          <w:szCs w:val="32"/>
          <w:lang w:val="en-US" w:eastAsia="zh-CN"/>
        </w:rPr>
        <w:t>20</w:t>
      </w:r>
      <w:r>
        <w:rPr>
          <w:rFonts w:hint="eastAsia" w:ascii="仿宋_GB2312" w:eastAsia="仿宋_GB2312"/>
          <w:sz w:val="32"/>
          <w:szCs w:val="32"/>
        </w:rPr>
        <w:t>万元，</w:t>
      </w:r>
      <w:r>
        <w:rPr>
          <w:rFonts w:hint="eastAsia" w:ascii="仿宋_GB2312" w:eastAsia="仿宋_GB2312"/>
          <w:sz w:val="32"/>
          <w:szCs w:val="32"/>
          <w:lang w:eastAsia="zh-CN"/>
        </w:rPr>
        <w:t>中期预算调整</w:t>
      </w:r>
      <w:r>
        <w:rPr>
          <w:rFonts w:hint="eastAsia" w:ascii="仿宋_GB2312" w:eastAsia="仿宋_GB2312"/>
          <w:sz w:val="32"/>
          <w:szCs w:val="32"/>
          <w:lang w:val="en-US" w:eastAsia="zh-CN"/>
        </w:rPr>
        <w:t>23.9万元，共计43.9万元，</w:t>
      </w:r>
      <w:r>
        <w:rPr>
          <w:rFonts w:hint="eastAsia" w:ascii="仿宋_GB2312" w:eastAsia="仿宋_GB2312"/>
          <w:sz w:val="32"/>
          <w:szCs w:val="32"/>
        </w:rPr>
        <w:t>全部为新区配套资金。</w:t>
      </w:r>
    </w:p>
    <w:p w14:paraId="5F18CEC2">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01F89BF9">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0C9A205A">
      <w:pPr>
        <w:spacing w:line="500" w:lineRule="exact"/>
        <w:ind w:firstLine="640" w:firstLineChars="200"/>
        <w:rPr>
          <w:rFonts w:hint="eastAsia" w:ascii="仿宋_GB2312" w:hAnsi="Times New Roman" w:eastAsia="仿宋_GB2312" w:cs="Times New Roman"/>
          <w:sz w:val="32"/>
          <w:szCs w:val="32"/>
        </w:rPr>
      </w:pPr>
      <w:r>
        <w:rPr>
          <w:rFonts w:hint="eastAsia" w:ascii="Times New Roman" w:hAnsi="Times New Roman" w:eastAsia="仿宋_GB2312" w:cs="Times New Roman"/>
          <w:color w:val="auto"/>
          <w:sz w:val="32"/>
          <w:szCs w:val="32"/>
          <w:lang w:val="en-US" w:eastAsia="zh-CN"/>
        </w:rPr>
        <w:t>通过</w:t>
      </w:r>
      <w:r>
        <w:rPr>
          <w:rFonts w:hint="eastAsia" w:ascii="仿宋_GB2312" w:hAnsi="仿宋_GB2312" w:eastAsia="仿宋_GB2312" w:cs="仿宋_GB2312"/>
          <w:color w:val="auto"/>
          <w:kern w:val="2"/>
          <w:sz w:val="32"/>
          <w:szCs w:val="32"/>
          <w:lang w:val="en-US" w:eastAsia="zh-CN" w:bidi="ar-SA"/>
        </w:rPr>
        <w:t>“三清一满意”专项行动</w:t>
      </w:r>
      <w:r>
        <w:rPr>
          <w:rFonts w:hint="default" w:ascii="Times New Roman" w:hAnsi="Times New Roman" w:eastAsia="仿宋_GB2312" w:cs="Times New Roman"/>
          <w:color w:val="auto"/>
          <w:sz w:val="32"/>
          <w:szCs w:val="32"/>
          <w:lang w:val="en-US" w:eastAsia="zh-CN"/>
        </w:rPr>
        <w:t>探索</w:t>
      </w:r>
      <w:r>
        <w:rPr>
          <w:rFonts w:hint="eastAsia" w:ascii="Times New Roman" w:hAnsi="Times New Roman" w:eastAsia="仿宋_GB2312" w:cs="Times New Roman"/>
          <w:color w:val="auto"/>
          <w:sz w:val="32"/>
          <w:szCs w:val="32"/>
          <w:lang w:val="en-US" w:eastAsia="zh-CN"/>
        </w:rPr>
        <w:t>符合新区特色的</w:t>
      </w:r>
      <w:r>
        <w:rPr>
          <w:rFonts w:hint="eastAsia" w:ascii="仿宋_GB2312" w:hAnsi="仿宋_GB2312" w:eastAsia="仿宋_GB2312" w:cs="仿宋_GB2312"/>
          <w:color w:val="auto"/>
          <w:kern w:val="2"/>
          <w:sz w:val="32"/>
          <w:szCs w:val="32"/>
          <w:lang w:val="en-US" w:eastAsia="zh-CN" w:bidi="ar-SA"/>
        </w:rPr>
        <w:t>明星粉丝家签模式，</w:t>
      </w:r>
      <w:r>
        <w:rPr>
          <w:rFonts w:hint="eastAsia" w:ascii="Times New Roman" w:hAnsi="Times New Roman" w:eastAsia="仿宋_GB2312" w:cs="Times New Roman"/>
          <w:color w:val="auto"/>
          <w:sz w:val="32"/>
          <w:szCs w:val="32"/>
          <w:lang w:val="en-US" w:eastAsia="zh-CN"/>
        </w:rPr>
        <w:t>强化签约服务内涵，</w:t>
      </w:r>
      <w:r>
        <w:rPr>
          <w:rFonts w:hint="eastAsia" w:ascii="仿宋_GB2312" w:hAnsi="仿宋_GB2312" w:eastAsia="仿宋_GB2312" w:cs="仿宋_GB2312"/>
          <w:sz w:val="32"/>
          <w:szCs w:val="32"/>
          <w:lang w:eastAsia="zh-CN"/>
        </w:rPr>
        <w:t>深度推动医防融合</w:t>
      </w:r>
      <w:r>
        <w:rPr>
          <w:rFonts w:hint="eastAsia" w:ascii="仿宋_GB2312" w:hAnsi="仿宋_GB2312" w:cs="仿宋_GB2312"/>
          <w:sz w:val="32"/>
          <w:szCs w:val="32"/>
          <w:lang w:eastAsia="zh-CN"/>
        </w:rPr>
        <w:t>。</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探索建立具有新区特色的明星粉丝家签模式。</w:t>
      </w:r>
      <w:r>
        <w:rPr>
          <w:rFonts w:hint="eastAsia" w:ascii="仿宋_GB2312" w:hAnsi="仿宋_GB2312" w:eastAsia="仿宋_GB2312" w:cs="仿宋_GB2312"/>
          <w:sz w:val="32"/>
          <w:szCs w:val="32"/>
          <w:lang w:val="en-US" w:eastAsia="zh-CN"/>
        </w:rPr>
        <w:t>过去村医作为家庭医生签约主体，虽然和群众更熟悉，但服务能力相对较弱，上下协调手段相对单一。为克服这一痛难点，兰州新区成立以卫生院（社区卫生服务中心）临床医生为团队长的医防融合家签团队吸纳公卫专干、村医为成员，团队分片包干，每签约一人新区财政给予团队5元补贴</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lang w:val="en-US" w:eastAsia="zh-CN"/>
        </w:rPr>
        <w:t>卫生院（社区卫生服务中心）根据考核成绩打包拨付相关经费给团队，团队长负责内部协调及绩效二次考核，充分调动团队积极性，促进团队紧密协作，目标统一。在此基础上进一步探索新区明星粉丝家签模式，</w:t>
      </w:r>
      <w:r>
        <w:rPr>
          <w:rFonts w:hint="eastAsia" w:ascii="仿宋_GB2312" w:hAnsi="仿宋_GB2312" w:eastAsia="仿宋_GB2312" w:cs="仿宋_GB2312"/>
          <w:color w:val="auto"/>
          <w:sz w:val="32"/>
          <w:szCs w:val="32"/>
          <w:lang w:val="en-US" w:eastAsia="zh-CN"/>
        </w:rPr>
        <w:t>推出一批业务能力高、责任心强、与群众联系密切的“明星”医生，吸引群众“粉丝”与之签约，成立</w:t>
      </w:r>
      <w:r>
        <w:rPr>
          <w:rFonts w:hint="eastAsia" w:ascii="仿宋_GB2312" w:hAnsi="仿宋_GB2312" w:eastAsia="仿宋_GB2312" w:cs="仿宋_GB2312"/>
          <w:sz w:val="32"/>
          <w:szCs w:val="32"/>
          <w:lang w:val="en-US" w:eastAsia="zh-CN"/>
        </w:rPr>
        <w:t>医防融合明星家签团队</w:t>
      </w:r>
      <w:r>
        <w:rPr>
          <w:rFonts w:hint="eastAsia" w:ascii="仿宋_GB2312" w:hAnsi="仿宋_GB2312" w:eastAsia="仿宋_GB2312" w:cs="仿宋_GB2312"/>
          <w:color w:val="auto"/>
          <w:sz w:val="32"/>
          <w:szCs w:val="32"/>
          <w:lang w:val="en-US" w:eastAsia="zh-CN"/>
        </w:rPr>
        <w:t>80个</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lang w:val="en-US" w:eastAsia="zh-CN"/>
        </w:rPr>
        <w:t>开展“明星家庭医生”评比活动，以赛促干，引导团队良性竞争，相互借鉴，共同进步。</w:t>
      </w:r>
      <w:r>
        <w:rPr>
          <w:rFonts w:hint="eastAsia" w:ascii="楷体" w:hAnsi="楷体" w:eastAsia="楷体" w:cs="楷体"/>
          <w:b/>
          <w:bCs/>
          <w:color w:val="auto"/>
          <w:sz w:val="32"/>
          <w:szCs w:val="32"/>
          <w:lang w:val="en-US" w:eastAsia="zh-CN"/>
        </w:rPr>
        <w:t>二是</w:t>
      </w:r>
      <w:r>
        <w:rPr>
          <w:rFonts w:hint="eastAsia" w:ascii="仿宋_GB2312" w:hAnsi="仿宋_GB2312" w:eastAsia="仿宋_GB2312" w:cs="仿宋_GB2312"/>
          <w:color w:val="auto"/>
          <w:kern w:val="2"/>
          <w:sz w:val="32"/>
          <w:szCs w:val="32"/>
          <w:lang w:val="en-US" w:eastAsia="zh-CN" w:bidi="ar-SA"/>
        </w:rPr>
        <w:t>全面推行信息化，签约服务更加高效。依托信息化手段，通过新区智慧公卫系统“互联网﹢”家庭医生签约服务信息平台，签</w:t>
      </w:r>
      <w:r>
        <w:rPr>
          <w:rFonts w:hint="eastAsia" w:ascii="仿宋_GB2312" w:eastAsia="仿宋_GB2312"/>
          <w:sz w:val="32"/>
          <w:szCs w:val="32"/>
        </w:rPr>
        <w:t>约医生可通过手机APP端口直接完成各类签约数据的采集与录入，自动生成签约台账并支持导出打印，实现了签约流程集成化。系统内置工作地点实时定位、佐证资料实时传输等制约性技术手段，并自动存储签约医生开展签约服务的工作时间、服务内容等痕迹资料，实现了绩效评价可追溯。强化与人口</w:t>
      </w:r>
      <w:r>
        <w:rPr>
          <w:rFonts w:hint="eastAsia" w:ascii="仿宋_GB2312" w:eastAsia="仿宋_GB2312"/>
          <w:sz w:val="32"/>
          <w:szCs w:val="32"/>
          <w:lang w:eastAsia="zh-CN"/>
        </w:rPr>
        <w:t>计生系统</w:t>
      </w:r>
      <w:r>
        <w:rPr>
          <w:rFonts w:hint="eastAsia" w:ascii="仿宋_GB2312" w:eastAsia="仿宋_GB2312"/>
          <w:sz w:val="32"/>
          <w:szCs w:val="32"/>
        </w:rPr>
        <w:t>、</w:t>
      </w:r>
      <w:r>
        <w:rPr>
          <w:rFonts w:hint="eastAsia" w:ascii="仿宋_GB2312" w:eastAsia="仿宋_GB2312"/>
          <w:sz w:val="32"/>
          <w:szCs w:val="32"/>
          <w:lang w:val="en-US" w:eastAsia="zh-CN"/>
        </w:rPr>
        <w:t>his系统</w:t>
      </w:r>
      <w:r>
        <w:rPr>
          <w:rFonts w:hint="eastAsia" w:ascii="仿宋_GB2312" w:eastAsia="仿宋_GB2312"/>
          <w:sz w:val="32"/>
          <w:szCs w:val="32"/>
        </w:rPr>
        <w:t>、</w:t>
      </w:r>
      <w:r>
        <w:rPr>
          <w:rFonts w:hint="eastAsia" w:ascii="仿宋_GB2312" w:eastAsia="仿宋_GB2312"/>
          <w:sz w:val="32"/>
          <w:szCs w:val="32"/>
          <w:lang w:eastAsia="zh-CN"/>
        </w:rPr>
        <w:t>电子档案系统、慢病系统等平台</w:t>
      </w:r>
      <w:r>
        <w:rPr>
          <w:rFonts w:hint="eastAsia" w:ascii="仿宋_GB2312" w:eastAsia="仿宋_GB2312"/>
          <w:sz w:val="32"/>
          <w:szCs w:val="32"/>
        </w:rPr>
        <w:t>动态对接，做好签约居民动态信息变更与居民电子健</w:t>
      </w:r>
      <w:r>
        <w:rPr>
          <w:rFonts w:hint="eastAsia" w:ascii="仿宋_GB2312" w:eastAsia="仿宋_GB2312" w:cs="Times New Roman"/>
          <w:sz w:val="32"/>
          <w:szCs w:val="32"/>
        </w:rPr>
        <w:t>康档案的归总。提供个性化的健康干预，前移健康管理关口。</w:t>
      </w:r>
      <w:r>
        <w:rPr>
          <w:rFonts w:hint="eastAsia" w:ascii="仿宋_GB2312" w:eastAsia="仿宋_GB2312" w:cs="Times New Roman"/>
          <w:b/>
          <w:bCs/>
          <w:sz w:val="32"/>
          <w:szCs w:val="32"/>
          <w:lang w:eastAsia="zh-CN"/>
        </w:rPr>
        <w:t>三是</w:t>
      </w:r>
      <w:r>
        <w:rPr>
          <w:rFonts w:hint="eastAsia" w:ascii="仿宋_GB2312" w:eastAsia="仿宋_GB2312" w:cs="Times New Roman"/>
          <w:sz w:val="32"/>
          <w:szCs w:val="32"/>
          <w:lang w:eastAsia="zh-CN"/>
        </w:rPr>
        <w:t>专项行动精准摸排，精细服务。</w:t>
      </w:r>
      <w:r>
        <w:rPr>
          <w:rFonts w:hint="eastAsia" w:ascii="仿宋_GB2312" w:eastAsia="仿宋_GB2312" w:cs="Times New Roman"/>
          <w:sz w:val="32"/>
          <w:szCs w:val="32"/>
          <w:lang w:val="en-US" w:eastAsia="zh-CN"/>
        </w:rPr>
        <w:t>借助信息化手段与入户摸排相结合，联合公共卫生委员会，开展家签“三清一满意”（服务数据清、重点人群清、病情近况清，不断提升群众满意度）专项行动。第一轮地毯式全域排摸，做到底数清楚。第二轮盯住糖尿病、高血压等慢性病及其他患病人群，做到重点突出。第三轮将团队专科医生与摸排出的重点签约对象通过电话、微信等方式紧密绑定，建立重点人群数据库，全部由家签团队通过主动追踪做到“一对一”个性化签约服务，根据家签对象病情变化实行精准分级分类管理，实现“全专联合”，根据家签对象病情变化实行精准分级分类管理。累计面对面排摸73426户次341586人次，完成</w:t>
      </w:r>
      <w:r>
        <w:rPr>
          <w:rFonts w:hint="eastAsia" w:ascii="仿宋_GB2312" w:eastAsia="仿宋_GB2312" w:cs="Times New Roman"/>
          <w:sz w:val="32"/>
          <w:szCs w:val="32"/>
          <w:lang w:eastAsia="zh-CN"/>
        </w:rPr>
        <w:t>家庭医生签约</w:t>
      </w:r>
      <w:r>
        <w:rPr>
          <w:rFonts w:hint="eastAsia" w:ascii="仿宋_GB2312" w:eastAsia="仿宋_GB2312" w:cs="Times New Roman"/>
          <w:sz w:val="32"/>
          <w:szCs w:val="32"/>
          <w:lang w:val="en-US" w:eastAsia="zh-CN"/>
        </w:rPr>
        <w:t>建档289190</w:t>
      </w:r>
      <w:r>
        <w:rPr>
          <w:rFonts w:hint="eastAsia" w:ascii="仿宋_GB2312" w:eastAsia="仿宋_GB2312" w:cs="Times New Roman"/>
          <w:sz w:val="32"/>
          <w:szCs w:val="32"/>
          <w:lang w:eastAsia="zh-CN"/>
        </w:rPr>
        <w:t>人，</w:t>
      </w:r>
      <w:r>
        <w:rPr>
          <w:rFonts w:hint="eastAsia" w:ascii="仿宋_GB2312" w:eastAsia="仿宋_GB2312" w:cs="Times New Roman"/>
          <w:sz w:val="32"/>
          <w:szCs w:val="32"/>
          <w:lang w:val="en-US" w:eastAsia="zh-CN"/>
        </w:rPr>
        <w:t>签约率达到96.4%</w:t>
      </w:r>
      <w:r>
        <w:rPr>
          <w:rFonts w:hint="eastAsia" w:ascii="仿宋_GB2312" w:eastAsia="仿宋_GB2312" w:cs="Times New Roman"/>
          <w:sz w:val="32"/>
          <w:szCs w:val="32"/>
          <w:lang w:eastAsia="zh-CN"/>
        </w:rPr>
        <w:t>。</w:t>
      </w:r>
      <w:r>
        <w:rPr>
          <w:rFonts w:hint="eastAsia" w:ascii="仿宋_GB2312" w:hAnsi="仿宋_GB2312" w:eastAsia="仿宋_GB2312" w:cs="仿宋_GB2312"/>
          <w:kern w:val="2"/>
          <w:sz w:val="32"/>
          <w:szCs w:val="32"/>
          <w:lang w:val="en-US" w:eastAsia="zh-CN" w:bidi="ar-SA"/>
        </w:rPr>
        <w:t>累计摸排新增高血压患者5162人，管理率提升19.06%；新增糖尿病患者1531人，管理率提升14.68%；新增严重精神障碍患者132人，管理率提升9.8%；摸排其他疾病 2215人，其中：心脑血管疾病655人，慢性疼痛疾病 393人，肿瘤365人，肺系疾病 343人，消化道疾病242人，传染病82人。</w:t>
      </w:r>
      <w:r>
        <w:rPr>
          <w:rFonts w:hint="eastAsia" w:ascii="仿宋_GB2312" w:eastAsia="仿宋_GB2312" w:cs="Times New Roman"/>
          <w:sz w:val="32"/>
          <w:szCs w:val="32"/>
          <w:lang w:val="en-US" w:eastAsia="zh-CN"/>
        </w:rPr>
        <w:t>根据摸排结果进行个性化追踪服务，对需要住院的通过新区医共体途径积极送人就医，累计上转1145人次、下转1091人次，“基层首诊、双向转诊、急慢分治、上下联动”的分级诊疗和就医新格局初步形成，群众对健康服务满意度明显提升，非常认可。</w:t>
      </w:r>
    </w:p>
    <w:p w14:paraId="63DA67D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（二）预算执行情况。</w:t>
      </w:r>
    </w:p>
    <w:p w14:paraId="7CBD76EE">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该项目预算</w:t>
      </w:r>
      <w:r>
        <w:rPr>
          <w:rFonts w:hint="eastAsia" w:ascii="仿宋_GB2312" w:eastAsia="仿宋_GB2312"/>
          <w:sz w:val="32"/>
          <w:szCs w:val="32"/>
          <w:lang w:val="en-US" w:eastAsia="zh-CN"/>
        </w:rPr>
        <w:t>43.9</w:t>
      </w:r>
      <w:r>
        <w:rPr>
          <w:rFonts w:hint="eastAsia" w:ascii="仿宋_GB2312" w:eastAsia="仿宋_GB2312"/>
          <w:sz w:val="32"/>
          <w:szCs w:val="32"/>
        </w:rPr>
        <w:t>万元，</w:t>
      </w:r>
      <w:r>
        <w:rPr>
          <w:rFonts w:hint="eastAsia" w:ascii="仿宋_GB2312" w:eastAsia="仿宋_GB2312"/>
          <w:sz w:val="32"/>
          <w:szCs w:val="32"/>
          <w:lang w:eastAsia="zh-CN"/>
        </w:rPr>
        <w:t>已全部拨付至基层医疗机构</w:t>
      </w:r>
      <w:r>
        <w:rPr>
          <w:rFonts w:hint="eastAsia" w:ascii="仿宋_GB2312" w:eastAsia="仿宋_GB2312"/>
          <w:sz w:val="32"/>
          <w:szCs w:val="32"/>
        </w:rPr>
        <w:t>。</w:t>
      </w:r>
    </w:p>
    <w:p w14:paraId="3144B770">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0A51AC49">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640EF2EB">
      <w:pPr>
        <w:spacing w:line="600" w:lineRule="exact"/>
        <w:ind w:firstLine="640" w:firstLineChars="200"/>
        <w:jc w:val="left"/>
        <w:rPr>
          <w:rFonts w:hint="eastAsia" w:ascii="仿宋" w:hAnsi="仿宋" w:eastAsia="仿宋" w:cs="仿宋"/>
          <w:color w:val="191919"/>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年常住人口签约</w:t>
      </w:r>
      <w:r>
        <w:rPr>
          <w:rFonts w:hint="eastAsia" w:ascii="仿宋_GB2312" w:hAnsi="仿宋_GB2312" w:eastAsia="仿宋_GB2312" w:cs="仿宋_GB2312"/>
          <w:sz w:val="32"/>
          <w:szCs w:val="32"/>
          <w:lang w:val="en-US" w:eastAsia="zh-CN"/>
        </w:rPr>
        <w:t>289190</w:t>
      </w:r>
      <w:r>
        <w:rPr>
          <w:rFonts w:hint="eastAsia" w:ascii="仿宋_GB2312" w:hAnsi="仿宋_GB2312" w:eastAsia="仿宋_GB2312" w:cs="仿宋_GB2312"/>
          <w:sz w:val="32"/>
          <w:szCs w:val="32"/>
        </w:rPr>
        <w:t>人，其中0-6岁儿童</w:t>
      </w:r>
      <w:r>
        <w:rPr>
          <w:rFonts w:hint="eastAsia" w:ascii="仿宋_GB2312" w:hAnsi="仿宋_GB2312" w:eastAsia="仿宋_GB2312" w:cs="仿宋_GB2312"/>
          <w:sz w:val="32"/>
          <w:szCs w:val="32"/>
          <w:lang w:val="en-US" w:eastAsia="zh-CN"/>
        </w:rPr>
        <w:t>15944</w:t>
      </w:r>
      <w:r>
        <w:rPr>
          <w:rFonts w:hint="eastAsia" w:ascii="仿宋_GB2312" w:hAnsi="仿宋_GB2312" w:eastAsia="仿宋_GB2312" w:cs="仿宋_GB2312"/>
          <w:sz w:val="32"/>
          <w:szCs w:val="32"/>
        </w:rPr>
        <w:t>人，65岁及以上</w:t>
      </w:r>
      <w:r>
        <w:rPr>
          <w:rFonts w:hint="eastAsia" w:ascii="仿宋_GB2312" w:hAnsi="仿宋_GB2312" w:eastAsia="仿宋_GB2312" w:cs="仿宋_GB2312"/>
          <w:sz w:val="32"/>
          <w:szCs w:val="32"/>
          <w:lang w:val="en-US" w:eastAsia="zh-CN"/>
        </w:rPr>
        <w:t>20541</w:t>
      </w:r>
      <w:r>
        <w:rPr>
          <w:rFonts w:hint="eastAsia" w:ascii="仿宋_GB2312" w:hAnsi="仿宋_GB2312" w:eastAsia="仿宋_GB2312" w:cs="仿宋_GB2312"/>
          <w:sz w:val="32"/>
          <w:szCs w:val="32"/>
        </w:rPr>
        <w:t>人，孕产妇</w:t>
      </w:r>
      <w:r>
        <w:rPr>
          <w:rFonts w:hint="eastAsia" w:ascii="仿宋_GB2312" w:hAnsi="仿宋_GB2312" w:eastAsia="仿宋_GB2312" w:cs="仿宋_GB2312"/>
          <w:sz w:val="32"/>
          <w:szCs w:val="32"/>
          <w:lang w:val="en-US" w:eastAsia="zh-CN"/>
        </w:rPr>
        <w:t>2011</w:t>
      </w:r>
      <w:r>
        <w:rPr>
          <w:rFonts w:hint="eastAsia" w:ascii="仿宋_GB2312" w:hAnsi="仿宋_GB2312" w:eastAsia="仿宋_GB2312" w:cs="仿宋_GB2312"/>
          <w:sz w:val="32"/>
          <w:szCs w:val="32"/>
        </w:rPr>
        <w:t>人，高血压患者</w:t>
      </w:r>
      <w:r>
        <w:rPr>
          <w:rFonts w:hint="eastAsia" w:ascii="仿宋_GB2312" w:hAnsi="仿宋_GB2312" w:eastAsia="仿宋_GB2312" w:cs="仿宋_GB2312"/>
          <w:sz w:val="32"/>
          <w:szCs w:val="32"/>
          <w:lang w:val="en-US" w:eastAsia="zh-CN"/>
        </w:rPr>
        <w:t>22161</w:t>
      </w:r>
      <w:r>
        <w:rPr>
          <w:rFonts w:hint="eastAsia" w:ascii="仿宋_GB2312" w:hAnsi="仿宋_GB2312" w:eastAsia="仿宋_GB2312" w:cs="仿宋_GB2312"/>
          <w:sz w:val="32"/>
          <w:szCs w:val="32"/>
        </w:rPr>
        <w:t>人，2型糖尿病患者</w:t>
      </w:r>
      <w:r>
        <w:rPr>
          <w:rFonts w:hint="eastAsia" w:ascii="仿宋_GB2312" w:hAnsi="仿宋_GB2312" w:eastAsia="仿宋_GB2312" w:cs="仿宋_GB2312"/>
          <w:sz w:val="32"/>
          <w:szCs w:val="32"/>
          <w:lang w:val="en-US" w:eastAsia="zh-CN"/>
        </w:rPr>
        <w:t>4893</w:t>
      </w:r>
      <w:r>
        <w:rPr>
          <w:rFonts w:hint="eastAsia" w:ascii="仿宋_GB2312" w:hAnsi="仿宋_GB2312" w:eastAsia="仿宋_GB2312" w:cs="仿宋_GB2312"/>
          <w:sz w:val="32"/>
          <w:szCs w:val="32"/>
        </w:rPr>
        <w:t>人，肺结核患者</w:t>
      </w:r>
      <w:r>
        <w:rPr>
          <w:rFonts w:hint="eastAsia" w:ascii="仿宋_GB2312" w:hAnsi="仿宋_GB2312" w:eastAsia="仿宋_GB2312" w:cs="仿宋_GB2312"/>
          <w:sz w:val="32"/>
          <w:szCs w:val="32"/>
          <w:lang w:val="en-US" w:eastAsia="zh-CN"/>
        </w:rPr>
        <w:t>49</w:t>
      </w:r>
      <w:r>
        <w:rPr>
          <w:rFonts w:hint="eastAsia" w:ascii="仿宋_GB2312" w:hAnsi="仿宋_GB2312" w:eastAsia="仿宋_GB2312" w:cs="仿宋_GB2312"/>
          <w:sz w:val="32"/>
          <w:szCs w:val="32"/>
        </w:rPr>
        <w:t>人，严重精神障碍患者</w:t>
      </w:r>
      <w:r>
        <w:rPr>
          <w:rFonts w:hint="eastAsia" w:ascii="仿宋_GB2312" w:hAnsi="仿宋_GB2312" w:eastAsia="仿宋_GB2312" w:cs="仿宋_GB2312"/>
          <w:sz w:val="32"/>
          <w:szCs w:val="32"/>
          <w:lang w:val="en-US" w:eastAsia="zh-CN"/>
        </w:rPr>
        <w:t>991</w:t>
      </w:r>
      <w:r>
        <w:rPr>
          <w:rFonts w:hint="eastAsia" w:ascii="仿宋_GB2312" w:hAnsi="仿宋_GB2312" w:eastAsia="仿宋_GB2312" w:cs="仿宋_GB2312"/>
          <w:sz w:val="32"/>
          <w:szCs w:val="32"/>
        </w:rPr>
        <w:t>人，残疾人</w:t>
      </w:r>
      <w:r>
        <w:rPr>
          <w:rFonts w:hint="eastAsia" w:ascii="仿宋_GB2312" w:hAnsi="仿宋_GB2312" w:eastAsia="仿宋_GB2312" w:cs="仿宋_GB2312"/>
          <w:sz w:val="32"/>
          <w:szCs w:val="32"/>
          <w:lang w:val="en-US" w:eastAsia="zh-CN"/>
        </w:rPr>
        <w:t>3057</w:t>
      </w:r>
      <w:r>
        <w:rPr>
          <w:rFonts w:hint="eastAsia" w:ascii="仿宋_GB2312" w:hAnsi="仿宋_GB2312" w:eastAsia="仿宋_GB2312" w:cs="仿宋_GB2312"/>
          <w:sz w:val="32"/>
          <w:szCs w:val="32"/>
        </w:rPr>
        <w:t>人。</w:t>
      </w:r>
    </w:p>
    <w:p w14:paraId="48EAA43E">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309915B5">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家庭医生签约服务能力得到提升，家庭医生签约项目得到较好落实，老百姓获得感不断增强，群众满意度不断提高。人民群众健康意识进一步得到增强，通过开展家庭签约服务，能最大限度合理截留基层普通病人基层首诊，发现需要上转治疗的，由家庭医生负责联接上级专家及医疗机构给病人提供快捷、高效的专业服务，在解决基层“看病难看病贵”的同时，也极大提高大医院优质医疗资源效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兰州新区“333”家庭医生签约服务模式被省卫生健康委推送至国家卫生健康委作为基层卫生典型先进工作经验在全国推广学习，并入选《全国基层卫生综合改革典型案例》。经省卫生健康委推荐，新区代表甘肃接受国家卫生健康委能力建设和继续教育中心组织的媒体采访和项目调研，受到国家调研组高度肯定和赞扬，并在中国核心期刊《中国社区医师》第939期对兰州新区“三清一满意”工作进行头版刊登。</w:t>
      </w:r>
    </w:p>
    <w:p w14:paraId="623239B4">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688272E2">
      <w:pPr>
        <w:spacing w:line="500" w:lineRule="exact"/>
        <w:ind w:firstLine="640" w:firstLineChars="200"/>
        <w:outlineLvl w:val="0"/>
        <w:rPr>
          <w:rFonts w:hint="eastAsia" w:ascii="仿宋_GB2312" w:eastAsia="仿宋_GB2312"/>
          <w:sz w:val="32"/>
          <w:szCs w:val="32"/>
        </w:rPr>
      </w:pPr>
      <w:r>
        <w:rPr>
          <w:rFonts w:hint="eastAsia" w:ascii="仿宋_GB2312" w:hAnsi="仿宋_GB2312" w:eastAsia="仿宋_GB2312" w:cs="仿宋_GB2312"/>
          <w:sz w:val="32"/>
          <w:szCs w:val="32"/>
        </w:rPr>
        <w:t>通过细致的业务指导、定期的绩效考核以及足额、及时下拨项目补助资金，提高基层医务人员的家庭医生签约服务水平和整体素质，有效提升了群众的满意度。</w:t>
      </w:r>
    </w:p>
    <w:p w14:paraId="7A51267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4ADD4A5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1CA161F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4FECD66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3F69310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46F5E41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7EA1E0A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35DC20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pPr>
      <w:r>
        <w:rPr>
          <w:rFonts w:hint="eastAsia" w:ascii="仿宋_GB2312" w:hAnsi="仿宋_GB2312" w:eastAsia="仿宋_GB2312" w:cs="仿宋_GB2312"/>
          <w:b w:val="0"/>
          <w:bCs w:val="0"/>
          <w:color w:val="000000"/>
          <w:sz w:val="32"/>
          <w:szCs w:val="32"/>
          <w:lang w:val="en-US" w:eastAsia="zh-CN"/>
        </w:rPr>
        <w:t>无。</w:t>
      </w:r>
    </w:p>
    <w:p w14:paraId="0FBC5B8B">
      <w:pPr>
        <w:ind w:firstLine="643"/>
        <w:outlineLvl w:val="2"/>
        <w:rPr>
          <w:rFonts w:hint="eastAsia" w:ascii="楷体" w:hAnsi="楷体" w:eastAsia="楷体" w:cs="楷体"/>
          <w:b/>
          <w:bCs/>
          <w:szCs w:val="32"/>
          <w:lang w:eastAsia="zh-CN"/>
        </w:rPr>
      </w:pPr>
      <w:r>
        <w:rPr>
          <w:rFonts w:hint="eastAsia" w:ascii="楷体" w:hAnsi="楷体" w:eastAsia="楷体" w:cs="楷体"/>
          <w:b/>
          <w:bCs/>
          <w:szCs w:val="32"/>
        </w:rPr>
        <w:t>（</w:t>
      </w:r>
      <w:r>
        <w:rPr>
          <w:rFonts w:hint="eastAsia" w:ascii="楷体" w:hAnsi="楷体" w:eastAsia="楷体" w:cs="楷体"/>
          <w:b/>
          <w:bCs/>
          <w:szCs w:val="32"/>
          <w:lang w:eastAsia="zh-CN"/>
        </w:rPr>
        <w:t>八</w:t>
      </w:r>
      <w:r>
        <w:rPr>
          <w:rFonts w:hint="eastAsia" w:ascii="楷体" w:hAnsi="楷体" w:eastAsia="楷体" w:cs="楷体"/>
          <w:b/>
          <w:bCs/>
          <w:szCs w:val="32"/>
        </w:rPr>
        <w:t>）</w:t>
      </w:r>
      <w:r>
        <w:rPr>
          <w:rFonts w:hint="eastAsia" w:ascii="楷体" w:hAnsi="楷体" w:eastAsia="楷体" w:cs="楷体"/>
          <w:b/>
          <w:bCs/>
          <w:szCs w:val="32"/>
          <w:lang w:eastAsia="zh-CN"/>
        </w:rPr>
        <w:t>“两癌”筛查项目经费</w:t>
      </w:r>
    </w:p>
    <w:p w14:paraId="45E8F52E">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0A06361D">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5A362C53">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根据</w:t>
      </w:r>
      <w:r>
        <w:rPr>
          <w:rFonts w:hint="eastAsia" w:ascii="仿宋_GB2312" w:eastAsia="仿宋_GB2312"/>
          <w:sz w:val="32"/>
          <w:szCs w:val="32"/>
          <w:lang w:eastAsia="zh-CN"/>
        </w:rPr>
        <w:t>甘肃</w:t>
      </w:r>
      <w:r>
        <w:rPr>
          <w:rFonts w:hint="eastAsia" w:ascii="仿宋_GB2312" w:eastAsia="仿宋_GB2312"/>
          <w:sz w:val="32"/>
          <w:szCs w:val="32"/>
        </w:rPr>
        <w:t>省</w:t>
      </w:r>
      <w:r>
        <w:rPr>
          <w:rFonts w:hint="eastAsia" w:ascii="仿宋_GB2312" w:eastAsia="仿宋_GB2312"/>
          <w:sz w:val="32"/>
          <w:szCs w:val="32"/>
          <w:lang w:eastAsia="zh-CN"/>
        </w:rPr>
        <w:t>卫生健康</w:t>
      </w:r>
      <w:r>
        <w:rPr>
          <w:rFonts w:hint="eastAsia" w:ascii="仿宋_GB2312" w:eastAsia="仿宋_GB2312"/>
          <w:sz w:val="32"/>
          <w:szCs w:val="32"/>
        </w:rPr>
        <w:t>委</w:t>
      </w:r>
      <w:r>
        <w:rPr>
          <w:rFonts w:hint="eastAsia" w:ascii="仿宋_GB2312" w:hAnsi="仿宋_GB2312" w:eastAsia="仿宋_GB2312" w:cs="仿宋_GB2312"/>
          <w:sz w:val="32"/>
          <w:szCs w:val="32"/>
          <w:lang w:eastAsia="zh-CN"/>
        </w:rPr>
        <w:t>《关于印发</w:t>
      </w:r>
      <w:r>
        <w:rPr>
          <w:rFonts w:hint="eastAsia" w:ascii="仿宋_GB2312" w:hAnsi="仿宋_GB2312" w:eastAsia="仿宋_GB2312" w:cs="仿宋_GB2312"/>
          <w:sz w:val="32"/>
          <w:szCs w:val="32"/>
          <w:lang w:val="en-US" w:eastAsia="zh-CN"/>
        </w:rPr>
        <w:t>2023年基本公共卫生服务重大传染病防控等妇幼健康服务项目实施方案的通知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（甘</w:t>
      </w:r>
      <w:r>
        <w:rPr>
          <w:rFonts w:hint="eastAsia" w:ascii="仿宋_GB2312" w:hAnsi="仿宋_GB2312" w:eastAsia="仿宋_GB2312" w:cs="仿宋_GB2312"/>
          <w:sz w:val="32"/>
          <w:szCs w:val="32"/>
          <w:lang w:eastAsia="zh-CN"/>
        </w:rPr>
        <w:t>卫妇幼函</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rPr>
        <w:t>号）</w:t>
      </w:r>
      <w:r>
        <w:rPr>
          <w:rFonts w:hint="eastAsia" w:ascii="仿宋_GB2312" w:eastAsia="仿宋_GB2312"/>
          <w:sz w:val="32"/>
          <w:szCs w:val="32"/>
        </w:rPr>
        <w:t>文件精神，坚持以人为本，以健康为重，及时掌握新区妇女健康状况，做到早发现、早治疗，降低妇女病的发病率、死亡率，提高妇女健康水平和生活质量，提升妇女“两癌”防治知晓率，树立“防”重于“治”的健康理念。</w:t>
      </w:r>
    </w:p>
    <w:p w14:paraId="4725209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495902C0">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采取自愿原则，对新区33—64岁城镇低收入妇女以及</w:t>
      </w:r>
      <w:r>
        <w:rPr>
          <w:rFonts w:hint="eastAsia" w:ascii="仿宋_GB2312" w:eastAsia="仿宋_GB2312"/>
          <w:sz w:val="32"/>
          <w:szCs w:val="32"/>
          <w:lang w:eastAsia="zh-CN"/>
        </w:rPr>
        <w:t>近三年</w:t>
      </w:r>
      <w:r>
        <w:rPr>
          <w:rFonts w:hint="eastAsia" w:ascii="仿宋_GB2312" w:eastAsia="仿宋_GB2312"/>
          <w:sz w:val="32"/>
          <w:szCs w:val="32"/>
        </w:rPr>
        <w:t>未参加过为民办实事“两癌”检查的农村妇女进行“两癌”免费检查。今年“两癌”检查目标任务为</w:t>
      </w:r>
      <w:r>
        <w:rPr>
          <w:rFonts w:hint="eastAsia" w:ascii="仿宋_GB2312" w:eastAsia="仿宋_GB2312"/>
          <w:sz w:val="32"/>
          <w:szCs w:val="32"/>
          <w:lang w:val="en-US" w:eastAsia="zh-CN"/>
        </w:rPr>
        <w:t>1100</w:t>
      </w:r>
      <w:r>
        <w:rPr>
          <w:rFonts w:hint="eastAsia" w:ascii="仿宋_GB2312" w:eastAsia="仿宋_GB2312"/>
          <w:sz w:val="32"/>
          <w:szCs w:val="32"/>
        </w:rPr>
        <w:t>人，确保202</w:t>
      </w:r>
      <w:r>
        <w:rPr>
          <w:rFonts w:hint="eastAsia" w:ascii="仿宋_GB2312" w:eastAsia="仿宋_GB2312"/>
          <w:sz w:val="32"/>
          <w:szCs w:val="32"/>
          <w:lang w:val="en-US" w:eastAsia="zh-CN"/>
        </w:rPr>
        <w:t>3</w:t>
      </w:r>
      <w:r>
        <w:rPr>
          <w:rFonts w:hint="eastAsia" w:ascii="仿宋_GB2312" w:eastAsia="仿宋_GB2312"/>
          <w:sz w:val="32"/>
          <w:szCs w:val="32"/>
        </w:rPr>
        <w:t>年4月底前完成全年检查任务的50%，7月底前完成全年任务。</w:t>
      </w:r>
    </w:p>
    <w:p w14:paraId="27440E3F">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0801E0FD">
      <w:pPr>
        <w:spacing w:line="560" w:lineRule="exact"/>
        <w:ind w:firstLine="643" w:firstLineChars="200"/>
        <w:rPr>
          <w:rFonts w:ascii="仿宋_GB2312" w:hAnsi="Verdana" w:cs="宋体"/>
          <w:color w:val="000000"/>
          <w:kern w:val="0"/>
          <w:sz w:val="32"/>
          <w:szCs w:val="32"/>
          <w:lang w:bidi="ar"/>
        </w:rPr>
      </w:pPr>
      <w:r>
        <w:rPr>
          <w:rFonts w:hint="eastAsia" w:ascii="仿宋_GB2312" w:eastAsia="仿宋_GB2312"/>
          <w:b/>
          <w:bCs/>
          <w:sz w:val="32"/>
          <w:szCs w:val="32"/>
        </w:rPr>
        <w:t>总体目标：</w:t>
      </w:r>
      <w:r>
        <w:rPr>
          <w:rFonts w:hint="eastAsia" w:ascii="仿宋_GB2312" w:eastAsia="仿宋_GB2312"/>
          <w:sz w:val="32"/>
          <w:szCs w:val="32"/>
        </w:rPr>
        <w:t>提高妇女健康水平和生活质量，提升妇女“两癌”防治知晓率。</w:t>
      </w:r>
    </w:p>
    <w:p w14:paraId="0A4895C3">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rPr>
        <w:t>阶段性目标：</w:t>
      </w:r>
      <w:r>
        <w:rPr>
          <w:rFonts w:hint="eastAsia" w:ascii="仿宋_GB2312" w:eastAsia="仿宋_GB2312"/>
          <w:sz w:val="32"/>
          <w:szCs w:val="32"/>
        </w:rPr>
        <w:t>对新区33—64岁城镇低收入妇女以及未参加过2018—2020年为民办实事“两癌”检查的农村妇女进行“两癌”免费检查，检查目标任务为</w:t>
      </w:r>
      <w:r>
        <w:rPr>
          <w:rFonts w:hint="eastAsia" w:ascii="仿宋_GB2312" w:eastAsia="仿宋_GB2312"/>
          <w:sz w:val="32"/>
          <w:szCs w:val="32"/>
          <w:lang w:val="en-US" w:eastAsia="zh-CN"/>
        </w:rPr>
        <w:t>1100</w:t>
      </w:r>
      <w:r>
        <w:rPr>
          <w:rFonts w:hint="eastAsia" w:ascii="仿宋_GB2312" w:eastAsia="仿宋_GB2312"/>
          <w:sz w:val="32"/>
          <w:szCs w:val="32"/>
        </w:rPr>
        <w:t>人。</w:t>
      </w:r>
    </w:p>
    <w:p w14:paraId="545F114B">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66C5DEA5">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该项目预算</w:t>
      </w:r>
      <w:r>
        <w:rPr>
          <w:rFonts w:hint="eastAsia" w:ascii="仿宋_GB2312" w:eastAsia="仿宋_GB2312"/>
          <w:sz w:val="32"/>
          <w:szCs w:val="32"/>
          <w:lang w:val="en-US" w:eastAsia="zh-CN"/>
        </w:rPr>
        <w:t>28.6</w:t>
      </w:r>
      <w:r>
        <w:rPr>
          <w:rFonts w:hint="eastAsia" w:ascii="仿宋_GB2312" w:eastAsia="仿宋_GB2312"/>
          <w:sz w:val="32"/>
          <w:szCs w:val="32"/>
        </w:rPr>
        <w:t>万元，其中省级资金</w:t>
      </w:r>
      <w:r>
        <w:rPr>
          <w:rFonts w:hint="eastAsia" w:ascii="仿宋_GB2312" w:eastAsia="仿宋_GB2312"/>
          <w:sz w:val="32"/>
          <w:szCs w:val="32"/>
          <w:lang w:val="en-US" w:eastAsia="zh-CN"/>
        </w:rPr>
        <w:t>6.6</w:t>
      </w:r>
      <w:r>
        <w:rPr>
          <w:rFonts w:hint="eastAsia" w:ascii="仿宋_GB2312" w:eastAsia="仿宋_GB2312"/>
          <w:sz w:val="32"/>
          <w:szCs w:val="32"/>
        </w:rPr>
        <w:t>万元，新区配套资金</w:t>
      </w:r>
      <w:r>
        <w:rPr>
          <w:rFonts w:hint="eastAsia" w:ascii="仿宋_GB2312" w:eastAsia="仿宋_GB2312"/>
          <w:sz w:val="32"/>
          <w:szCs w:val="32"/>
          <w:lang w:val="en-US" w:eastAsia="zh-CN"/>
        </w:rPr>
        <w:t>22</w:t>
      </w:r>
      <w:r>
        <w:rPr>
          <w:rFonts w:hint="eastAsia" w:ascii="仿宋_GB2312" w:eastAsia="仿宋_GB2312"/>
          <w:sz w:val="32"/>
          <w:szCs w:val="32"/>
        </w:rPr>
        <w:t>万元。</w:t>
      </w:r>
    </w:p>
    <w:p w14:paraId="08B95D56">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1F6051C8">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41DDA391">
      <w:pPr>
        <w:spacing w:line="500" w:lineRule="exact"/>
        <w:ind w:firstLine="643" w:firstLineChars="200"/>
        <w:rPr>
          <w:rFonts w:hint="eastAsia" w:ascii="仿宋_GB2312" w:eastAsia="仿宋_GB2312"/>
          <w:sz w:val="32"/>
          <w:szCs w:val="32"/>
        </w:rPr>
      </w:pPr>
      <w:r>
        <w:rPr>
          <w:rFonts w:hint="eastAsia" w:ascii="仿宋_GB2312" w:eastAsia="仿宋_GB2312"/>
          <w:b/>
          <w:sz w:val="32"/>
          <w:szCs w:val="32"/>
        </w:rPr>
        <w:t>一是</w:t>
      </w:r>
      <w:r>
        <w:rPr>
          <w:rFonts w:hint="eastAsia" w:ascii="仿宋_GB2312" w:eastAsia="仿宋_GB2312"/>
          <w:sz w:val="32"/>
          <w:szCs w:val="32"/>
        </w:rPr>
        <w:t>制定配套方案文件。通过广泛征求各相关单位意见建议，结合新区园区、乡镇实际，联合妇工委、财政局、民政司法和社会保障局共同印发《兰州新区202</w:t>
      </w:r>
      <w:r>
        <w:rPr>
          <w:rFonts w:hint="eastAsia" w:ascii="仿宋_GB2312" w:eastAsia="仿宋_GB2312"/>
          <w:sz w:val="32"/>
          <w:szCs w:val="32"/>
          <w:lang w:val="en-US" w:eastAsia="zh-CN"/>
        </w:rPr>
        <w:t>2</w:t>
      </w:r>
      <w:r>
        <w:rPr>
          <w:rFonts w:hint="eastAsia" w:ascii="仿宋_GB2312" w:eastAsia="仿宋_GB2312"/>
          <w:sz w:val="32"/>
          <w:szCs w:val="32"/>
        </w:rPr>
        <w:t>年为民办实事妇女“两癌”免费检查工作实施方案》，各园区和兰州新区第一人民医院分别成立农村妇女“两癌”检查工作领导小组，确保农村妇女“两癌”检查落实有力。</w:t>
      </w:r>
      <w:r>
        <w:rPr>
          <w:rFonts w:hint="eastAsia" w:ascii="仿宋_GB2312" w:eastAsia="仿宋_GB2312"/>
          <w:b/>
          <w:sz w:val="32"/>
          <w:szCs w:val="32"/>
        </w:rPr>
        <w:t>二是</w:t>
      </w:r>
      <w:r>
        <w:rPr>
          <w:rFonts w:hint="eastAsia" w:ascii="仿宋_GB2312" w:eastAsia="仿宋_GB2312"/>
          <w:sz w:val="32"/>
          <w:szCs w:val="32"/>
        </w:rPr>
        <w:t>强化部门协作。召开多次工作推进会、现场办公会，各单位结合工作职责制定工作计划、细化工作流程、建立工作台帐，新区财政局保障检查资金按时到位，新区第一人民医院组织专业医疗队伍、医疗设备集中深入村社开展专项检查，形成上下联动、齐抓共管的工作格局。</w:t>
      </w:r>
      <w:r>
        <w:rPr>
          <w:rFonts w:hint="eastAsia" w:ascii="仿宋_GB2312" w:eastAsia="仿宋_GB2312"/>
          <w:b/>
          <w:sz w:val="32"/>
          <w:szCs w:val="32"/>
        </w:rPr>
        <w:t>三是</w:t>
      </w:r>
      <w:r>
        <w:rPr>
          <w:rFonts w:hint="eastAsia" w:ascii="仿宋_GB2312" w:eastAsia="仿宋_GB2312"/>
          <w:sz w:val="32"/>
          <w:szCs w:val="32"/>
        </w:rPr>
        <w:t>强化督导考核。与各园区签订“两癌”检查工作目标责任书，对检查任务进行分配，每季度召开一次工作推进会，对上一季度检查完成进度进行通报，对检查工作中出现的问题和困难进行解决，对下一季度检查工作进行安排部署，确保检查工作顺畅运转，力争把好事办好，实事办实。四是广泛宣传动员。充分调动新区广大农村妇女参与“两癌”筛查工作的积极性和主动性，开展上门服务，强化宣传，主动出击，确保实现提质扩面的目标，印刷《免费“两癌”筛查宣传手册》。各园区通过召开农村妇女“两癌”检查工作动员会、推进会等形式，层层宣传“两癌”检查的重要性；通过制作宣传品、悬挂宣传条幅、印发宣传资料，利用村喇叭广播、村社QQ群、微信、抖音等多媒体，切实加大对“两癌”检查工作的宣传，扩大农村妇女“两癌”检查项目的社会影响力，做到家喻户晓、人人皆知。同时强化健康宣教，在检查过程中不仅做好检查工作，更加注重随时传播“两癌”防治基本知识。新区卫生健康委和新区第一人民医院积极组织专业技术人员进行“两癌”义诊和宣传。通过多方式、多渠道的宣传，增强广大妇女的健康意识，提高农村适龄妇女参加检查的积极性。</w:t>
      </w:r>
    </w:p>
    <w:p w14:paraId="49929274">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（二）预算执行情况。</w:t>
      </w:r>
    </w:p>
    <w:p w14:paraId="1AD3E0A4">
      <w:pPr>
        <w:spacing w:line="50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eastAsia="zh-CN"/>
        </w:rPr>
        <w:t>本级按照</w:t>
      </w:r>
      <w:r>
        <w:rPr>
          <w:rFonts w:hint="eastAsia" w:ascii="仿宋_GB2312" w:eastAsia="仿宋_GB2312"/>
          <w:sz w:val="32"/>
          <w:szCs w:val="32"/>
          <w:lang w:val="en-US" w:eastAsia="zh-CN"/>
        </w:rPr>
        <w:t>1500人预算</w:t>
      </w:r>
      <w:r>
        <w:rPr>
          <w:rFonts w:hint="eastAsia" w:ascii="仿宋_GB2312" w:eastAsia="仿宋_GB2312"/>
          <w:sz w:val="32"/>
          <w:szCs w:val="32"/>
        </w:rPr>
        <w:t>妇女“两癌”检查配套经费</w:t>
      </w:r>
      <w:r>
        <w:rPr>
          <w:rFonts w:hint="eastAsia" w:ascii="仿宋_GB2312" w:eastAsia="仿宋_GB2312"/>
          <w:sz w:val="32"/>
          <w:szCs w:val="32"/>
          <w:lang w:val="en-US" w:eastAsia="zh-CN"/>
        </w:rPr>
        <w:t>22</w:t>
      </w:r>
      <w:r>
        <w:rPr>
          <w:rFonts w:hint="eastAsia" w:ascii="仿宋_GB2312" w:eastAsia="仿宋_GB2312"/>
          <w:sz w:val="32"/>
          <w:szCs w:val="32"/>
        </w:rPr>
        <w:t>万元，</w:t>
      </w:r>
      <w:r>
        <w:rPr>
          <w:rFonts w:hint="eastAsia" w:ascii="仿宋_GB2312" w:eastAsia="仿宋_GB2312"/>
          <w:sz w:val="32"/>
          <w:szCs w:val="32"/>
          <w:lang w:eastAsia="zh-CN"/>
        </w:rPr>
        <w:t>但实际下达任务数为</w:t>
      </w:r>
      <w:r>
        <w:rPr>
          <w:rFonts w:hint="eastAsia" w:ascii="仿宋_GB2312" w:eastAsia="仿宋_GB2312"/>
          <w:sz w:val="32"/>
          <w:szCs w:val="32"/>
          <w:lang w:val="en-US" w:eastAsia="zh-CN"/>
        </w:rPr>
        <w:t>1100人，配套12.1万元</w:t>
      </w:r>
      <w:r>
        <w:rPr>
          <w:rFonts w:hint="eastAsia" w:ascii="仿宋_GB2312" w:eastAsia="仿宋_GB2312"/>
          <w:sz w:val="32"/>
          <w:szCs w:val="32"/>
        </w:rPr>
        <w:t>已全额下拨到新区第一人民医院。截止</w:t>
      </w:r>
      <w:r>
        <w:rPr>
          <w:rFonts w:hint="eastAsia" w:ascii="仿宋_GB2312" w:eastAsia="仿宋_GB2312"/>
          <w:sz w:val="32"/>
          <w:szCs w:val="32"/>
          <w:lang w:val="en-US" w:eastAsia="zh-CN"/>
        </w:rPr>
        <w:t>7</w:t>
      </w:r>
      <w:r>
        <w:rPr>
          <w:rFonts w:hint="eastAsia" w:ascii="仿宋_GB2312" w:eastAsia="仿宋_GB2312"/>
          <w:sz w:val="32"/>
          <w:szCs w:val="32"/>
        </w:rPr>
        <w:t>月底，已超额完成202</w:t>
      </w:r>
      <w:r>
        <w:rPr>
          <w:rFonts w:hint="eastAsia" w:ascii="仿宋_GB2312" w:eastAsia="仿宋_GB2312"/>
          <w:sz w:val="32"/>
          <w:szCs w:val="32"/>
          <w:lang w:val="en-US" w:eastAsia="zh-CN"/>
        </w:rPr>
        <w:t>3</w:t>
      </w:r>
      <w:r>
        <w:rPr>
          <w:rFonts w:hint="eastAsia" w:ascii="仿宋_GB2312" w:eastAsia="仿宋_GB2312"/>
          <w:sz w:val="32"/>
          <w:szCs w:val="32"/>
        </w:rPr>
        <w:t>年任务数。</w:t>
      </w:r>
      <w:r>
        <w:rPr>
          <w:rFonts w:hint="eastAsia" w:ascii="仿宋_GB2312" w:eastAsia="仿宋_GB2312"/>
          <w:sz w:val="32"/>
          <w:szCs w:val="32"/>
          <w:lang w:eastAsia="zh-CN"/>
        </w:rPr>
        <w:t>剩余</w:t>
      </w:r>
      <w:r>
        <w:rPr>
          <w:rFonts w:hint="eastAsia" w:ascii="仿宋_GB2312" w:eastAsia="仿宋_GB2312"/>
          <w:sz w:val="32"/>
          <w:szCs w:val="32"/>
          <w:lang w:val="en-US" w:eastAsia="zh-CN"/>
        </w:rPr>
        <w:t>9.9万元已于中期预算调整至家庭医生签约服务项目资金。</w:t>
      </w:r>
    </w:p>
    <w:p w14:paraId="4354521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6B247671">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5BAE5F35">
      <w:pPr>
        <w:spacing w:line="600" w:lineRule="exact"/>
        <w:ind w:firstLine="640" w:firstLineChars="200"/>
        <w:jc w:val="left"/>
        <w:rPr>
          <w:rFonts w:hint="eastAsia" w:ascii="仿宋" w:hAnsi="仿宋" w:eastAsia="仿宋" w:cs="仿宋"/>
          <w:color w:val="191919"/>
          <w:sz w:val="32"/>
          <w:szCs w:val="32"/>
        </w:rPr>
      </w:pPr>
      <w:r>
        <w:rPr>
          <w:rFonts w:hint="eastAsia" w:ascii="仿宋_GB2312" w:hAnsi="仿宋_GB2312" w:eastAsia="仿宋_GB2312" w:cs="仿宋_GB2312"/>
          <w:sz w:val="32"/>
          <w:szCs w:val="32"/>
        </w:rPr>
        <w:t>为了切实做实做好“两癌”检查这一惠民工程，进一步提升检查效果，在检查中免费增加了妇科超声检查项目，有效提升了适龄妇女参与检查的积极性。为帮助广大农村妇女早发现、早诊断、早治疗妇科疾病发挥了重要作用，使社会各界对农村妇女健康问题进一步提高了关注度使新区农村妇女进一步增强了健康保护意识，丰富了妇科疾病常识，有效传递了政府关爱，促进了妇女健康。省政府确定的“两癌”检查标准为120元/人，省级补贴60元/人，新区财政补贴60元/人。从2019年开始，新区为“两癌”检查妇女新增50元妇科B超项目，将检查标准提高至170元/人，新区财政补贴110元/人。</w:t>
      </w:r>
      <w:r>
        <w:rPr>
          <w:rFonts w:hint="eastAsia" w:ascii="仿宋_GB2312" w:eastAsia="仿宋_GB2312"/>
          <w:sz w:val="32"/>
          <w:szCs w:val="32"/>
        </w:rPr>
        <w:t>甘肃省</w:t>
      </w:r>
      <w:r>
        <w:rPr>
          <w:rFonts w:hint="eastAsia" w:ascii="仿宋_GB2312" w:eastAsia="仿宋_GB2312"/>
          <w:sz w:val="32"/>
          <w:szCs w:val="32"/>
          <w:lang w:eastAsia="zh-CN"/>
        </w:rPr>
        <w:t>人民政府办公厅</w:t>
      </w:r>
      <w:r>
        <w:rPr>
          <w:rFonts w:hint="eastAsia" w:ascii="仿宋_GB2312" w:eastAsia="仿宋_GB2312"/>
          <w:sz w:val="32"/>
          <w:szCs w:val="32"/>
        </w:rPr>
        <w:t>《</w:t>
      </w:r>
      <w:r>
        <w:rPr>
          <w:rFonts w:hint="eastAsia" w:ascii="仿宋_GB2312" w:eastAsia="仿宋_GB2312"/>
          <w:sz w:val="32"/>
          <w:szCs w:val="32"/>
          <w:lang w:val="en-US" w:eastAsia="zh-CN"/>
        </w:rPr>
        <w:t>1-4月省委省政府10件为民实事进展情况的通报</w:t>
      </w:r>
      <w:r>
        <w:rPr>
          <w:rFonts w:hint="eastAsia" w:ascii="仿宋_GB2312" w:eastAsia="仿宋_GB2312"/>
          <w:sz w:val="32"/>
          <w:szCs w:val="32"/>
        </w:rPr>
        <w:t>》，</w:t>
      </w:r>
      <w:r>
        <w:rPr>
          <w:rFonts w:hint="eastAsia" w:ascii="仿宋_GB2312" w:eastAsia="仿宋_GB2312"/>
          <w:sz w:val="32"/>
          <w:szCs w:val="32"/>
          <w:lang w:eastAsia="zh-CN"/>
        </w:rPr>
        <w:t>兰州新区完成</w:t>
      </w:r>
      <w:r>
        <w:rPr>
          <w:rFonts w:hint="eastAsia" w:ascii="仿宋_GB2312" w:eastAsia="仿宋_GB2312"/>
          <w:sz w:val="32"/>
          <w:szCs w:val="32"/>
          <w:lang w:val="en-US" w:eastAsia="zh-CN"/>
        </w:rPr>
        <w:t>2023年度</w:t>
      </w:r>
      <w:r>
        <w:rPr>
          <w:rFonts w:hint="eastAsia" w:ascii="仿宋_GB2312" w:eastAsia="仿宋_GB2312"/>
          <w:sz w:val="32"/>
          <w:szCs w:val="32"/>
          <w:lang w:eastAsia="zh-CN"/>
        </w:rPr>
        <w:t>妇女“两癌”免费检查全年任务</w:t>
      </w:r>
      <w:r>
        <w:rPr>
          <w:rFonts w:hint="eastAsia" w:ascii="仿宋_GB2312" w:eastAsia="仿宋_GB2312"/>
          <w:sz w:val="32"/>
          <w:szCs w:val="32"/>
          <w:lang w:val="en-US" w:eastAsia="zh-CN"/>
        </w:rPr>
        <w:t>135%，排名全省第一。</w:t>
      </w:r>
    </w:p>
    <w:p w14:paraId="3B2136DE">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1990FFD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新区卫生健康委和新区第一人民医院积极组织专业技术人员进行“两癌”义诊和宣传。通过多方式、多渠道的宣传，增强广大妇女的健康意识，提高农村适龄妇女参加检查的积极性。</w:t>
      </w:r>
      <w:r>
        <w:rPr>
          <w:rFonts w:hint="eastAsia" w:ascii="仿宋_GB2312" w:hAnsi="仿宋_GB2312" w:eastAsia="仿宋_GB2312" w:cs="仿宋_GB2312"/>
          <w:color w:val="auto"/>
          <w:sz w:val="32"/>
          <w:szCs w:val="32"/>
          <w:lang w:val="en-US" w:eastAsia="zh-CN"/>
        </w:rPr>
        <w:t>高质量超额完成全省为民办实事妇女“两癌”筛查工作，对部分“两癌”妇女进行了健康回访、用药指导及慰问，被甘肃电视台采访报道。</w:t>
      </w:r>
    </w:p>
    <w:p w14:paraId="5F7BB6FA">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1742F31A">
      <w:pPr>
        <w:spacing w:line="500" w:lineRule="exact"/>
        <w:ind w:firstLine="640" w:firstLineChars="200"/>
        <w:outlineLvl w:val="0"/>
        <w:rPr>
          <w:rFonts w:hint="eastAsia" w:ascii="仿宋_GB2312" w:eastAsia="仿宋_GB2312"/>
          <w:sz w:val="32"/>
          <w:szCs w:val="32"/>
        </w:rPr>
      </w:pPr>
      <w:r>
        <w:rPr>
          <w:rFonts w:hint="eastAsia" w:ascii="仿宋_GB2312" w:hAnsi="仿宋_GB2312" w:eastAsia="仿宋_GB2312" w:cs="仿宋_GB2312"/>
          <w:sz w:val="32"/>
          <w:szCs w:val="32"/>
        </w:rPr>
        <w:t>通过严谨的选聘程序、细致的业务指导、定期的绩效考核以及足额、及时下拨“两癌”检查经费，提升了妇女“两癌”防治知晓率和自我保健意识。</w:t>
      </w:r>
    </w:p>
    <w:p w14:paraId="43853EB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3125033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38705D0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7248988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47B8726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00FE1B3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1EE2D57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2467F9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eastAsia="仿宋_GB2312"/>
          <w:sz w:val="32"/>
          <w:szCs w:val="32"/>
        </w:rPr>
      </w:pPr>
      <w:r>
        <w:rPr>
          <w:rFonts w:hint="eastAsia" w:ascii="仿宋_GB2312" w:hAnsi="仿宋_GB2312" w:eastAsia="仿宋_GB2312" w:cs="仿宋_GB2312"/>
          <w:b w:val="0"/>
          <w:bCs w:val="0"/>
          <w:color w:val="000000"/>
          <w:sz w:val="32"/>
          <w:szCs w:val="32"/>
          <w:lang w:val="en-US" w:eastAsia="zh-CN"/>
        </w:rPr>
        <w:t>无。</w:t>
      </w:r>
    </w:p>
    <w:p w14:paraId="60A74DEB">
      <w:pPr>
        <w:ind w:firstLine="643"/>
        <w:outlineLvl w:val="2"/>
        <w:rPr>
          <w:rFonts w:hint="eastAsia" w:ascii="楷体" w:hAnsi="楷体" w:eastAsia="楷体" w:cs="楷体"/>
          <w:b/>
          <w:bCs/>
          <w:szCs w:val="32"/>
          <w:lang w:eastAsia="zh-CN"/>
        </w:rPr>
      </w:pPr>
      <w:r>
        <w:rPr>
          <w:rFonts w:hint="eastAsia" w:ascii="楷体" w:hAnsi="楷体" w:eastAsia="楷体" w:cs="楷体"/>
          <w:b/>
          <w:bCs/>
          <w:szCs w:val="32"/>
        </w:rPr>
        <w:t>（</w:t>
      </w:r>
      <w:r>
        <w:rPr>
          <w:rFonts w:hint="eastAsia" w:ascii="楷体" w:hAnsi="楷体" w:eastAsia="楷体" w:cs="楷体"/>
          <w:b/>
          <w:bCs/>
          <w:szCs w:val="32"/>
          <w:lang w:eastAsia="zh-CN"/>
        </w:rPr>
        <w:t>九</w:t>
      </w:r>
      <w:r>
        <w:rPr>
          <w:rFonts w:hint="eastAsia" w:ascii="楷体" w:hAnsi="楷体" w:eastAsia="楷体" w:cs="楷体"/>
          <w:b/>
          <w:bCs/>
          <w:szCs w:val="32"/>
        </w:rPr>
        <w:t>）村医及离岗村医养老补助</w:t>
      </w:r>
      <w:r>
        <w:rPr>
          <w:rFonts w:hint="eastAsia" w:ascii="楷体" w:hAnsi="楷体" w:eastAsia="楷体" w:cs="楷体"/>
          <w:b/>
          <w:bCs/>
          <w:szCs w:val="32"/>
          <w:lang w:eastAsia="zh-CN"/>
        </w:rPr>
        <w:t>经费</w:t>
      </w:r>
    </w:p>
    <w:p w14:paraId="4C59BBB0">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21D0B448">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3FCF9DE7">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乡村医生长期以来在维护广大农村居民健康方面发挥着难以替代的作用，为确保农村医疗卫生服务"网底"不破，保障广大农村居民基本医疗和公共卫生服务的公平性、可及性，根据深化医药卫生体制改革的有关精神，加强乡村医生队伍建设，切实筑牢农村医疗卫生服务网底，解决村医退休后的养老问题。</w:t>
      </w:r>
    </w:p>
    <w:p w14:paraId="71EC9CCC">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0D034594">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新区卫健委每年按时拨付在岗村医参加城镇职工养老保险支付单位缴纳部分和离岗村医支付养老补助，各基层医疗机构按时为本单位在岗及离岗村医缴纳城镇职工养老保险或养老补助。</w:t>
      </w:r>
    </w:p>
    <w:p w14:paraId="72921215">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51C396D4">
      <w:pPr>
        <w:spacing w:line="560" w:lineRule="exact"/>
        <w:ind w:firstLine="643" w:firstLineChars="200"/>
        <w:rPr>
          <w:rFonts w:ascii="仿宋_GB2312" w:hAnsi="Verdana" w:cs="宋体"/>
          <w:color w:val="000000"/>
          <w:kern w:val="0"/>
          <w:sz w:val="32"/>
          <w:szCs w:val="32"/>
          <w:lang w:bidi="ar"/>
        </w:rPr>
      </w:pPr>
      <w:r>
        <w:rPr>
          <w:rFonts w:hint="eastAsia" w:ascii="仿宋_GB2312" w:eastAsia="仿宋_GB2312"/>
          <w:b/>
          <w:bCs/>
          <w:sz w:val="32"/>
          <w:szCs w:val="32"/>
        </w:rPr>
        <w:t>总体目标：</w:t>
      </w:r>
      <w:r>
        <w:rPr>
          <w:rFonts w:hint="eastAsia" w:ascii="仿宋_GB2312" w:eastAsia="仿宋_GB2312"/>
          <w:sz w:val="32"/>
          <w:szCs w:val="32"/>
        </w:rPr>
        <w:t>稳定村医队伍，为离岗村医解决后顾之忧，提高基层医疗机构服务能力</w:t>
      </w:r>
    </w:p>
    <w:p w14:paraId="4C143AFD">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rPr>
        <w:t>阶段性目标：</w:t>
      </w:r>
      <w:r>
        <w:rPr>
          <w:rFonts w:hint="eastAsia" w:ascii="仿宋_GB2312" w:eastAsia="仿宋_GB2312"/>
          <w:sz w:val="32"/>
          <w:szCs w:val="32"/>
        </w:rPr>
        <w:t>保证在岗村医按时足额缴纳城镇职工养老保险，保证离岗村医按时享受养老补助。</w:t>
      </w:r>
    </w:p>
    <w:p w14:paraId="7E4FEA31">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1611E9EA">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eastAsia="仿宋_GB2312"/>
          <w:sz w:val="32"/>
          <w:szCs w:val="32"/>
          <w:lang w:val="en-US" w:eastAsia="zh-CN"/>
        </w:rPr>
        <w:t>140</w:t>
      </w:r>
      <w:r>
        <w:rPr>
          <w:rFonts w:hint="eastAsia" w:ascii="仿宋_GB2312" w:eastAsia="仿宋_GB2312"/>
          <w:sz w:val="32"/>
          <w:szCs w:val="32"/>
        </w:rPr>
        <w:t>万元，全部为新区配套资金。</w:t>
      </w:r>
    </w:p>
    <w:p w14:paraId="36A6788B">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49BB4ACF">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240BAFC0">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依据《关于进一步加强乡村医疗服务一体化管理工作的实施方案》，新区对全体乡村医生实行竞争上岗，择优录取。各卫生院对卫生室实行目标责任管理，每</w:t>
      </w:r>
      <w:r>
        <w:rPr>
          <w:rFonts w:hint="eastAsia" w:ascii="仿宋_GB2312" w:eastAsia="仿宋_GB2312"/>
          <w:sz w:val="32"/>
          <w:szCs w:val="32"/>
          <w:lang w:eastAsia="zh-CN"/>
        </w:rPr>
        <w:t>月</w:t>
      </w:r>
      <w:r>
        <w:rPr>
          <w:rFonts w:hint="eastAsia" w:ascii="仿宋_GB2312" w:eastAsia="仿宋_GB2312"/>
          <w:sz w:val="32"/>
          <w:szCs w:val="32"/>
        </w:rPr>
        <w:t>对卫生室</w:t>
      </w:r>
      <w:r>
        <w:rPr>
          <w:rFonts w:hint="eastAsia" w:ascii="仿宋_GB2312" w:eastAsia="仿宋_GB2312"/>
          <w:sz w:val="32"/>
          <w:szCs w:val="32"/>
          <w:lang w:eastAsia="zh-CN"/>
        </w:rPr>
        <w:t>进行</w:t>
      </w:r>
      <w:r>
        <w:rPr>
          <w:rFonts w:hint="eastAsia" w:ascii="仿宋_GB2312" w:eastAsia="仿宋_GB2312"/>
          <w:sz w:val="32"/>
          <w:szCs w:val="32"/>
        </w:rPr>
        <w:t>绩效考核，绩效考核结果主要用于公共卫生服务补助、实行国家基本药物制度补助、提供家庭医生签约服务补助分配。绩效工资根据乡村医生的工作任务完成情况按照处方量、医疗质量、服务态度、公共卫生工作完成的质量确定。村医队伍中执业（助理）医师占比达</w:t>
      </w:r>
      <w:r>
        <w:rPr>
          <w:rFonts w:hint="eastAsia" w:ascii="仿宋_GB2312" w:eastAsia="仿宋_GB2312"/>
          <w:sz w:val="32"/>
          <w:szCs w:val="32"/>
          <w:lang w:val="en-US" w:eastAsia="zh-CN"/>
        </w:rPr>
        <w:t>64.23</w:t>
      </w:r>
      <w:r>
        <w:rPr>
          <w:rFonts w:hint="eastAsia" w:ascii="仿宋_GB2312" w:eastAsia="仿宋_GB2312"/>
          <w:sz w:val="32"/>
          <w:szCs w:val="32"/>
        </w:rPr>
        <w:t>%（</w:t>
      </w:r>
      <w:r>
        <w:rPr>
          <w:rFonts w:hint="eastAsia" w:ascii="仿宋_GB2312" w:eastAsia="仿宋_GB2312"/>
          <w:sz w:val="32"/>
          <w:szCs w:val="32"/>
          <w:lang w:val="en-US" w:eastAsia="zh-CN"/>
        </w:rPr>
        <w:t>137</w:t>
      </w:r>
      <w:r>
        <w:rPr>
          <w:rFonts w:hint="eastAsia" w:ascii="仿宋_GB2312" w:eastAsia="仿宋_GB2312"/>
          <w:sz w:val="32"/>
          <w:szCs w:val="32"/>
        </w:rPr>
        <w:t>名村医中</w:t>
      </w:r>
      <w:r>
        <w:rPr>
          <w:rFonts w:hint="eastAsia" w:ascii="仿宋_GB2312" w:eastAsia="仿宋_GB2312"/>
          <w:sz w:val="32"/>
          <w:szCs w:val="32"/>
          <w:lang w:val="en-US" w:eastAsia="zh-CN"/>
        </w:rPr>
        <w:t>49</w:t>
      </w:r>
      <w:r>
        <w:rPr>
          <w:rFonts w:hint="eastAsia" w:ascii="仿宋_GB2312" w:eastAsia="仿宋_GB2312"/>
          <w:sz w:val="32"/>
          <w:szCs w:val="32"/>
        </w:rPr>
        <w:t>人取得村医资格，</w:t>
      </w:r>
      <w:r>
        <w:rPr>
          <w:rFonts w:hint="eastAsia" w:ascii="仿宋_GB2312" w:eastAsia="仿宋_GB2312"/>
          <w:sz w:val="32"/>
          <w:szCs w:val="32"/>
          <w:lang w:val="en-US" w:eastAsia="zh-CN"/>
        </w:rPr>
        <w:t>65</w:t>
      </w:r>
      <w:r>
        <w:rPr>
          <w:rFonts w:hint="eastAsia" w:ascii="仿宋_GB2312" w:eastAsia="仿宋_GB2312"/>
          <w:sz w:val="32"/>
          <w:szCs w:val="32"/>
        </w:rPr>
        <w:t>人取得助理医师资格，</w:t>
      </w:r>
      <w:r>
        <w:rPr>
          <w:rFonts w:hint="eastAsia" w:ascii="仿宋_GB2312" w:eastAsia="仿宋_GB2312"/>
          <w:sz w:val="32"/>
          <w:szCs w:val="32"/>
          <w:lang w:val="en-US" w:eastAsia="zh-CN"/>
        </w:rPr>
        <w:t>23</w:t>
      </w:r>
      <w:r>
        <w:rPr>
          <w:rFonts w:hint="eastAsia" w:ascii="仿宋_GB2312" w:eastAsia="仿宋_GB2312"/>
          <w:sz w:val="32"/>
          <w:szCs w:val="32"/>
        </w:rPr>
        <w:t>人取得执业医师资格，</w:t>
      </w:r>
      <w:r>
        <w:rPr>
          <w:rFonts w:hint="eastAsia" w:ascii="仿宋_GB2312" w:eastAsia="仿宋_GB2312"/>
          <w:sz w:val="32"/>
          <w:szCs w:val="32"/>
          <w:lang w:eastAsia="zh-CN"/>
        </w:rPr>
        <w:t>其中</w:t>
      </w:r>
      <w:r>
        <w:rPr>
          <w:rFonts w:hint="eastAsia" w:ascii="仿宋_GB2312" w:eastAsia="仿宋_GB2312"/>
          <w:sz w:val="32"/>
          <w:szCs w:val="32"/>
          <w:lang w:val="en-US" w:eastAsia="zh-CN"/>
        </w:rPr>
        <w:t>3</w:t>
      </w:r>
      <w:r>
        <w:rPr>
          <w:rFonts w:hint="eastAsia" w:ascii="仿宋_GB2312" w:eastAsia="仿宋_GB2312"/>
          <w:sz w:val="32"/>
          <w:szCs w:val="32"/>
        </w:rPr>
        <w:t>人取得主治医师资格），排名甘肃省第一。进一步明确细化乡村医生职责，加大对村医工作的督导力度，并在所有卫生室设置了统一的去向告知牌，随时接受群众监督。制定下发《兰州新区基层医疗卫生服务能力提升培训工作实施计划》、《基层医疗卫生服务能力提升培训村医项目工作方案》等培训计划，围绕基本医疗、基本公共卫生、中医适宜技术、健康扶贫政策等重点内容和新聘村医等重点人员，多途径、多方式开展培训工作。采取有效手段，按照“六不算”（没有执业资格的不算，原单位不脱岗的不算，不开展诊疗服务的不算，不承担基本公共卫生服务的不算，不会办理医保结算手续的不算，不全天候服务的不算）要求，加强管理，规范服务，确保村医在岗履职，确保长期固定在岗服务。同时在村卫生室门口加挂“村医去向牌”，公示村医电话，确保群众享受连续、及时的服务，</w:t>
      </w:r>
      <w:r>
        <w:rPr>
          <w:rFonts w:hint="eastAsia" w:ascii="仿宋_GB2312" w:hAnsi="宋体" w:eastAsia="仿宋_GB2312"/>
          <w:color w:val="000000"/>
          <w:sz w:val="32"/>
          <w:szCs w:val="32"/>
        </w:rPr>
        <w:t>随时接受群众监督</w:t>
      </w:r>
      <w:r>
        <w:rPr>
          <w:rFonts w:hint="eastAsia" w:ascii="仿宋_GB2312" w:eastAsia="仿宋_GB2312"/>
          <w:sz w:val="32"/>
          <w:szCs w:val="32"/>
        </w:rPr>
        <w:t>。</w:t>
      </w:r>
    </w:p>
    <w:p w14:paraId="79732C1C">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（二）预算执行情况。</w:t>
      </w:r>
    </w:p>
    <w:p w14:paraId="24C0691D">
      <w:pPr>
        <w:spacing w:line="50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2023年</w:t>
      </w:r>
      <w:r>
        <w:rPr>
          <w:rFonts w:hint="eastAsia" w:ascii="仿宋_GB2312" w:eastAsia="仿宋_GB2312"/>
          <w:sz w:val="32"/>
          <w:szCs w:val="32"/>
          <w:lang w:eastAsia="zh-CN"/>
        </w:rPr>
        <w:t>年初预算</w:t>
      </w:r>
      <w:r>
        <w:rPr>
          <w:rFonts w:hint="eastAsia" w:ascii="仿宋_GB2312" w:eastAsia="仿宋_GB2312"/>
          <w:sz w:val="32"/>
          <w:szCs w:val="32"/>
        </w:rPr>
        <w:t>村医养老保险补助及离岗村医养老补助资金140万元，根据上半年在岗及离岗村医人数，下拨各基层医疗卫生机构村医养老保险补助86.3661万元，离岗村医养老补助30.4128万元，共计116.7789万元。基层医疗卫生机构的运转经费得到了保障，乡村医生的补助也及时足额下发。</w:t>
      </w:r>
      <w:r>
        <w:rPr>
          <w:rFonts w:hint="eastAsia" w:ascii="仿宋_GB2312" w:eastAsia="仿宋_GB2312"/>
          <w:sz w:val="32"/>
          <w:szCs w:val="32"/>
          <w:lang w:eastAsia="zh-CN"/>
        </w:rPr>
        <w:t>年中预算调整</w:t>
      </w:r>
      <w:r>
        <w:rPr>
          <w:rFonts w:hint="eastAsia" w:ascii="仿宋_GB2312" w:eastAsia="仿宋_GB2312"/>
          <w:sz w:val="32"/>
          <w:szCs w:val="32"/>
          <w:lang w:val="en-US" w:eastAsia="zh-CN"/>
        </w:rPr>
        <w:t>23万至其他项目使用。</w:t>
      </w:r>
    </w:p>
    <w:p w14:paraId="4803C37B">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2F85A7A6">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1EB973EA">
      <w:pPr>
        <w:spacing w:line="600" w:lineRule="exact"/>
        <w:ind w:firstLine="640" w:firstLineChars="200"/>
        <w:jc w:val="left"/>
        <w:rPr>
          <w:rFonts w:hint="eastAsia" w:ascii="仿宋" w:hAnsi="仿宋" w:eastAsia="仿宋" w:cs="仿宋"/>
          <w:color w:val="191919"/>
          <w:sz w:val="32"/>
          <w:szCs w:val="32"/>
        </w:rPr>
      </w:pP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底</w:t>
      </w:r>
      <w:r>
        <w:rPr>
          <w:rFonts w:hint="eastAsia" w:ascii="仿宋_GB2312" w:hAnsi="仿宋_GB2312" w:eastAsia="仿宋_GB2312" w:cs="仿宋_GB2312"/>
          <w:sz w:val="32"/>
          <w:szCs w:val="32"/>
        </w:rPr>
        <w:t>新区共有在岗村医</w:t>
      </w:r>
      <w:r>
        <w:rPr>
          <w:rFonts w:hint="eastAsia" w:ascii="仿宋_GB2312" w:hAnsi="仿宋_GB2312" w:eastAsia="仿宋_GB2312" w:cs="仿宋_GB2312"/>
          <w:sz w:val="32"/>
          <w:szCs w:val="32"/>
          <w:lang w:val="en-US" w:eastAsia="zh-CN"/>
        </w:rPr>
        <w:t>137</w:t>
      </w:r>
      <w:r>
        <w:rPr>
          <w:rFonts w:hint="eastAsia" w:ascii="仿宋_GB2312" w:hAnsi="仿宋_GB2312" w:eastAsia="仿宋_GB2312" w:cs="仿宋_GB2312"/>
          <w:sz w:val="32"/>
          <w:szCs w:val="32"/>
        </w:rPr>
        <w:t>人，离岗村医</w:t>
      </w:r>
      <w:r>
        <w:rPr>
          <w:rFonts w:hint="eastAsia" w:ascii="仿宋_GB2312" w:hAnsi="仿宋_GB2312" w:eastAsia="仿宋_GB2312" w:cs="仿宋_GB2312"/>
          <w:sz w:val="32"/>
          <w:szCs w:val="32"/>
          <w:lang w:val="en-US" w:eastAsia="zh-CN"/>
        </w:rPr>
        <w:t>147</w:t>
      </w:r>
      <w:r>
        <w:rPr>
          <w:rFonts w:hint="eastAsia" w:ascii="仿宋_GB2312" w:hAnsi="仿宋_GB2312" w:eastAsia="仿宋_GB2312" w:cs="仿宋_GB2312"/>
          <w:sz w:val="32"/>
          <w:szCs w:val="32"/>
        </w:rPr>
        <w:t>人，在岗村医按照每位村医</w:t>
      </w:r>
      <w:r>
        <w:rPr>
          <w:rFonts w:hint="eastAsia" w:ascii="仿宋_GB2312" w:eastAsia="仿宋_GB2312"/>
          <w:sz w:val="32"/>
          <w:szCs w:val="32"/>
          <w:lang w:val="en-US" w:eastAsia="zh-CN"/>
        </w:rPr>
        <w:t>614.4</w:t>
      </w:r>
      <w:r>
        <w:rPr>
          <w:rFonts w:hint="eastAsia" w:ascii="仿宋_GB2312" w:eastAsia="仿宋_GB2312"/>
          <w:sz w:val="32"/>
          <w:szCs w:val="32"/>
        </w:rPr>
        <w:t>元每人每月标准</w:t>
      </w:r>
      <w:r>
        <w:rPr>
          <w:rFonts w:hint="eastAsia" w:ascii="仿宋_GB2312" w:hAnsi="仿宋_GB2312" w:eastAsia="仿宋_GB2312" w:cs="仿宋_GB2312"/>
          <w:sz w:val="32"/>
          <w:szCs w:val="32"/>
        </w:rPr>
        <w:t>，</w:t>
      </w:r>
      <w:r>
        <w:rPr>
          <w:rFonts w:hint="eastAsia" w:ascii="仿宋_GB2312" w:hAnsi="华文仿宋" w:eastAsia="仿宋_GB2312" w:cs="华文仿宋"/>
          <w:sz w:val="32"/>
          <w:szCs w:val="32"/>
        </w:rPr>
        <w:t>离岗村医按照在村卫生工作满一年每月补助8元标准，</w:t>
      </w:r>
      <w:r>
        <w:rPr>
          <w:rFonts w:hint="eastAsia" w:ascii="仿宋_GB2312" w:hAnsi="仿宋_GB2312" w:eastAsia="仿宋_GB2312" w:cs="仿宋_GB2312"/>
          <w:sz w:val="32"/>
          <w:szCs w:val="32"/>
          <w:lang w:eastAsia="zh-CN"/>
        </w:rPr>
        <w:t>均</w:t>
      </w:r>
      <w:r>
        <w:rPr>
          <w:rFonts w:hint="eastAsia" w:ascii="仿宋_GB2312" w:hAnsi="仿宋_GB2312" w:eastAsia="仿宋_GB2312" w:cs="仿宋_GB2312"/>
          <w:sz w:val="32"/>
          <w:szCs w:val="32"/>
        </w:rPr>
        <w:t>已全额下拨到各基层医疗卫生机构。</w:t>
      </w:r>
    </w:p>
    <w:p w14:paraId="67CE28EB">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6E7AFA1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行乡村医生养老补助制度，是进一步贯彻落实乡村医疗服务一体化管理工作，以“做活乡级、以乡带村，做实村级、以村促乡，乡村一体、整体发展”为目标，通过合理配置和整合医疗卫生资源，逐步达到“机构建制、业务管理、财务管理、药械管理、人员聘用、绩效考核、标识设置”统一，规范村卫生室基本医疗服务行为，提高乡村医生的技术水平和整体素质，增强村卫生室服务功能，提高村医收入，稳定村医队伍，努力满足广大人民群众基本医疗服务需要，确保广大农民享受安全、有效、方便、价廉的公共卫生和基本医疗服务。</w:t>
      </w:r>
    </w:p>
    <w:p w14:paraId="14D5CFD3">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7E8682A8">
      <w:pPr>
        <w:ind w:firstLine="643"/>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通过严谨的选聘程序、细致的业务指导、定期的绩效考核以及足额、及时下拨村医养老补助，解决了村医的后顾之忧，稳定了村医队伍，有效提升了村医的满意度。</w:t>
      </w:r>
    </w:p>
    <w:p w14:paraId="4F77668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58F69BD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1F1BADA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7658E95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1CB02B2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11BCAD8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2DE079F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013911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sz w:val="32"/>
          <w:szCs w:val="32"/>
          <w:lang w:val="en-US" w:eastAsia="zh-CN"/>
        </w:rPr>
        <w:t>无。</w:t>
      </w:r>
    </w:p>
    <w:p w14:paraId="1450E3B0">
      <w:pPr>
        <w:ind w:firstLine="643"/>
        <w:outlineLvl w:val="2"/>
        <w:rPr>
          <w:rFonts w:ascii="楷体" w:hAnsi="楷体" w:eastAsia="楷体" w:cs="楷体"/>
          <w:b/>
          <w:bCs/>
          <w:szCs w:val="32"/>
        </w:rPr>
      </w:pPr>
      <w:r>
        <w:rPr>
          <w:rFonts w:hint="eastAsia" w:ascii="楷体" w:hAnsi="楷体" w:eastAsia="楷体" w:cs="楷体"/>
          <w:b/>
          <w:bCs/>
          <w:szCs w:val="32"/>
        </w:rPr>
        <w:t>（十）</w:t>
      </w:r>
      <w:r>
        <w:rPr>
          <w:rFonts w:hint="eastAsia" w:ascii="楷体" w:hAnsi="楷体" w:eastAsia="楷体" w:cs="楷体"/>
          <w:b/>
          <w:bCs/>
          <w:szCs w:val="32"/>
          <w:lang w:eastAsia="zh-CN"/>
        </w:rPr>
        <w:t>妇幼安全保障</w:t>
      </w:r>
      <w:r>
        <w:rPr>
          <w:rFonts w:hint="eastAsia" w:ascii="楷体" w:hAnsi="楷体" w:eastAsia="楷体" w:cs="楷体"/>
          <w:b/>
          <w:bCs/>
          <w:szCs w:val="32"/>
        </w:rPr>
        <w:t>经费</w:t>
      </w:r>
    </w:p>
    <w:p w14:paraId="6C606507">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1E300417">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333FDC55">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母婴安全是妇女儿童健康的前提和基础。孕产妇死亡率和婴儿死亡率是国际上公认的基础健康指标，也是衡量经济社会发展和人类发展的重要综合性指标。《“健康中国2030”规划纲要》将孕产妇死亡率、婴儿死亡率作为主要健康指标，指出提升妇女儿童健康保障水平，保障母婴安全，促进经济社会和谐发展。</w:t>
      </w:r>
    </w:p>
    <w:p w14:paraId="514B47CB">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1C866C2B">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长期实施，</w:t>
      </w:r>
      <w:r>
        <w:rPr>
          <w:rFonts w:hint="eastAsia" w:ascii="仿宋_GB2312" w:eastAsia="仿宋_GB2312"/>
          <w:sz w:val="32"/>
          <w:szCs w:val="32"/>
          <w:lang w:eastAsia="zh-CN"/>
        </w:rPr>
        <w:t>由新区妇幼保健院指导</w:t>
      </w:r>
      <w:r>
        <w:rPr>
          <w:rFonts w:hint="eastAsia" w:ascii="仿宋_GB2312" w:eastAsia="仿宋_GB2312"/>
          <w:sz w:val="32"/>
          <w:szCs w:val="32"/>
        </w:rPr>
        <w:t>各基层医疗机构持续做好母子健康手册发放，孕产妇及儿童建档、保健管理工作，开展托幼机构卫生保健证换证工作及个人个人保健证培训考试工作</w:t>
      </w:r>
      <w:r>
        <w:rPr>
          <w:rFonts w:hint="eastAsia" w:ascii="仿宋_GB2312" w:eastAsia="仿宋_GB2312"/>
          <w:sz w:val="32"/>
          <w:szCs w:val="32"/>
          <w:lang w:eastAsia="zh-CN"/>
        </w:rPr>
        <w:t>以及</w:t>
      </w:r>
      <w:r>
        <w:rPr>
          <w:rFonts w:hint="eastAsia" w:ascii="仿宋_GB2312" w:eastAsia="仿宋_GB2312"/>
          <w:sz w:val="32"/>
          <w:szCs w:val="32"/>
        </w:rPr>
        <w:t>母婴安全项目培训会。</w:t>
      </w:r>
    </w:p>
    <w:p w14:paraId="72FBA5A0">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00D35626">
      <w:pPr>
        <w:spacing w:line="560" w:lineRule="exact"/>
        <w:ind w:firstLine="643" w:firstLineChars="200"/>
        <w:rPr>
          <w:rFonts w:ascii="仿宋_GB2312" w:hAnsi="Verdana" w:cs="宋体"/>
          <w:color w:val="000000"/>
          <w:kern w:val="0"/>
          <w:sz w:val="32"/>
          <w:szCs w:val="32"/>
          <w:lang w:bidi="ar"/>
        </w:rPr>
      </w:pPr>
      <w:r>
        <w:rPr>
          <w:rFonts w:hint="eastAsia" w:ascii="仿宋_GB2312" w:eastAsia="仿宋_GB2312"/>
          <w:b/>
          <w:bCs/>
          <w:sz w:val="32"/>
          <w:szCs w:val="32"/>
        </w:rPr>
        <w:t>总体目标：</w:t>
      </w:r>
      <w:r>
        <w:rPr>
          <w:rFonts w:hint="eastAsia" w:ascii="仿宋_GB2312" w:eastAsia="仿宋_GB2312"/>
          <w:sz w:val="32"/>
          <w:szCs w:val="32"/>
        </w:rPr>
        <w:t>增强新区妇女儿童保健意识，提升妇女儿童健康保障水平，保障母婴安全，降低孕产妇和新生儿死亡率，促进经济社会和谐发展。</w:t>
      </w:r>
    </w:p>
    <w:p w14:paraId="456521EC">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rPr>
        <w:t>阶段性目标：</w:t>
      </w:r>
      <w:r>
        <w:rPr>
          <w:rFonts w:hint="eastAsia" w:ascii="仿宋_GB2312" w:eastAsia="仿宋_GB2312"/>
          <w:sz w:val="32"/>
          <w:szCs w:val="32"/>
        </w:rPr>
        <w:t>降低新区孕产妇、婴儿及儿童死亡率，加强母婴安全保健工作，提升新区基层工作人员的业务水平。</w:t>
      </w:r>
    </w:p>
    <w:p w14:paraId="2F39D27B">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2150600F">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eastAsia="仿宋_GB2312"/>
          <w:sz w:val="32"/>
          <w:szCs w:val="32"/>
          <w:lang w:val="en-US" w:eastAsia="zh-CN"/>
        </w:rPr>
        <w:t>10</w:t>
      </w:r>
      <w:r>
        <w:rPr>
          <w:rFonts w:hint="eastAsia" w:ascii="仿宋_GB2312" w:eastAsia="仿宋_GB2312"/>
          <w:sz w:val="32"/>
          <w:szCs w:val="32"/>
        </w:rPr>
        <w:t>万元，全部为新区配套资金。</w:t>
      </w:r>
    </w:p>
    <w:p w14:paraId="78E32FE9">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7A97B2B1">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66CA9F5B">
      <w:pPr>
        <w:spacing w:line="500" w:lineRule="exact"/>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color w:val="auto"/>
          <w:sz w:val="32"/>
          <w:szCs w:val="32"/>
          <w:lang w:eastAsia="zh-CN"/>
        </w:rPr>
        <w:t>巩固强化母婴安全制度落实成效。切实维护妇女儿童健康权益，</w:t>
      </w:r>
      <w:r>
        <w:rPr>
          <w:rFonts w:hint="eastAsia" w:ascii="仿宋_GB2312" w:hAnsi="仿宋_GB2312" w:eastAsia="仿宋_GB2312" w:cs="仿宋_GB2312"/>
          <w:bCs/>
          <w:color w:val="auto"/>
          <w:kern w:val="0"/>
          <w:sz w:val="32"/>
          <w:szCs w:val="32"/>
          <w:lang w:eastAsia="zh-CN"/>
        </w:rPr>
        <w:t>制定《兰州新区母婴安全行动提升计划实施方案》，</w:t>
      </w:r>
      <w:r>
        <w:rPr>
          <w:rFonts w:hint="eastAsia" w:ascii="仿宋_GB2312" w:hAnsi="仿宋_GB2312" w:eastAsia="仿宋_GB2312" w:cs="仿宋_GB2312"/>
          <w:sz w:val="32"/>
          <w:szCs w:val="32"/>
          <w:lang w:val="en-US" w:eastAsia="zh-CN"/>
        </w:rPr>
        <w:t>以预防和减少孕产妇和婴儿死亡为核心，以落实母婴安全保障制度为重点，进一步完善危重孕产妇和新生儿救治体系，提高各级医疗机构妇幼健康服务能力，提升妇幼健康服务水平</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sz w:val="32"/>
          <w:szCs w:val="32"/>
        </w:rPr>
        <w:t>制定下发《兰州新区202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年增补叶酸预防神经管缺陷项目工作方案》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年国家免费孕前优生健康检查项目工作方案》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进一步做</w:t>
      </w:r>
      <w:r>
        <w:rPr>
          <w:rFonts w:hint="eastAsia" w:ascii="仿宋_GB2312" w:hAnsi="仿宋_GB2312" w:eastAsia="仿宋_GB2312" w:cs="仿宋_GB2312"/>
          <w:sz w:val="32"/>
          <w:szCs w:val="32"/>
          <w:lang w:eastAsia="zh-CN"/>
        </w:rPr>
        <w:t>好重大妇幼</w:t>
      </w:r>
      <w:r>
        <w:rPr>
          <w:rFonts w:hint="eastAsia" w:ascii="仿宋_GB2312" w:hAnsi="仿宋_GB2312" w:eastAsia="仿宋_GB2312" w:cs="仿宋_GB2312"/>
          <w:sz w:val="32"/>
          <w:szCs w:val="32"/>
        </w:rPr>
        <w:t>项目，降低</w:t>
      </w:r>
      <w:r>
        <w:rPr>
          <w:rFonts w:hint="eastAsia" w:ascii="仿宋_GB2312" w:hAnsi="仿宋_GB2312" w:eastAsia="仿宋_GB2312" w:cs="仿宋_GB2312"/>
          <w:sz w:val="32"/>
          <w:szCs w:val="32"/>
          <w:lang w:eastAsia="zh-CN"/>
        </w:rPr>
        <w:t>出生</w:t>
      </w:r>
      <w:r>
        <w:rPr>
          <w:rFonts w:hint="eastAsia" w:ascii="仿宋_GB2312" w:hAnsi="仿宋_GB2312" w:eastAsia="仿宋_GB2312" w:cs="仿宋_GB2312"/>
          <w:sz w:val="32"/>
          <w:szCs w:val="32"/>
        </w:rPr>
        <w:t>缺陷发生风险，提高出生人口素质，切实提高妇女儿童健康水平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val="en-US" w:eastAsia="zh-CN"/>
        </w:rPr>
        <w:t>加强督导培训。每季度举办妇幼健康工作例会暨妇幼健康工作培训会，对妇幼健康工作进行总结，就母婴安全保障工作、0-6岁儿童眼保健工作、妇幼健康信息管理及妇幼重大项目工作进行培训，安排下一步重点工作。</w:t>
      </w:r>
      <w:r>
        <w:rPr>
          <w:rFonts w:hint="eastAsia" w:ascii="仿宋_GB2312" w:hAnsi="仿宋_GB2312" w:eastAsia="仿宋_GB2312" w:cs="仿宋_GB2312"/>
          <w:color w:val="auto"/>
          <w:sz w:val="32"/>
          <w:szCs w:val="32"/>
        </w:rPr>
        <w:t>全面加强妇幼保健服务能力建设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促进妇幼健康服务工作有序开展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对新区7家基层医疗机构及2家助产机构的妇幼保健工作进行现场督导和培训，逐一下发督导意见，规范妇幼健康服务项目管理，提高孕产妇和儿童健康管理服务水平。</w:t>
      </w:r>
      <w:r>
        <w:rPr>
          <w:rFonts w:hint="eastAsia" w:ascii="仿宋_GB2312" w:hAnsi="仿宋_GB2312" w:eastAsia="仿宋_GB2312" w:cs="仿宋_GB2312"/>
          <w:b w:val="0"/>
          <w:bCs w:val="0"/>
          <w:color w:val="auto"/>
          <w:kern w:val="2"/>
          <w:sz w:val="32"/>
          <w:szCs w:val="32"/>
          <w:lang w:val="en-US" w:eastAsia="zh-CN" w:bidi="ar-SA"/>
        </w:rPr>
        <w:t>邀请国家名中医郭晓颖主任团队在西岔中心卫生院开展儿童健康服务能力提升培训，共预约服务20余名6月至6岁之间儿童，参与培训医务人员50余名，示教过程作为系统内培训教材推广应用。邀请甘肃省妇产科首席专家、省妇幼妇产科何晓春主任、兰州大学第二医院妇产科吕银凤主任、省人民医院产科孙晓彤主任、儿科赛依帕主任组成专家评审组，对新生儿死亡及孕产妇危重症病例进行了评审。8月31日-9月1日邀请省妇幼保健院儿保科郭金仙主任、产科刘小晖主任、保健部黄奎奎和赵亚学主任，采取现场查看资料、个案追踪、访谈等形式，对孕产妇和儿童保健管理关键环节、高危人群管理工作、妇幼重大项目管理及实施、项目信息管理等进行现场检查和督导。9月8日-9日，兰州新区举办2023年兰州新区新生儿复苏项目培训暨县级师资认证班，此次培训班邀请了省内顶尖专家学者。兰大一院儿科主任李宇宁、兰大二院儿童医院副院长徐丁、甘肃省新生儿重症监护质控中心主任石静云、省人民医院新生儿科主任赛依帕、市妇幼保健院新生儿科主任周立、兰大一院新生儿科主任杨学梅、兰大二院新生儿科主任王凡分别进行授课。培训后开展了现场实操考核，市妇幼保健院新生儿科主任周立与省妇幼保健院新生儿科主任石静云对学员操作进行考核打分并做现场点评。</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snapToGrid/>
          <w:w w:val="100"/>
          <w:kern w:val="2"/>
          <w:sz w:val="32"/>
          <w:szCs w:val="32"/>
          <w:lang w:val="en" w:eastAsia="zh-CN"/>
        </w:rPr>
        <w:t>全力以赴实施好“两癌”免费检查”为民办实事工作。加强与妇联、财政、党群等部门的沟通协调，多措并行，精准施策，压实责任，统筹推进。</w:t>
      </w:r>
      <w:r>
        <w:rPr>
          <w:rFonts w:hint="eastAsia" w:ascii="仿宋_GB2312" w:hAnsi="仿宋_GB2312" w:eastAsia="仿宋_GB2312" w:cs="仿宋_GB2312"/>
          <w:snapToGrid/>
          <w:w w:val="100"/>
          <w:kern w:val="2"/>
          <w:sz w:val="32"/>
          <w:szCs w:val="32"/>
          <w:lang w:val="en"/>
        </w:rPr>
        <w:t>联合新区</w:t>
      </w:r>
      <w:r>
        <w:rPr>
          <w:rFonts w:hint="eastAsia" w:ascii="仿宋_GB2312" w:hAnsi="仿宋_GB2312" w:eastAsia="仿宋_GB2312" w:cs="仿宋_GB2312"/>
          <w:snapToGrid/>
          <w:w w:val="100"/>
          <w:kern w:val="2"/>
          <w:sz w:val="32"/>
          <w:szCs w:val="32"/>
          <w:lang w:val="en" w:eastAsia="zh-CN"/>
        </w:rPr>
        <w:t>妇联</w:t>
      </w:r>
      <w:r>
        <w:rPr>
          <w:rFonts w:hint="eastAsia" w:ascii="仿宋_GB2312" w:hAnsi="仿宋_GB2312" w:eastAsia="仿宋_GB2312" w:cs="仿宋_GB2312"/>
          <w:snapToGrid/>
          <w:w w:val="100"/>
          <w:kern w:val="2"/>
          <w:sz w:val="32"/>
          <w:szCs w:val="32"/>
          <w:lang w:val="en"/>
        </w:rPr>
        <w:t>、财政、</w:t>
      </w:r>
      <w:r>
        <w:rPr>
          <w:rFonts w:hint="eastAsia" w:ascii="仿宋_GB2312" w:hAnsi="仿宋_GB2312" w:eastAsia="仿宋_GB2312" w:cs="仿宋_GB2312"/>
          <w:snapToGrid/>
          <w:w w:val="100"/>
          <w:kern w:val="2"/>
          <w:sz w:val="32"/>
          <w:szCs w:val="32"/>
          <w:lang w:val="en" w:eastAsia="zh-CN"/>
        </w:rPr>
        <w:t>党群等部门联合制定了</w:t>
      </w:r>
      <w:r>
        <w:rPr>
          <w:rFonts w:hint="eastAsia" w:ascii="仿宋_GB2312" w:hAnsi="仿宋_GB2312" w:eastAsia="仿宋_GB2312" w:cs="仿宋_GB2312"/>
          <w:snapToGrid/>
          <w:w w:val="100"/>
          <w:kern w:val="2"/>
          <w:sz w:val="32"/>
          <w:szCs w:val="32"/>
          <w:lang w:val="en"/>
        </w:rPr>
        <w:t>《兰州新区202</w:t>
      </w:r>
      <w:r>
        <w:rPr>
          <w:rFonts w:hint="eastAsia" w:ascii="仿宋_GB2312" w:hAnsi="仿宋_GB2312" w:eastAsia="仿宋_GB2312" w:cs="仿宋_GB2312"/>
          <w:snapToGrid/>
          <w:w w:val="100"/>
          <w:kern w:val="2"/>
          <w:sz w:val="32"/>
          <w:szCs w:val="32"/>
          <w:lang w:val="en-US" w:eastAsia="zh-CN"/>
        </w:rPr>
        <w:t>3</w:t>
      </w:r>
      <w:r>
        <w:rPr>
          <w:rFonts w:hint="eastAsia" w:ascii="仿宋_GB2312" w:hAnsi="仿宋_GB2312" w:eastAsia="仿宋_GB2312" w:cs="仿宋_GB2312"/>
          <w:snapToGrid/>
          <w:w w:val="100"/>
          <w:kern w:val="2"/>
          <w:sz w:val="32"/>
          <w:szCs w:val="32"/>
          <w:lang w:val="en"/>
        </w:rPr>
        <w:t>年</w:t>
      </w:r>
      <w:r>
        <w:rPr>
          <w:rFonts w:hint="eastAsia" w:ascii="仿宋_GB2312" w:hAnsi="仿宋_GB2312" w:eastAsia="仿宋_GB2312" w:cs="仿宋_GB2312"/>
          <w:snapToGrid/>
          <w:w w:val="100"/>
          <w:kern w:val="2"/>
          <w:sz w:val="32"/>
          <w:szCs w:val="32"/>
          <w:lang w:val="en" w:eastAsia="zh-CN"/>
        </w:rPr>
        <w:t>城乡</w:t>
      </w:r>
      <w:r>
        <w:rPr>
          <w:rFonts w:hint="eastAsia" w:ascii="仿宋_GB2312" w:hAnsi="仿宋_GB2312" w:eastAsia="仿宋_GB2312" w:cs="仿宋_GB2312"/>
          <w:snapToGrid/>
          <w:w w:val="100"/>
          <w:kern w:val="2"/>
          <w:sz w:val="32"/>
          <w:szCs w:val="32"/>
          <w:lang w:val="en"/>
        </w:rPr>
        <w:t>妇女“两癌”免费检查工作实施</w:t>
      </w:r>
      <w:r>
        <w:rPr>
          <w:rFonts w:hint="eastAsia" w:ascii="仿宋_GB2312" w:hAnsi="仿宋_GB2312" w:eastAsia="仿宋_GB2312" w:cs="仿宋_GB2312"/>
          <w:snapToGrid/>
          <w:w w:val="100"/>
          <w:kern w:val="2"/>
          <w:sz w:val="32"/>
          <w:szCs w:val="32"/>
          <w:lang w:val="en" w:eastAsia="zh-CN"/>
        </w:rPr>
        <w:t>方案</w:t>
      </w:r>
      <w:r>
        <w:rPr>
          <w:rFonts w:hint="eastAsia" w:ascii="仿宋_GB2312" w:hAnsi="仿宋_GB2312" w:eastAsia="仿宋_GB2312" w:cs="仿宋_GB2312"/>
          <w:snapToGrid/>
          <w:w w:val="100"/>
          <w:kern w:val="2"/>
          <w:sz w:val="32"/>
          <w:szCs w:val="32"/>
          <w:lang w:val="en"/>
        </w:rPr>
        <w:t>》</w:t>
      </w:r>
      <w:r>
        <w:rPr>
          <w:rFonts w:hint="eastAsia" w:ascii="仿宋_GB2312" w:hAnsi="仿宋_GB2312" w:eastAsia="仿宋_GB2312" w:cs="仿宋_GB2312"/>
          <w:snapToGrid/>
          <w:w w:val="100"/>
          <w:kern w:val="2"/>
          <w:sz w:val="32"/>
          <w:szCs w:val="32"/>
          <w:lang w:val="en" w:eastAsia="zh-CN"/>
        </w:rPr>
        <w:t>。在省妇联规定检查项目基础上，</w:t>
      </w:r>
      <w:r>
        <w:rPr>
          <w:rFonts w:hint="eastAsia" w:ascii="仿宋_GB2312" w:hAnsi="仿宋_GB2312" w:eastAsia="仿宋_GB2312" w:cs="仿宋_GB2312"/>
          <w:snapToGrid/>
          <w:w w:val="100"/>
          <w:kern w:val="2"/>
          <w:sz w:val="32"/>
          <w:szCs w:val="32"/>
          <w:lang w:val="en"/>
        </w:rPr>
        <w:t>免费增加妇科超声检查项目，对妇女常见病、卵巢癌、子宫肌瘤、子宫内膜癌等疾病进行了有效筛查，</w:t>
      </w:r>
      <w:r>
        <w:rPr>
          <w:rFonts w:hint="eastAsia" w:ascii="仿宋_GB2312" w:hAnsi="仿宋_GB2312" w:eastAsia="仿宋_GB2312" w:cs="仿宋_GB2312"/>
          <w:snapToGrid/>
          <w:w w:val="100"/>
          <w:kern w:val="2"/>
          <w:sz w:val="32"/>
          <w:szCs w:val="32"/>
          <w:lang w:val="en" w:eastAsia="zh-CN"/>
        </w:rPr>
        <w:t>新区财政在落实新区配套资金的基础上，检查资金由新区财政按照50元/人的标准全额配套。</w:t>
      </w:r>
      <w:r>
        <w:rPr>
          <w:rFonts w:hint="eastAsia" w:ascii="仿宋_GB2312" w:hAnsi="仿宋_GB2312" w:eastAsia="仿宋_GB2312" w:cs="仿宋_GB2312"/>
          <w:snapToGrid/>
          <w:w w:val="100"/>
          <w:kern w:val="2"/>
          <w:sz w:val="32"/>
          <w:szCs w:val="32"/>
          <w:lang w:val="en"/>
        </w:rPr>
        <w:t>完善随访登记制度，保证资料的完整性，确保“两癌”检查数据真实无误</w:t>
      </w:r>
      <w:r>
        <w:rPr>
          <w:rFonts w:hint="eastAsia" w:ascii="仿宋_GB2312" w:hAnsi="仿宋_GB2312" w:eastAsia="仿宋_GB2312" w:cs="仿宋_GB2312"/>
          <w:snapToGrid/>
          <w:w w:val="100"/>
          <w:kern w:val="2"/>
          <w:sz w:val="32"/>
          <w:szCs w:val="32"/>
          <w:lang w:val="en" w:eastAsia="zh-CN"/>
        </w:rPr>
        <w:t>。</w:t>
      </w:r>
      <w:r>
        <w:rPr>
          <w:rFonts w:hint="eastAsia" w:ascii="仿宋_GB2312" w:hAnsi="仿宋_GB2312" w:eastAsia="仿宋_GB2312" w:cs="仿宋_GB2312"/>
          <w:snapToGrid/>
          <w:w w:val="100"/>
          <w:kern w:val="2"/>
          <w:sz w:val="32"/>
          <w:szCs w:val="32"/>
          <w:lang w:val="en" w:eastAsia="zh-CN" w:bidi="ar-SA"/>
        </w:rPr>
        <w:t>区</w:t>
      </w:r>
      <w:r>
        <w:rPr>
          <w:rFonts w:hint="eastAsia" w:ascii="仿宋_GB2312" w:hAnsi="仿宋_GB2312" w:eastAsia="仿宋_GB2312" w:cs="仿宋_GB2312"/>
          <w:snapToGrid/>
          <w:w w:val="100"/>
          <w:kern w:val="2"/>
          <w:sz w:val="32"/>
          <w:szCs w:val="32"/>
          <w:lang w:val="en-US" w:eastAsia="zh-CN" w:bidi="ar-SA"/>
        </w:rPr>
        <w:t>2018年以来</w:t>
      </w:r>
      <w:r>
        <w:rPr>
          <w:rFonts w:hint="eastAsia" w:ascii="仿宋_GB2312" w:hAnsi="仿宋_GB2312" w:eastAsia="仿宋_GB2312" w:cs="仿宋_GB2312"/>
          <w:snapToGrid/>
          <w:w w:val="100"/>
          <w:kern w:val="2"/>
          <w:sz w:val="32"/>
          <w:szCs w:val="32"/>
          <w:lang w:val="en" w:eastAsia="zh-CN" w:bidi="ar-SA"/>
        </w:rPr>
        <w:t>累计完成两癌筛查23441人（根据新区档案系统推算新区现有33-64岁妇女符合两癌筛查条件22486人），其中2018-2020年完成筛查18011人，2021年完成筛查1142人，2022年完成筛查1749人，</w:t>
      </w:r>
      <w:r>
        <w:rPr>
          <w:rFonts w:hint="eastAsia" w:ascii="仿宋_GB2312" w:hAnsi="仿宋_GB2312" w:eastAsia="仿宋_GB2312" w:cs="仿宋_GB2312"/>
          <w:snapToGrid/>
          <w:w w:val="100"/>
          <w:kern w:val="2"/>
          <w:sz w:val="32"/>
          <w:szCs w:val="32"/>
          <w:lang w:val="en-US" w:eastAsia="zh-CN" w:bidi="ar-SA"/>
        </w:rPr>
        <w:t>2023年完成筛查</w:t>
      </w:r>
      <w:r>
        <w:rPr>
          <w:rFonts w:hint="eastAsia" w:ascii="仿宋_GB2312" w:hAnsi="仿宋_GB2312" w:eastAsia="仿宋_GB2312" w:cs="仿宋_GB2312"/>
          <w:kern w:val="2"/>
          <w:sz w:val="32"/>
          <w:szCs w:val="32"/>
          <w:lang w:val="en-US" w:eastAsia="zh-CN" w:bidi="ar-SA"/>
        </w:rPr>
        <w:t>2539人</w:t>
      </w:r>
      <w:r>
        <w:rPr>
          <w:rFonts w:hint="eastAsia" w:ascii="仿宋_GB2312" w:hAnsi="仿宋_GB2312" w:eastAsia="仿宋_GB2312" w:cs="仿宋_GB2312"/>
          <w:snapToGrid/>
          <w:w w:val="100"/>
          <w:kern w:val="2"/>
          <w:sz w:val="32"/>
          <w:szCs w:val="32"/>
          <w:lang w:val="en" w:eastAsia="zh-CN" w:bidi="ar-SA"/>
        </w:rPr>
        <w:t>，每年均超额完成任务。</w:t>
      </w:r>
      <w:r>
        <w:rPr>
          <w:rFonts w:hint="eastAsia" w:ascii="仿宋_GB2312" w:hAnsi="仿宋_GB2312" w:eastAsia="仿宋_GB2312" w:cs="仿宋_GB2312"/>
          <w:kern w:val="2"/>
          <w:sz w:val="32"/>
          <w:szCs w:val="32"/>
          <w:lang w:val="en-US" w:eastAsia="zh-CN" w:bidi="ar-SA"/>
        </w:rPr>
        <w:t>截止2023年11月30日，今年共发现癌前病变5例，确诊宫颈癌5例。</w:t>
      </w:r>
      <w:r>
        <w:rPr>
          <w:rFonts w:hint="eastAsia" w:ascii="仿宋_GB2312" w:hAnsi="仿宋_GB2312" w:eastAsia="仿宋_GB2312" w:cs="仿宋_GB2312"/>
          <w:snapToGrid/>
          <w:w w:val="100"/>
          <w:kern w:val="2"/>
          <w:sz w:val="32"/>
          <w:szCs w:val="32"/>
          <w:lang w:val="en" w:eastAsia="zh-CN" w:bidi="ar-SA"/>
        </w:rPr>
        <w:t>对“两癌”妇女进行了健康回访、用药指导，形成闭环管理。</w:t>
      </w:r>
      <w:r>
        <w:rPr>
          <w:rFonts w:hint="eastAsia" w:ascii="仿宋_GB2312" w:hAnsi="仿宋_GB2312" w:eastAsia="仿宋_GB2312" w:cs="仿宋_GB2312"/>
          <w:kern w:val="2"/>
          <w:sz w:val="32"/>
          <w:szCs w:val="32"/>
          <w:lang w:val="en-US" w:eastAsia="zh-CN" w:bidi="ar-SA"/>
        </w:rPr>
        <w:t>工作成效获2022年省政府督查组充分肯定，经验做法被甘肃电视台宣传报道。今年再次顺利完成省政府为民办实事督查组检查验收，并获督查组充分肯定和表扬。</w:t>
      </w:r>
    </w:p>
    <w:p w14:paraId="200D6C4F">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（二）预算执行情况。</w:t>
      </w:r>
    </w:p>
    <w:p w14:paraId="343C0BA9">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年新区共支出母婴安全保障经费</w:t>
      </w:r>
      <w:r>
        <w:rPr>
          <w:rFonts w:hint="eastAsia" w:ascii="仿宋_GB2312" w:eastAsia="仿宋_GB2312"/>
          <w:sz w:val="32"/>
          <w:szCs w:val="32"/>
          <w:lang w:val="en-US" w:eastAsia="zh-CN"/>
        </w:rPr>
        <w:t>10</w:t>
      </w:r>
      <w:r>
        <w:rPr>
          <w:rFonts w:hint="eastAsia" w:ascii="仿宋_GB2312" w:eastAsia="仿宋_GB2312"/>
          <w:sz w:val="32"/>
          <w:szCs w:val="32"/>
        </w:rPr>
        <w:t>万元，其中</w:t>
      </w:r>
      <w:r>
        <w:rPr>
          <w:rFonts w:hint="eastAsia" w:ascii="仿宋_GB2312" w:eastAsia="仿宋_GB2312"/>
          <w:sz w:val="32"/>
          <w:szCs w:val="32"/>
          <w:lang w:val="en-US" w:eastAsia="zh-CN"/>
        </w:rPr>
        <w:t>下拨2023年</w:t>
      </w:r>
      <w:r>
        <w:rPr>
          <w:rFonts w:hint="eastAsia" w:ascii="仿宋_GB2312" w:eastAsia="仿宋_GB2312"/>
          <w:sz w:val="32"/>
          <w:szCs w:val="32"/>
          <w:lang w:eastAsia="zh-CN"/>
        </w:rPr>
        <w:t>妇幼保健工作培训会、托幼机构及个人卫生保健培训考试及资料印制经费</w:t>
      </w:r>
      <w:r>
        <w:rPr>
          <w:rFonts w:hint="eastAsia" w:ascii="仿宋_GB2312" w:eastAsia="仿宋_GB2312"/>
          <w:sz w:val="32"/>
          <w:szCs w:val="32"/>
          <w:lang w:val="en-US" w:eastAsia="zh-CN"/>
        </w:rPr>
        <w:t>6</w:t>
      </w:r>
      <w:r>
        <w:rPr>
          <w:rFonts w:hint="eastAsia" w:ascii="仿宋_GB2312" w:eastAsia="仿宋_GB2312"/>
          <w:sz w:val="32"/>
          <w:szCs w:val="32"/>
        </w:rPr>
        <w:t>万元</w:t>
      </w:r>
      <w:r>
        <w:rPr>
          <w:rFonts w:hint="eastAsia" w:ascii="仿宋_GB2312" w:eastAsia="仿宋_GB2312"/>
          <w:sz w:val="32"/>
          <w:szCs w:val="32"/>
          <w:lang w:eastAsia="zh-CN"/>
        </w:rPr>
        <w:t>，邀请第三方现场督导培训</w:t>
      </w:r>
      <w:r>
        <w:rPr>
          <w:rFonts w:hint="eastAsia" w:ascii="仿宋_GB2312" w:eastAsia="仿宋_GB2312"/>
          <w:sz w:val="32"/>
          <w:szCs w:val="32"/>
          <w:lang w:val="en-US" w:eastAsia="zh-CN"/>
        </w:rPr>
        <w:t>4万元</w:t>
      </w:r>
      <w:r>
        <w:rPr>
          <w:rFonts w:hint="eastAsia" w:ascii="仿宋_GB2312" w:eastAsia="仿宋_GB2312"/>
          <w:sz w:val="32"/>
          <w:szCs w:val="32"/>
        </w:rPr>
        <w:t>。</w:t>
      </w:r>
    </w:p>
    <w:p w14:paraId="44B1AD7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6DE022E0">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07CE734D">
      <w:pPr>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多措并举提升母婴救治能力。一是通过危重症孕产妇救治中心和新生儿救治中心的评审验收工作，两中心正式运行；二是邀请了兰大二院儿童医院副院长徐丁等7名省内顶尖专家学者举办新区新生儿复苏培训，会后进行实操考核，提升了新区新生儿整体救治能力；三是邀请国家名中医团队在西岔中心卫生院开展儿童健康服务能力提升培训，并录制示教过程视频作为系统内培训教材推广应用。邀请甘肃省妇产科及儿科专家对新生儿死亡及孕产妇危重症病例开展评审，邀请省妇幼专家实地对孕产妇和儿童保健管理关键环节、高危人群管理工作、妇幼重大项目管理及实施、项目信息管理等进行现场检查和督导，不断提升新区母婴安全保障能力。2023年兰州新区活产数较去年增加16%的情况下实现孕产妇0死亡，新生儿死亡率下降1.08‰。</w:t>
      </w:r>
    </w:p>
    <w:p w14:paraId="1C141A8E">
      <w:pPr>
        <w:spacing w:line="600" w:lineRule="exact"/>
        <w:ind w:firstLine="640" w:firstLineChars="200"/>
        <w:jc w:val="left"/>
        <w:rPr>
          <w:rFonts w:ascii="仿宋" w:hAnsi="仿宋" w:eastAsia="仿宋" w:cs="仿宋"/>
          <w:color w:val="191919"/>
          <w:sz w:val="32"/>
          <w:szCs w:val="32"/>
        </w:rPr>
      </w:pPr>
      <w:r>
        <w:rPr>
          <w:rFonts w:hint="eastAsia" w:ascii="仿宋_GB2312" w:hAnsi="仿宋_GB2312" w:eastAsia="仿宋_GB2312" w:cs="仿宋_GB2312"/>
          <w:sz w:val="32"/>
          <w:szCs w:val="32"/>
        </w:rPr>
        <w:t>双向驻点教学提升基层保健水平。一是依托医共体服务模式，每周组织专家定时前往新区各基层医疗机构指导妇幼健康服务工作，有效提升了基层妇幼健康服务水平；二是定期组织基层妇幼专干、村医到上级医院参加短期见习培训活动，通过观摩、培训、实操、考核，培养出一批业务水平精湛的基层医疗保健人员。基层医防融合工作卓有成效，孕产妇系统管理率上升0.1%，儿童系统管理率上升0.7%，高危孕产妇、高危儿管理实现0漏管。</w:t>
      </w:r>
    </w:p>
    <w:p w14:paraId="5DFE8BB8">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313DB80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通过开展</w:t>
      </w:r>
      <w:r>
        <w:rPr>
          <w:rFonts w:hint="eastAsia" w:ascii="仿宋" w:hAnsi="仿宋" w:eastAsia="仿宋" w:cs="仿宋"/>
          <w:color w:val="191919"/>
          <w:sz w:val="32"/>
          <w:szCs w:val="32"/>
        </w:rPr>
        <w:t>托幼机构卫生保健业务培训会，进一步加强和规范新区托幼机构卫生保健管理工作，提高托幼机构保健人员业务能力，保证儿童身心健康发展。通过加强新区妇幼健康培训工作，提升了妇幼健康、母婴保健人员的业务能力，使新区母婴安全得到保障。</w:t>
      </w:r>
    </w:p>
    <w:p w14:paraId="72AA014F">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7BDDB033">
      <w:pPr>
        <w:spacing w:line="50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通过邀请专家对母婴安全进行专项培训，提升了医务工作者的业务能力，有效提升了服务对象的满意度。</w:t>
      </w:r>
    </w:p>
    <w:p w14:paraId="0BAB3AC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1BF24E5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31AE6F4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69D7033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1D2B691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1E1339D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62213CE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47B33A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无。</w:t>
      </w:r>
    </w:p>
    <w:p w14:paraId="53826DFF">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楷体" w:hAnsi="楷体" w:eastAsia="楷体" w:cs="楷体"/>
          <w:b/>
          <w:bCs/>
          <w:szCs w:val="32"/>
          <w:lang w:eastAsia="zh-CN"/>
        </w:rPr>
      </w:pPr>
      <w:r>
        <w:rPr>
          <w:rFonts w:hint="eastAsia" w:ascii="楷体" w:hAnsi="楷体" w:eastAsia="楷体" w:cs="楷体"/>
          <w:b/>
          <w:bCs/>
          <w:szCs w:val="32"/>
          <w:lang w:eastAsia="zh-CN"/>
        </w:rPr>
        <w:t>村卫生室运行补助经费</w:t>
      </w:r>
    </w:p>
    <w:p w14:paraId="49D12C43">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42218829">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487C226F">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根据甘肃省人民政府办公厅《关于印发甘肃省乡村医生管理办法（试行）的通知》（甘政办发〔2020〕123号）</w:t>
      </w:r>
      <w:r>
        <w:rPr>
          <w:rFonts w:hint="eastAsia" w:ascii="仿宋_GB2312" w:eastAsia="仿宋_GB2312"/>
          <w:sz w:val="32"/>
          <w:szCs w:val="32"/>
          <w:lang w:eastAsia="zh-CN"/>
        </w:rPr>
        <w:t>要求，为新区每个村卫生室按照不少于1000元/年标准，设立运行经费补助，</w:t>
      </w:r>
      <w:r>
        <w:rPr>
          <w:rFonts w:hint="eastAsia" w:ascii="仿宋_GB2312" w:eastAsia="仿宋_GB2312"/>
          <w:sz w:val="32"/>
          <w:szCs w:val="32"/>
        </w:rPr>
        <w:t>确保农村医疗卫生服务"网底"不破，保障广大农村居民基本医疗和公共卫生服务的公平性、可及性，</w:t>
      </w:r>
      <w:r>
        <w:rPr>
          <w:rFonts w:hint="eastAsia" w:ascii="仿宋_GB2312" w:eastAsia="仿宋_GB2312"/>
          <w:sz w:val="32"/>
          <w:szCs w:val="32"/>
          <w:lang w:eastAsia="zh-CN"/>
        </w:rPr>
        <w:t>通过设置村卫生室运行补助</w:t>
      </w:r>
      <w:r>
        <w:rPr>
          <w:rFonts w:hint="eastAsia" w:ascii="仿宋_GB2312" w:eastAsia="仿宋_GB2312"/>
          <w:sz w:val="32"/>
          <w:szCs w:val="32"/>
        </w:rPr>
        <w:t>，解决</w:t>
      </w:r>
      <w:r>
        <w:rPr>
          <w:rFonts w:hint="eastAsia" w:ascii="仿宋_GB2312" w:eastAsia="仿宋_GB2312"/>
          <w:sz w:val="32"/>
          <w:szCs w:val="32"/>
          <w:lang w:eastAsia="zh-CN"/>
        </w:rPr>
        <w:t>村卫生室冬季取暖等实际</w:t>
      </w:r>
      <w:r>
        <w:rPr>
          <w:rFonts w:hint="eastAsia" w:ascii="仿宋_GB2312" w:eastAsia="仿宋_GB2312"/>
          <w:sz w:val="32"/>
          <w:szCs w:val="32"/>
        </w:rPr>
        <w:t>问题。</w:t>
      </w:r>
    </w:p>
    <w:p w14:paraId="5AF7E3D9">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7A69673B">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新区卫健委每年</w:t>
      </w:r>
      <w:r>
        <w:rPr>
          <w:rFonts w:hint="eastAsia" w:ascii="仿宋_GB2312" w:eastAsia="仿宋_GB2312"/>
          <w:sz w:val="32"/>
          <w:szCs w:val="32"/>
          <w:lang w:eastAsia="zh-CN"/>
        </w:rPr>
        <w:t>对每个村卫生室按照不少于1000元/年标准，设立运行经费补助</w:t>
      </w:r>
      <w:r>
        <w:rPr>
          <w:rFonts w:hint="eastAsia" w:ascii="仿宋_GB2312" w:eastAsia="仿宋_GB2312"/>
          <w:sz w:val="32"/>
          <w:szCs w:val="32"/>
        </w:rPr>
        <w:t>。</w:t>
      </w:r>
    </w:p>
    <w:p w14:paraId="3844D7A0">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3B2845C8">
      <w:pPr>
        <w:spacing w:line="560" w:lineRule="exact"/>
        <w:ind w:firstLine="643" w:firstLineChars="200"/>
        <w:rPr>
          <w:rFonts w:ascii="仿宋_GB2312" w:hAnsi="Verdana" w:cs="宋体"/>
          <w:color w:val="000000"/>
          <w:kern w:val="0"/>
          <w:sz w:val="32"/>
          <w:szCs w:val="32"/>
          <w:lang w:bidi="ar"/>
        </w:rPr>
      </w:pPr>
      <w:r>
        <w:rPr>
          <w:rFonts w:hint="eastAsia" w:ascii="仿宋_GB2312" w:eastAsia="仿宋_GB2312"/>
          <w:b/>
          <w:bCs/>
          <w:sz w:val="32"/>
          <w:szCs w:val="32"/>
        </w:rPr>
        <w:t>总体目标：</w:t>
      </w:r>
      <w:r>
        <w:rPr>
          <w:rFonts w:hint="eastAsia" w:ascii="仿宋_GB2312" w:eastAsia="仿宋_GB2312"/>
          <w:sz w:val="32"/>
          <w:szCs w:val="32"/>
        </w:rPr>
        <w:t>稳定村医队伍，为村医解决后顾之忧，提高基层医疗机构服务能力</w:t>
      </w:r>
    </w:p>
    <w:p w14:paraId="008647E5">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rPr>
        <w:t>阶段性目标：</w:t>
      </w:r>
      <w:r>
        <w:rPr>
          <w:rFonts w:hint="eastAsia" w:ascii="仿宋_GB2312" w:eastAsia="仿宋_GB2312"/>
          <w:sz w:val="32"/>
          <w:szCs w:val="32"/>
        </w:rPr>
        <w:t>每年为每个村卫生室提供不低于1000元的运行补助，解决村医取暖等实际问题。</w:t>
      </w:r>
    </w:p>
    <w:p w14:paraId="4C11E903">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22F52941">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eastAsia="仿宋_GB2312"/>
          <w:sz w:val="32"/>
          <w:szCs w:val="32"/>
          <w:lang w:val="en-US" w:eastAsia="zh-CN"/>
        </w:rPr>
        <w:t>5.7</w:t>
      </w:r>
      <w:r>
        <w:rPr>
          <w:rFonts w:hint="eastAsia" w:ascii="仿宋_GB2312" w:eastAsia="仿宋_GB2312"/>
          <w:sz w:val="32"/>
          <w:szCs w:val="32"/>
        </w:rPr>
        <w:t>万元，全部为新区配套资金。</w:t>
      </w:r>
    </w:p>
    <w:p w14:paraId="52FF7439">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1A3D0565">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731BAD6A">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依据《关于进一步加强乡村医疗服务一体化管理工作的实施方案》，对</w:t>
      </w:r>
      <w:r>
        <w:rPr>
          <w:rFonts w:hint="eastAsia" w:ascii="仿宋_GB2312" w:eastAsia="仿宋_GB2312"/>
          <w:sz w:val="32"/>
          <w:szCs w:val="32"/>
          <w:lang w:eastAsia="zh-CN"/>
        </w:rPr>
        <w:t>村</w:t>
      </w:r>
      <w:r>
        <w:rPr>
          <w:rFonts w:hint="eastAsia" w:ascii="仿宋_GB2312" w:eastAsia="仿宋_GB2312"/>
          <w:sz w:val="32"/>
          <w:szCs w:val="32"/>
        </w:rPr>
        <w:t>卫生室实行</w:t>
      </w:r>
      <w:r>
        <w:rPr>
          <w:rFonts w:hint="eastAsia" w:ascii="仿宋_GB2312" w:eastAsia="仿宋_GB2312"/>
          <w:sz w:val="32"/>
          <w:szCs w:val="32"/>
          <w:lang w:eastAsia="zh-CN"/>
        </w:rPr>
        <w:t>“七统一”</w:t>
      </w:r>
      <w:r>
        <w:rPr>
          <w:rFonts w:hint="eastAsia" w:ascii="仿宋_GB2312" w:eastAsia="仿宋_GB2312"/>
          <w:sz w:val="32"/>
          <w:szCs w:val="32"/>
        </w:rPr>
        <w:t>目标责任管理，每</w:t>
      </w:r>
      <w:r>
        <w:rPr>
          <w:rFonts w:hint="eastAsia" w:ascii="仿宋_GB2312" w:eastAsia="仿宋_GB2312"/>
          <w:sz w:val="32"/>
          <w:szCs w:val="32"/>
          <w:lang w:eastAsia="zh-CN"/>
        </w:rPr>
        <w:t>月</w:t>
      </w:r>
      <w:r>
        <w:rPr>
          <w:rFonts w:hint="eastAsia" w:ascii="仿宋_GB2312" w:eastAsia="仿宋_GB2312"/>
          <w:sz w:val="32"/>
          <w:szCs w:val="32"/>
        </w:rPr>
        <w:t>对卫生室</w:t>
      </w:r>
      <w:r>
        <w:rPr>
          <w:rFonts w:hint="eastAsia" w:ascii="仿宋_GB2312" w:eastAsia="仿宋_GB2312"/>
          <w:sz w:val="32"/>
          <w:szCs w:val="32"/>
          <w:lang w:eastAsia="zh-CN"/>
        </w:rPr>
        <w:t>进行</w:t>
      </w:r>
      <w:r>
        <w:rPr>
          <w:rFonts w:hint="eastAsia" w:ascii="仿宋_GB2312" w:eastAsia="仿宋_GB2312"/>
          <w:sz w:val="32"/>
          <w:szCs w:val="32"/>
        </w:rPr>
        <w:t>绩效考核，绩效考核结果主要用于公共卫生服务补助、实行国家基本药物制度补助、提供家庭医生签约服务补助分配。绩效工资根据乡村医生的工作任务完成情况按照处方量、医疗质量、服务态度、公共卫生工作完成的质量确定。村医队伍中执业（助理）医师占比达</w:t>
      </w:r>
      <w:r>
        <w:rPr>
          <w:rFonts w:hint="eastAsia" w:ascii="仿宋_GB2312" w:eastAsia="仿宋_GB2312"/>
          <w:sz w:val="32"/>
          <w:szCs w:val="32"/>
          <w:lang w:val="en-US" w:eastAsia="zh-CN"/>
        </w:rPr>
        <w:t>64.23</w:t>
      </w:r>
      <w:r>
        <w:rPr>
          <w:rFonts w:hint="eastAsia" w:ascii="仿宋_GB2312" w:eastAsia="仿宋_GB2312"/>
          <w:sz w:val="32"/>
          <w:szCs w:val="32"/>
        </w:rPr>
        <w:t>%（</w:t>
      </w:r>
      <w:r>
        <w:rPr>
          <w:rFonts w:hint="eastAsia" w:ascii="仿宋_GB2312" w:eastAsia="仿宋_GB2312"/>
          <w:sz w:val="32"/>
          <w:szCs w:val="32"/>
          <w:lang w:val="en-US" w:eastAsia="zh-CN"/>
        </w:rPr>
        <w:t>137</w:t>
      </w:r>
      <w:r>
        <w:rPr>
          <w:rFonts w:hint="eastAsia" w:ascii="仿宋_GB2312" w:eastAsia="仿宋_GB2312"/>
          <w:sz w:val="32"/>
          <w:szCs w:val="32"/>
        </w:rPr>
        <w:t>名村医中</w:t>
      </w:r>
      <w:r>
        <w:rPr>
          <w:rFonts w:hint="eastAsia" w:ascii="仿宋_GB2312" w:eastAsia="仿宋_GB2312"/>
          <w:sz w:val="32"/>
          <w:szCs w:val="32"/>
          <w:lang w:val="en-US" w:eastAsia="zh-CN"/>
        </w:rPr>
        <w:t>49</w:t>
      </w:r>
      <w:r>
        <w:rPr>
          <w:rFonts w:hint="eastAsia" w:ascii="仿宋_GB2312" w:eastAsia="仿宋_GB2312"/>
          <w:sz w:val="32"/>
          <w:szCs w:val="32"/>
        </w:rPr>
        <w:t>人取得村医资格，</w:t>
      </w:r>
      <w:r>
        <w:rPr>
          <w:rFonts w:hint="eastAsia" w:ascii="仿宋_GB2312" w:eastAsia="仿宋_GB2312"/>
          <w:sz w:val="32"/>
          <w:szCs w:val="32"/>
          <w:lang w:val="en-US" w:eastAsia="zh-CN"/>
        </w:rPr>
        <w:t>65</w:t>
      </w:r>
      <w:r>
        <w:rPr>
          <w:rFonts w:hint="eastAsia" w:ascii="仿宋_GB2312" w:eastAsia="仿宋_GB2312"/>
          <w:sz w:val="32"/>
          <w:szCs w:val="32"/>
        </w:rPr>
        <w:t>人取得助理医师资格，</w:t>
      </w:r>
      <w:r>
        <w:rPr>
          <w:rFonts w:hint="eastAsia" w:ascii="仿宋_GB2312" w:eastAsia="仿宋_GB2312"/>
          <w:sz w:val="32"/>
          <w:szCs w:val="32"/>
          <w:lang w:val="en-US" w:eastAsia="zh-CN"/>
        </w:rPr>
        <w:t>23</w:t>
      </w:r>
      <w:r>
        <w:rPr>
          <w:rFonts w:hint="eastAsia" w:ascii="仿宋_GB2312" w:eastAsia="仿宋_GB2312"/>
          <w:sz w:val="32"/>
          <w:szCs w:val="32"/>
        </w:rPr>
        <w:t>人取得执业医师资格，</w:t>
      </w:r>
      <w:r>
        <w:rPr>
          <w:rFonts w:hint="eastAsia" w:ascii="仿宋_GB2312" w:eastAsia="仿宋_GB2312"/>
          <w:sz w:val="32"/>
          <w:szCs w:val="32"/>
          <w:lang w:eastAsia="zh-CN"/>
        </w:rPr>
        <w:t>其中</w:t>
      </w:r>
      <w:r>
        <w:rPr>
          <w:rFonts w:hint="eastAsia" w:ascii="仿宋_GB2312" w:eastAsia="仿宋_GB2312"/>
          <w:sz w:val="32"/>
          <w:szCs w:val="32"/>
          <w:lang w:val="en-US" w:eastAsia="zh-CN"/>
        </w:rPr>
        <w:t>3</w:t>
      </w:r>
      <w:r>
        <w:rPr>
          <w:rFonts w:hint="eastAsia" w:ascii="仿宋_GB2312" w:eastAsia="仿宋_GB2312"/>
          <w:sz w:val="32"/>
          <w:szCs w:val="32"/>
        </w:rPr>
        <w:t>人取得主治医师资格），排名甘肃省第一。进一步明确细化乡村医生职责，加大对村医工作的督导力度，并在所有卫生室设置了统一的去向告知牌，随时接受群众监督。制定下发《兰州新区基层医疗卫生服务能力提升培训工作实施计划》、《基层医疗卫生服务能力提升培训村医项目工作方案》等培训计划，围绕基本医疗、基本公共卫生、中医适宜技术、健康扶贫政策等重点内容和新聘村医等重点人员，多途径、多方式开展培训工作。采取有效手段，按照“六不算”（没有执业资格的不算，原单位不脱岗的不算，不开展诊疗服务的不算，不承担基本公共卫生服务的不算，不会办理医保结算手续的不算，不全天候服务的不算）要求，加强管理，规范服务，确保村医在岗履职，确保长期固定在岗服务。同时在村卫生室门口加挂“村医去向牌”，公示村医电话，确保群众享受连续、及时的服务，</w:t>
      </w:r>
      <w:r>
        <w:rPr>
          <w:rFonts w:hint="eastAsia" w:ascii="仿宋_GB2312" w:hAnsi="宋体" w:eastAsia="仿宋_GB2312"/>
          <w:color w:val="000000"/>
          <w:sz w:val="32"/>
          <w:szCs w:val="32"/>
        </w:rPr>
        <w:t>随时接受群众监督</w:t>
      </w:r>
      <w:r>
        <w:rPr>
          <w:rFonts w:hint="eastAsia" w:ascii="仿宋_GB2312" w:eastAsia="仿宋_GB2312"/>
          <w:sz w:val="32"/>
          <w:szCs w:val="32"/>
        </w:rPr>
        <w:t>。</w:t>
      </w:r>
    </w:p>
    <w:p w14:paraId="4D622352">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（二）预算执行情况。</w:t>
      </w:r>
    </w:p>
    <w:p w14:paraId="36E909BD">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23</w:t>
      </w:r>
      <w:r>
        <w:rPr>
          <w:rFonts w:hint="eastAsia" w:ascii="仿宋_GB2312" w:eastAsia="仿宋_GB2312"/>
          <w:sz w:val="32"/>
          <w:szCs w:val="32"/>
        </w:rPr>
        <w:t>年共收到村卫生室运行补助</w:t>
      </w:r>
      <w:r>
        <w:rPr>
          <w:rFonts w:hint="eastAsia" w:ascii="仿宋_GB2312" w:eastAsia="仿宋_GB2312"/>
          <w:sz w:val="32"/>
          <w:szCs w:val="32"/>
          <w:lang w:val="en-US" w:eastAsia="zh-CN"/>
        </w:rPr>
        <w:t>5.7</w:t>
      </w:r>
      <w:r>
        <w:rPr>
          <w:rFonts w:hint="eastAsia" w:ascii="仿宋_GB2312" w:eastAsia="仿宋_GB2312"/>
          <w:sz w:val="32"/>
          <w:szCs w:val="32"/>
        </w:rPr>
        <w:t>万元，</w:t>
      </w:r>
      <w:r>
        <w:rPr>
          <w:rFonts w:hint="eastAsia" w:ascii="仿宋_GB2312" w:eastAsia="仿宋_GB2312"/>
          <w:sz w:val="32"/>
          <w:szCs w:val="32"/>
          <w:lang w:eastAsia="zh-CN"/>
        </w:rPr>
        <w:t>全部拨付至各基层医疗机构</w:t>
      </w:r>
      <w:r>
        <w:rPr>
          <w:rFonts w:hint="eastAsia" w:ascii="仿宋_GB2312" w:eastAsia="仿宋_GB2312"/>
          <w:sz w:val="32"/>
          <w:szCs w:val="32"/>
        </w:rPr>
        <w:t>。</w:t>
      </w:r>
    </w:p>
    <w:p w14:paraId="28094BC9">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7AD2F499">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7FD7D468">
      <w:pPr>
        <w:spacing w:line="600" w:lineRule="exact"/>
        <w:ind w:firstLine="640" w:firstLineChars="200"/>
        <w:jc w:val="left"/>
        <w:rPr>
          <w:rFonts w:hint="default" w:ascii="仿宋" w:hAnsi="仿宋" w:eastAsia="仿宋_GB2312" w:cs="仿宋"/>
          <w:color w:val="191919"/>
          <w:sz w:val="32"/>
          <w:szCs w:val="32"/>
          <w:lang w:val="en-US" w:eastAsia="zh-CN"/>
        </w:rPr>
      </w:pPr>
      <w:r>
        <w:rPr>
          <w:rFonts w:hint="eastAsia" w:ascii="仿宋_GB2312" w:hAnsi="仿宋_GB2312" w:eastAsia="仿宋_GB2312" w:cs="仿宋_GB2312"/>
          <w:sz w:val="32"/>
          <w:szCs w:val="32"/>
          <w:lang w:eastAsia="zh-CN"/>
        </w:rPr>
        <w:t>保障村卫生室高标准建设，吸引更多人才扎根在基层服务，</w:t>
      </w:r>
      <w:r>
        <w:rPr>
          <w:rFonts w:hint="eastAsia" w:ascii="仿宋_GB2312" w:eastAsia="仿宋_GB2312"/>
          <w:sz w:val="32"/>
          <w:szCs w:val="32"/>
        </w:rPr>
        <w:t>村医队伍中执业（助理）医师占比达</w:t>
      </w:r>
      <w:r>
        <w:rPr>
          <w:rFonts w:hint="eastAsia" w:ascii="仿宋_GB2312" w:eastAsia="仿宋_GB2312"/>
          <w:sz w:val="32"/>
          <w:szCs w:val="32"/>
          <w:lang w:val="en-US" w:eastAsia="zh-CN"/>
        </w:rPr>
        <w:t>64.23</w:t>
      </w:r>
      <w:r>
        <w:rPr>
          <w:rFonts w:hint="eastAsia" w:ascii="仿宋_GB2312" w:eastAsia="仿宋_GB2312"/>
          <w:sz w:val="32"/>
          <w:szCs w:val="32"/>
        </w:rPr>
        <w:t>%（</w:t>
      </w:r>
      <w:r>
        <w:rPr>
          <w:rFonts w:hint="eastAsia" w:ascii="仿宋_GB2312" w:eastAsia="仿宋_GB2312"/>
          <w:sz w:val="32"/>
          <w:szCs w:val="32"/>
          <w:lang w:val="en-US" w:eastAsia="zh-CN"/>
        </w:rPr>
        <w:t>137</w:t>
      </w:r>
      <w:r>
        <w:rPr>
          <w:rFonts w:hint="eastAsia" w:ascii="仿宋_GB2312" w:eastAsia="仿宋_GB2312"/>
          <w:sz w:val="32"/>
          <w:szCs w:val="32"/>
        </w:rPr>
        <w:t>名村医中</w:t>
      </w:r>
      <w:r>
        <w:rPr>
          <w:rFonts w:hint="eastAsia" w:ascii="仿宋_GB2312" w:eastAsia="仿宋_GB2312"/>
          <w:sz w:val="32"/>
          <w:szCs w:val="32"/>
          <w:lang w:val="en-US" w:eastAsia="zh-CN"/>
        </w:rPr>
        <w:t>49</w:t>
      </w:r>
      <w:r>
        <w:rPr>
          <w:rFonts w:hint="eastAsia" w:ascii="仿宋_GB2312" w:eastAsia="仿宋_GB2312"/>
          <w:sz w:val="32"/>
          <w:szCs w:val="32"/>
        </w:rPr>
        <w:t>人取得村医资格，</w:t>
      </w:r>
      <w:r>
        <w:rPr>
          <w:rFonts w:hint="eastAsia" w:ascii="仿宋_GB2312" w:eastAsia="仿宋_GB2312"/>
          <w:sz w:val="32"/>
          <w:szCs w:val="32"/>
          <w:lang w:val="en-US" w:eastAsia="zh-CN"/>
        </w:rPr>
        <w:t>65</w:t>
      </w:r>
      <w:r>
        <w:rPr>
          <w:rFonts w:hint="eastAsia" w:ascii="仿宋_GB2312" w:eastAsia="仿宋_GB2312"/>
          <w:sz w:val="32"/>
          <w:szCs w:val="32"/>
        </w:rPr>
        <w:t>人取得助理医师资格，</w:t>
      </w:r>
      <w:r>
        <w:rPr>
          <w:rFonts w:hint="eastAsia" w:ascii="仿宋_GB2312" w:eastAsia="仿宋_GB2312"/>
          <w:sz w:val="32"/>
          <w:szCs w:val="32"/>
          <w:lang w:val="en-US" w:eastAsia="zh-CN"/>
        </w:rPr>
        <w:t>23</w:t>
      </w:r>
      <w:r>
        <w:rPr>
          <w:rFonts w:hint="eastAsia" w:ascii="仿宋_GB2312" w:eastAsia="仿宋_GB2312"/>
          <w:sz w:val="32"/>
          <w:szCs w:val="32"/>
        </w:rPr>
        <w:t>人取得执业医师资格，</w:t>
      </w:r>
      <w:r>
        <w:rPr>
          <w:rFonts w:hint="eastAsia" w:ascii="仿宋_GB2312" w:eastAsia="仿宋_GB2312"/>
          <w:sz w:val="32"/>
          <w:szCs w:val="32"/>
          <w:lang w:eastAsia="zh-CN"/>
        </w:rPr>
        <w:t>其中</w:t>
      </w:r>
      <w:r>
        <w:rPr>
          <w:rFonts w:hint="eastAsia" w:ascii="仿宋_GB2312" w:eastAsia="仿宋_GB2312"/>
          <w:sz w:val="32"/>
          <w:szCs w:val="32"/>
          <w:lang w:val="en-US" w:eastAsia="zh-CN"/>
        </w:rPr>
        <w:t>3</w:t>
      </w:r>
      <w:r>
        <w:rPr>
          <w:rFonts w:hint="eastAsia" w:ascii="仿宋_GB2312" w:eastAsia="仿宋_GB2312"/>
          <w:sz w:val="32"/>
          <w:szCs w:val="32"/>
        </w:rPr>
        <w:t>人取得主治医师资格），排名甘肃省第一</w:t>
      </w:r>
      <w:r>
        <w:rPr>
          <w:rFonts w:hint="eastAsia" w:ascii="仿宋_GB2312" w:hAnsi="仿宋_GB2312" w:eastAsia="仿宋_GB2312" w:cs="仿宋_GB2312"/>
          <w:sz w:val="32"/>
          <w:szCs w:val="32"/>
        </w:rPr>
        <w:t>。</w:t>
      </w:r>
      <w:r>
        <w:rPr>
          <w:rFonts w:hint="eastAsia" w:ascii="仿宋_GB2312" w:eastAsia="仿宋_GB2312"/>
          <w:sz w:val="32"/>
          <w:szCs w:val="32"/>
          <w:lang w:eastAsia="zh-CN"/>
        </w:rPr>
        <w:t>近几年累计引进</w:t>
      </w:r>
      <w:r>
        <w:rPr>
          <w:rFonts w:hint="eastAsia" w:ascii="仿宋_GB2312" w:eastAsia="仿宋_GB2312"/>
          <w:sz w:val="32"/>
          <w:szCs w:val="32"/>
          <w:lang w:val="en-US" w:eastAsia="zh-CN"/>
        </w:rPr>
        <w:t>52名大学生（含定向生8名）补充乡村医生队伍，其中2023</w:t>
      </w:r>
      <w:r>
        <w:rPr>
          <w:rFonts w:hint="eastAsia" w:ascii="仿宋_GB2312" w:eastAsia="仿宋_GB2312" w:cs="Times New Roman"/>
          <w:sz w:val="32"/>
          <w:szCs w:val="32"/>
          <w:lang w:val="en-US" w:eastAsia="zh-CN"/>
        </w:rPr>
        <w:t>年通过</w:t>
      </w:r>
      <w:r>
        <w:rPr>
          <w:rFonts w:hint="eastAsia" w:ascii="仿宋_GB2312" w:eastAsia="仿宋_GB2312" w:cs="Times New Roman"/>
          <w:sz w:val="32"/>
          <w:szCs w:val="32"/>
          <w:lang w:eastAsia="zh-CN"/>
        </w:rPr>
        <w:t>大学生乡村医生专项计划，聘用</w:t>
      </w:r>
      <w:r>
        <w:rPr>
          <w:rFonts w:hint="eastAsia" w:ascii="仿宋_GB2312" w:eastAsia="仿宋_GB2312" w:cs="Times New Roman"/>
          <w:sz w:val="32"/>
          <w:szCs w:val="32"/>
          <w:lang w:val="en-US" w:eastAsia="zh-CN"/>
        </w:rPr>
        <w:t>27</w:t>
      </w:r>
      <w:r>
        <w:rPr>
          <w:rFonts w:hint="eastAsia" w:ascii="仿宋_GB2312" w:eastAsia="仿宋_GB2312" w:cs="Times New Roman"/>
          <w:sz w:val="32"/>
          <w:szCs w:val="32"/>
          <w:lang w:eastAsia="zh-CN"/>
        </w:rPr>
        <w:t>名大学生并免试</w:t>
      </w:r>
      <w:r>
        <w:rPr>
          <w:rFonts w:hint="eastAsia" w:ascii="仿宋_GB2312" w:eastAsia="仿宋_GB2312"/>
          <w:sz w:val="32"/>
          <w:szCs w:val="32"/>
        </w:rPr>
        <w:t>申请乡村医生注册。</w:t>
      </w:r>
      <w:r>
        <w:rPr>
          <w:rFonts w:hint="eastAsia" w:ascii="仿宋_GB2312" w:eastAsia="仿宋_GB2312"/>
          <w:sz w:val="32"/>
          <w:szCs w:val="32"/>
          <w:lang w:eastAsia="zh-CN"/>
        </w:rPr>
        <w:t>先后引进具备</w:t>
      </w:r>
      <w:r>
        <w:rPr>
          <w:rFonts w:hint="eastAsia" w:ascii="仿宋_GB2312" w:hAnsi="Times New Roman" w:eastAsia="仿宋_GB2312" w:cs="仿宋_GB2312"/>
          <w:color w:val="auto"/>
          <w:kern w:val="2"/>
          <w:sz w:val="32"/>
          <w:szCs w:val="32"/>
          <w:lang w:val="en-US" w:eastAsia="zh-CN" w:bidi="ar-SA"/>
        </w:rPr>
        <w:t>例针刀医学诊疗技术、皇甫谧针灸术、中医皮肤病、中医康复、中医脾胃病等特长的人才为乡村医生，为其量身打造乡镇卫生院延伸至村级的医疗服务点。优秀的人才环境先后吸引县级医院、民营医院、个体诊所等不同来源的人才到新区村卫生室（社区卫生服务站）工作。</w:t>
      </w:r>
    </w:p>
    <w:p w14:paraId="35896306">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2497D3E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设置</w:t>
      </w:r>
      <w:r>
        <w:rPr>
          <w:rFonts w:hint="eastAsia" w:ascii="仿宋_GB2312" w:hAnsi="仿宋_GB2312" w:eastAsia="仿宋_GB2312" w:cs="仿宋_GB2312"/>
          <w:sz w:val="32"/>
          <w:szCs w:val="32"/>
        </w:rPr>
        <w:t>村卫生室运行补助，是进一步贯彻落实乡村医疗服务一体化管理工作，以“做活乡级、以乡带村，做实村级、以村促乡，乡村一体、整体发展”为目标，通过合理配置和整合医疗卫生资源，逐步达到“机构建制、业务管理、财务管理、药械管理、人员聘用、绩效考核、标识设置”统一，规范村卫生室基本医疗服务行为，提高乡村医生的技术水平和整体素质，增强村卫生室服务功能，提高村医收入，稳定村医队伍，努力满足广大人民群众基本医疗服务需要，确保广大农民享受安全、有效、方便、价廉的公共卫生和基本医疗服务。</w:t>
      </w:r>
    </w:p>
    <w:p w14:paraId="0E71B446">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3A0C3934">
      <w:pPr>
        <w:spacing w:line="500" w:lineRule="exact"/>
        <w:ind w:firstLine="640" w:firstLineChars="200"/>
        <w:outlineLvl w:val="0"/>
        <w:rPr>
          <w:rFonts w:hint="eastAsia" w:ascii="楷体" w:hAnsi="楷体" w:eastAsia="楷体" w:cs="楷体"/>
          <w:b/>
          <w:bCs/>
          <w:szCs w:val="32"/>
          <w:lang w:eastAsia="zh-CN"/>
        </w:rPr>
      </w:pPr>
      <w:r>
        <w:rPr>
          <w:rFonts w:hint="eastAsia" w:ascii="仿宋_GB2312" w:hAnsi="仿宋_GB2312" w:eastAsia="仿宋_GB2312" w:cs="仿宋_GB2312"/>
          <w:sz w:val="32"/>
          <w:szCs w:val="32"/>
        </w:rPr>
        <w:t>通过严谨的选聘程序、细致的业务指导、定期的绩效考核以及足额、及时下拨</w:t>
      </w:r>
      <w:r>
        <w:rPr>
          <w:rFonts w:hint="eastAsia" w:ascii="仿宋_GB2312" w:hAnsi="仿宋_GB2312" w:eastAsia="仿宋_GB2312" w:cs="仿宋_GB2312"/>
          <w:sz w:val="32"/>
          <w:szCs w:val="32"/>
          <w:lang w:eastAsia="zh-CN"/>
        </w:rPr>
        <w:t>村卫生室运行</w:t>
      </w:r>
      <w:r>
        <w:rPr>
          <w:rFonts w:hint="eastAsia" w:ascii="仿宋_GB2312" w:hAnsi="仿宋_GB2312" w:eastAsia="仿宋_GB2312" w:cs="仿宋_GB2312"/>
          <w:sz w:val="32"/>
          <w:szCs w:val="32"/>
        </w:rPr>
        <w:t>补助，解决了村医的后顾之忧，稳定了村医队伍，有效提升了村医的满意度。</w:t>
      </w:r>
    </w:p>
    <w:p w14:paraId="56221F2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49913D3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3CAE83D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6164DA7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165C388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68D6ECC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22CADF6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47ED2F6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无。</w:t>
      </w:r>
    </w:p>
    <w:p w14:paraId="18A53B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default" w:ascii="楷体_GB2312" w:hAnsi="楷体_GB2312" w:eastAsia="楷体" w:cs="楷体_GB2312"/>
          <w:b/>
          <w:bCs/>
          <w:color w:val="000000" w:themeColor="text1"/>
          <w:szCs w:val="32"/>
          <w:lang w:val="en-US" w:eastAsia="zh-CN"/>
        </w:rPr>
      </w:pPr>
      <w:r>
        <w:rPr>
          <w:rFonts w:hint="eastAsia" w:ascii="楷体" w:hAnsi="楷体" w:eastAsia="楷体" w:cs="楷体"/>
          <w:b/>
          <w:bCs/>
          <w:szCs w:val="32"/>
        </w:rPr>
        <w:t>（十</w:t>
      </w:r>
      <w:r>
        <w:rPr>
          <w:rFonts w:hint="eastAsia" w:ascii="楷体" w:hAnsi="楷体" w:eastAsia="楷体" w:cs="楷体"/>
          <w:b/>
          <w:bCs/>
          <w:szCs w:val="32"/>
          <w:lang w:eastAsia="zh-CN"/>
        </w:rPr>
        <w:t>二</w:t>
      </w:r>
      <w:r>
        <w:rPr>
          <w:rFonts w:hint="eastAsia" w:ascii="楷体" w:hAnsi="楷体" w:eastAsia="楷体" w:cs="楷体"/>
          <w:b/>
          <w:bCs/>
          <w:szCs w:val="32"/>
        </w:rPr>
        <w:t>）</w:t>
      </w:r>
      <w:r>
        <w:rPr>
          <w:rFonts w:hint="eastAsia" w:ascii="楷体" w:hAnsi="楷体" w:eastAsia="楷体" w:cs="楷体"/>
          <w:b/>
          <w:bCs/>
          <w:szCs w:val="32"/>
          <w:lang w:eastAsia="zh-CN"/>
        </w:rPr>
        <w:t>人口监测工作经费</w:t>
      </w:r>
    </w:p>
    <w:p w14:paraId="428178E3">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3EA9CB3B">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04AE3AE9">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根据《中共中央 国务院关于优化生育政策促进人口长期均衡发展的决定》第八至十一条，组织实施好三孩生育政策，建立健全人口服务体系，落实生育登记制度，做好生育咨询指导，加强人口监测和形势研判。经费主要用于落实三孩政策宣传，完成省级人口监测任务，以及计生专网维护等费用。省卫生健康委《关于加强全员人口信息应用管理的通知》(甘卫家庭函〔2022)71号)要求“市县落实配套资金不得低于地方配套资金比例，以保障各级开展信息系统建设应用、绩效评价、人员培训和基层信息采录等工作”</w:t>
      </w:r>
      <w:r>
        <w:rPr>
          <w:rFonts w:hint="eastAsia" w:ascii="仿宋_GB2312" w:eastAsia="仿宋_GB2312"/>
          <w:sz w:val="32"/>
          <w:szCs w:val="32"/>
          <w:lang w:eastAsia="zh-CN"/>
        </w:rPr>
        <w:t>。</w:t>
      </w:r>
    </w:p>
    <w:p w14:paraId="55764079">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7B1F7C79">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落实生育登记制度，做好生育咨询指导，加强人口监测和形势研判。落实三孩政策宣传，完成省级人口监测任务，以及计生专网维护等费用</w:t>
      </w:r>
    </w:p>
    <w:p w14:paraId="1A5975C3">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4995EF11">
      <w:pPr>
        <w:spacing w:line="560" w:lineRule="exact"/>
        <w:ind w:firstLine="643" w:firstLineChars="200"/>
        <w:rPr>
          <w:rFonts w:hint="eastAsia" w:ascii="仿宋_GB2312" w:hAnsi="Verdana" w:eastAsia="仿宋_GB2312" w:cs="宋体"/>
          <w:color w:val="000000"/>
          <w:kern w:val="0"/>
          <w:sz w:val="32"/>
          <w:szCs w:val="32"/>
          <w:lang w:eastAsia="zh-CN" w:bidi="ar"/>
        </w:rPr>
      </w:pPr>
      <w:r>
        <w:rPr>
          <w:rFonts w:hint="eastAsia" w:ascii="仿宋_GB2312" w:eastAsia="仿宋_GB2312"/>
          <w:b/>
          <w:bCs/>
          <w:sz w:val="32"/>
          <w:szCs w:val="32"/>
        </w:rPr>
        <w:t>总体目标：</w:t>
      </w:r>
      <w:r>
        <w:rPr>
          <w:rFonts w:hint="eastAsia" w:ascii="仿宋_GB2312" w:eastAsia="仿宋_GB2312"/>
          <w:sz w:val="32"/>
          <w:szCs w:val="32"/>
        </w:rPr>
        <w:t>健全覆盖全人群、全生命周期的人口监测体系，密切监测生育形势和人口变动趋势，稳妥有序实施一对夫妻可以生育三个子女政策</w:t>
      </w:r>
      <w:r>
        <w:rPr>
          <w:rFonts w:hint="eastAsia" w:ascii="仿宋_GB2312" w:eastAsia="仿宋_GB2312"/>
          <w:sz w:val="32"/>
          <w:szCs w:val="32"/>
          <w:lang w:eastAsia="zh-CN"/>
        </w:rPr>
        <w:t>。</w:t>
      </w:r>
    </w:p>
    <w:p w14:paraId="31CD37CA">
      <w:p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rPr>
        <w:t>阶段性目标：</w:t>
      </w:r>
      <w:r>
        <w:rPr>
          <w:rFonts w:hint="eastAsia" w:ascii="仿宋_GB2312" w:eastAsia="仿宋_GB2312"/>
          <w:sz w:val="32"/>
          <w:szCs w:val="32"/>
        </w:rPr>
        <w:t>保障各园区开展信息系统建设应用、绩效评价、人员培训和基层信息采录等工作，进一步加强全员人口信息系统使用，强化信息管理，提高信息质量</w:t>
      </w:r>
      <w:r>
        <w:rPr>
          <w:rFonts w:hint="eastAsia" w:ascii="仿宋_GB2312" w:eastAsia="仿宋_GB2312"/>
          <w:sz w:val="32"/>
          <w:szCs w:val="32"/>
          <w:lang w:eastAsia="zh-CN"/>
        </w:rPr>
        <w:t>。</w:t>
      </w:r>
    </w:p>
    <w:p w14:paraId="4C4D7F31">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68E80381">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eastAsia="仿宋_GB2312"/>
          <w:sz w:val="32"/>
          <w:szCs w:val="32"/>
          <w:lang w:val="en-US" w:eastAsia="zh-CN"/>
        </w:rPr>
        <w:t>5</w:t>
      </w:r>
      <w:r>
        <w:rPr>
          <w:rFonts w:hint="eastAsia" w:ascii="仿宋_GB2312" w:eastAsia="仿宋_GB2312"/>
          <w:sz w:val="32"/>
          <w:szCs w:val="32"/>
        </w:rPr>
        <w:t>万元，全部为新区配套资金。</w:t>
      </w:r>
    </w:p>
    <w:p w14:paraId="429E6993">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016FB958">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37125AB3">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以实施三孩生育政策及配套积极支持措施为主线，全方位加强宣传引导工作，将优化生育政策宣传到家喻户晓、人人皆知，达到园区、乡镇、社区（村）、组全覆盖，提升干部群众对优化生育政策的知晓率和满意度，推动构建新型婚育文化和生育友好型社会，营造有利于新区人口长期均衡发展的良好氛围。</w:t>
      </w:r>
    </w:p>
    <w:p w14:paraId="05C46A3E">
      <w:pPr>
        <w:spacing w:line="50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卫生健康委《关于加强全员人口信息应用管理的通知》(</w:t>
      </w:r>
      <w:r>
        <w:rPr>
          <w:rFonts w:hint="eastAsia" w:ascii="仿宋_GB2312" w:hAnsi="仿宋_GB2312" w:eastAsia="仿宋_GB2312" w:cs="仿宋_GB2312"/>
          <w:sz w:val="32"/>
          <w:szCs w:val="32"/>
          <w:lang w:eastAsia="zh-CN"/>
        </w:rPr>
        <w:t>甘</w:t>
      </w:r>
      <w:r>
        <w:rPr>
          <w:rFonts w:hint="eastAsia" w:ascii="仿宋_GB2312" w:hAnsi="仿宋_GB2312" w:eastAsia="仿宋_GB2312" w:cs="仿宋_GB2312"/>
          <w:sz w:val="32"/>
          <w:szCs w:val="32"/>
        </w:rPr>
        <w:t>卫</w:t>
      </w:r>
      <w:r>
        <w:rPr>
          <w:rFonts w:hint="eastAsia" w:ascii="仿宋_GB2312" w:hAnsi="仿宋_GB2312" w:eastAsia="仿宋_GB2312" w:cs="仿宋_GB2312"/>
          <w:sz w:val="32"/>
          <w:szCs w:val="32"/>
          <w:lang w:eastAsia="zh-CN"/>
        </w:rPr>
        <w:t>家庭</w:t>
      </w:r>
      <w:r>
        <w:rPr>
          <w:rFonts w:hint="eastAsia" w:ascii="仿宋_GB2312" w:hAnsi="仿宋_GB2312" w:eastAsia="仿宋_GB2312" w:cs="仿宋_GB2312"/>
          <w:sz w:val="32"/>
          <w:szCs w:val="32"/>
        </w:rPr>
        <w:t>函〔2022)</w:t>
      </w:r>
      <w:r>
        <w:rPr>
          <w:rFonts w:hint="eastAsia" w:ascii="仿宋_GB2312" w:hAnsi="仿宋_GB2312" w:eastAsia="仿宋_GB2312" w:cs="仿宋_GB2312"/>
          <w:sz w:val="32"/>
          <w:szCs w:val="32"/>
          <w:lang w:val="en-US" w:eastAsia="zh-CN"/>
        </w:rPr>
        <w:t>71</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要求，进一步加强全员人口信息系统使用，强化信息管理，提高信息质量，</w:t>
      </w:r>
      <w:r>
        <w:rPr>
          <w:rFonts w:hint="eastAsia" w:ascii="仿宋_GB2312" w:hAnsi="仿宋_GB2312" w:eastAsia="仿宋_GB2312" w:cs="仿宋_GB2312"/>
          <w:sz w:val="32"/>
          <w:szCs w:val="32"/>
          <w:lang w:val="en-US" w:eastAsia="zh-CN"/>
        </w:rPr>
        <w:t>各园区每月13日前完成上月变动信息上报。人口基本情况增量信息主要有户籍人口变动、跨省流入常住人口信息及婚烟状况等状态变化信息；死亡人口增量信息为上月新增的死亡人口信息；妇女生育增量信息为上月有生育变动的妇女生育情况。</w:t>
      </w:r>
    </w:p>
    <w:p w14:paraId="241040B7">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（二）预算执行情况。</w:t>
      </w:r>
    </w:p>
    <w:p w14:paraId="65999DAF">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23</w:t>
      </w:r>
      <w:r>
        <w:rPr>
          <w:rFonts w:hint="eastAsia" w:ascii="仿宋_GB2312" w:eastAsia="仿宋_GB2312"/>
          <w:sz w:val="32"/>
          <w:szCs w:val="32"/>
        </w:rPr>
        <w:t>年共收到人口监测工作经费</w:t>
      </w:r>
      <w:r>
        <w:rPr>
          <w:rFonts w:hint="eastAsia" w:ascii="仿宋_GB2312" w:eastAsia="仿宋_GB2312"/>
          <w:sz w:val="32"/>
          <w:szCs w:val="32"/>
          <w:lang w:val="en-US" w:eastAsia="zh-CN"/>
        </w:rPr>
        <w:t>5</w:t>
      </w:r>
      <w:r>
        <w:rPr>
          <w:rFonts w:hint="eastAsia" w:ascii="仿宋_GB2312" w:eastAsia="仿宋_GB2312"/>
          <w:sz w:val="32"/>
          <w:szCs w:val="32"/>
        </w:rPr>
        <w:t>万元，</w:t>
      </w:r>
      <w:r>
        <w:rPr>
          <w:rFonts w:hint="eastAsia" w:ascii="仿宋_GB2312" w:eastAsia="仿宋_GB2312"/>
          <w:sz w:val="32"/>
          <w:szCs w:val="32"/>
          <w:lang w:eastAsia="zh-CN"/>
        </w:rPr>
        <w:t>已拨付至各园区</w:t>
      </w:r>
      <w:r>
        <w:rPr>
          <w:rFonts w:hint="eastAsia" w:ascii="仿宋_GB2312" w:eastAsia="仿宋_GB2312"/>
          <w:sz w:val="32"/>
          <w:szCs w:val="32"/>
        </w:rPr>
        <w:t>。</w:t>
      </w:r>
    </w:p>
    <w:p w14:paraId="119F6DCA">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05E6DD38">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098CFBDC">
      <w:pPr>
        <w:spacing w:line="600" w:lineRule="exact"/>
        <w:ind w:firstLine="640" w:firstLineChars="200"/>
        <w:rPr>
          <w:rFonts w:hint="eastAsia" w:ascii="仿宋_GB2312" w:hAnsi="仿宋_GB2312"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以</w:t>
      </w:r>
      <w:r>
        <w:rPr>
          <w:rFonts w:hint="eastAsia" w:ascii="仿宋_GB2312" w:hAnsi="仿宋_GB2312" w:eastAsia="仿宋_GB2312" w:cs="仿宋_GB2312"/>
          <w:color w:val="auto"/>
          <w:sz w:val="32"/>
          <w:szCs w:val="32"/>
          <w:lang w:val="en-US" w:eastAsia="zh-CN"/>
        </w:rPr>
        <w:t>5.29会</w:t>
      </w:r>
      <w:r>
        <w:rPr>
          <w:rFonts w:hint="eastAsia" w:ascii="Times New Roman" w:hAnsi="Times New Roman" w:eastAsia="仿宋_GB2312" w:cs="仿宋_GB2312"/>
          <w:color w:val="auto"/>
          <w:sz w:val="32"/>
          <w:szCs w:val="32"/>
          <w:lang w:val="en-US" w:eastAsia="zh-CN"/>
        </w:rPr>
        <w:t>员活动日、</w:t>
      </w:r>
      <w:r>
        <w:rPr>
          <w:rFonts w:hint="eastAsia" w:ascii="仿宋_GB2312" w:hAnsi="仿宋_GB2312" w:eastAsia="仿宋_GB2312" w:cs="仿宋_GB2312"/>
          <w:color w:val="auto"/>
          <w:sz w:val="32"/>
          <w:szCs w:val="32"/>
          <w:lang w:val="en-US" w:eastAsia="zh-CN"/>
        </w:rPr>
        <w:t>7.11世界人口日为契</w:t>
      </w:r>
      <w:r>
        <w:rPr>
          <w:rFonts w:hint="eastAsia" w:ascii="Times New Roman" w:hAnsi="Times New Roman" w:eastAsia="仿宋_GB2312" w:cs="仿宋_GB2312"/>
          <w:color w:val="auto"/>
          <w:sz w:val="32"/>
          <w:szCs w:val="32"/>
          <w:lang w:val="en-US" w:eastAsia="zh-CN"/>
        </w:rPr>
        <w:t>机，镇（中心社区）、社区（村）发挥宣传媒介作用，着力打造线上线下计生宣传矩阵。各镇针对</w:t>
      </w:r>
      <w:r>
        <w:rPr>
          <w:rFonts w:hint="eastAsia" w:ascii="仿宋_GB2312" w:hAnsi="仿宋_GB2312" w:eastAsia="仿宋_GB2312" w:cs="仿宋_GB2312"/>
          <w:color w:val="auto"/>
          <w:sz w:val="32"/>
          <w:szCs w:val="32"/>
          <w:lang w:val="en-US" w:eastAsia="zh-CN"/>
        </w:rPr>
        <w:t>群众所关心的免费孕前优生健康检查、</w:t>
      </w:r>
      <w:r>
        <w:rPr>
          <w:rFonts w:hint="eastAsia" w:ascii="仿宋_GB2312" w:hAnsi="仿宋_GB2312" w:eastAsia="仿宋_GB2312" w:cs="仿宋_GB2312"/>
          <w:i w:val="0"/>
          <w:iCs w:val="0"/>
          <w:caps w:val="0"/>
          <w:color w:val="auto"/>
          <w:spacing w:val="0"/>
          <w:sz w:val="32"/>
          <w:szCs w:val="32"/>
          <w:shd w:val="clear" w:color="auto" w:fill="FFFFFF"/>
        </w:rPr>
        <w:t>农村适龄妇女“两癌”免费筛查</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lang w:val="en-US" w:eastAsia="zh-CN"/>
        </w:rPr>
        <w:t>出生缺陷预防等知识进行了</w:t>
      </w:r>
      <w:r>
        <w:rPr>
          <w:rFonts w:hint="eastAsia" w:ascii="仿宋_GB2312" w:hAnsi="仿宋_GB2312" w:eastAsia="仿宋_GB2312" w:cs="仿宋_GB2312"/>
          <w:i w:val="0"/>
          <w:iCs w:val="0"/>
          <w:caps w:val="0"/>
          <w:color w:val="auto"/>
          <w:spacing w:val="0"/>
          <w:sz w:val="32"/>
          <w:szCs w:val="32"/>
          <w:shd w:val="clear" w:color="auto" w:fill="FFFFFF"/>
        </w:rPr>
        <w:t>深入浅出地讲解</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lang w:val="en-US" w:eastAsia="zh-CN"/>
        </w:rPr>
        <w:t>宣传</w:t>
      </w:r>
      <w:r>
        <w:rPr>
          <w:rFonts w:hint="eastAsia" w:ascii="仿宋_GB2312" w:hAnsi="仿宋_GB2312" w:eastAsia="仿宋_GB2312" w:cs="仿宋_GB2312"/>
          <w:i w:val="0"/>
          <w:iCs w:val="0"/>
          <w:caps w:val="0"/>
          <w:color w:val="auto"/>
          <w:spacing w:val="0"/>
          <w:sz w:val="32"/>
          <w:szCs w:val="32"/>
          <w:shd w:val="clear" w:color="auto" w:fill="FFFFFF"/>
        </w:rPr>
        <w:t>三孩政策、优生优育知识</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r>
        <w:rPr>
          <w:rFonts w:hint="eastAsia" w:ascii="仿宋_GB2312" w:hAnsi="仿宋_GB2312" w:eastAsia="仿宋_GB2312" w:cs="仿宋_GB2312"/>
          <w:i w:val="0"/>
          <w:iCs w:val="0"/>
          <w:caps w:val="0"/>
          <w:color w:val="auto"/>
          <w:spacing w:val="0"/>
          <w:sz w:val="32"/>
          <w:szCs w:val="32"/>
          <w:shd w:val="clear" w:color="auto" w:fill="FFFFFF"/>
        </w:rPr>
        <w:t>新的健康理念和生活方式。</w:t>
      </w:r>
      <w:r>
        <w:rPr>
          <w:rFonts w:hint="eastAsia" w:ascii="仿宋_GB2312" w:hAnsi="仿宋_GB2312" w:eastAsia="仿宋_GB2312" w:cs="仿宋_GB2312"/>
          <w:color w:val="auto"/>
          <w:sz w:val="32"/>
          <w:szCs w:val="32"/>
          <w:lang w:val="en-US" w:eastAsia="zh-CN"/>
        </w:rPr>
        <w:t>社区计生工作人员联合辖区卫生服务中心在小区内开展了义诊主题活动，现场为居民免费测血压、听诊、提供健康咨询等服务。暖心的健康义诊服务给居民们送去了他们最需要的健康服务，贴心的服务让他们切实感受到了来自社区的关爱。</w:t>
      </w:r>
      <w:r>
        <w:rPr>
          <w:rFonts w:hint="eastAsia" w:ascii="仿宋_GB2312" w:hAnsi="仿宋_GB2312" w:eastAsia="仿宋_GB2312" w:cs="仿宋_GB2312"/>
          <w:sz w:val="32"/>
          <w:szCs w:val="32"/>
          <w:lang w:val="en-US" w:eastAsia="zh-CN"/>
        </w:rPr>
        <w:t>由各村三委班子成员、妇联主任、自管小组长及村上志愿者组成慰问小组，对村上贫困计生母亲、特殊困难家庭进行了慰问，为特困家庭进行卫生清洁。为特殊群体进行免费理发、开展心理慰藉等。充分关怀弱势群体，为群众树立了计生协会服务群众的良好形象。</w:t>
      </w:r>
      <w:r>
        <w:rPr>
          <w:rFonts w:hint="eastAsia" w:ascii="仿宋_GB2312" w:hAnsi="仿宋_GB2312" w:eastAsia="仿宋_GB2312" w:cs="仿宋_GB2312"/>
          <w:color w:val="auto"/>
          <w:sz w:val="32"/>
          <w:szCs w:val="32"/>
          <w:lang w:val="en-US" w:eastAsia="zh-CN"/>
        </w:rPr>
        <w:t>活动以来，</w:t>
      </w:r>
      <w:r>
        <w:rPr>
          <w:rFonts w:hint="eastAsia" w:ascii="仿宋_GB2312" w:hAnsi="楷体_GB2312" w:eastAsia="仿宋_GB2312" w:cs="楷体_GB2312"/>
          <w:sz w:val="32"/>
          <w:szCs w:val="32"/>
        </w:rPr>
        <w:t>累计开展宣传活动44场次，宣传人数3</w:t>
      </w:r>
      <w:r>
        <w:rPr>
          <w:rFonts w:hint="eastAsia" w:ascii="仿宋_GB2312" w:hAnsi="楷体_GB2312" w:eastAsia="仿宋_GB2312" w:cs="楷体_GB2312"/>
          <w:sz w:val="32"/>
          <w:szCs w:val="32"/>
          <w:lang w:val="en-US" w:eastAsia="zh-CN"/>
        </w:rPr>
        <w:t>9</w:t>
      </w:r>
      <w:r>
        <w:rPr>
          <w:rFonts w:hint="eastAsia" w:ascii="仿宋_GB2312" w:hAnsi="楷体_GB2312" w:eastAsia="仿宋_GB2312" w:cs="楷体_GB2312"/>
          <w:sz w:val="32"/>
          <w:szCs w:val="32"/>
        </w:rPr>
        <w:t>07余人，开展慰问服务活动</w:t>
      </w:r>
      <w:r>
        <w:rPr>
          <w:rFonts w:hint="eastAsia" w:ascii="仿宋_GB2312" w:hAnsi="楷体_GB2312" w:eastAsia="仿宋_GB2312" w:cs="楷体_GB2312"/>
          <w:sz w:val="32"/>
          <w:szCs w:val="32"/>
          <w:lang w:val="en-US" w:eastAsia="zh-CN"/>
        </w:rPr>
        <w:t>40</w:t>
      </w:r>
      <w:r>
        <w:rPr>
          <w:rFonts w:hint="eastAsia" w:ascii="仿宋_GB2312" w:hAnsi="楷体_GB2312" w:eastAsia="仿宋_GB2312" w:cs="楷体_GB2312"/>
          <w:sz w:val="32"/>
          <w:szCs w:val="32"/>
        </w:rPr>
        <w:t>场次共计</w:t>
      </w:r>
      <w:r>
        <w:rPr>
          <w:rFonts w:hint="eastAsia" w:ascii="仿宋_GB2312" w:hAnsi="楷体_GB2312" w:eastAsia="仿宋_GB2312" w:cs="楷体_GB2312"/>
          <w:sz w:val="32"/>
          <w:szCs w:val="32"/>
          <w:lang w:val="en-US" w:eastAsia="zh-CN"/>
        </w:rPr>
        <w:t>2548</w:t>
      </w:r>
      <w:r>
        <w:rPr>
          <w:rFonts w:hint="eastAsia" w:ascii="仿宋_GB2312" w:hAnsi="楷体_GB2312" w:eastAsia="仿宋_GB2312" w:cs="楷体_GB2312"/>
          <w:sz w:val="32"/>
          <w:szCs w:val="32"/>
        </w:rPr>
        <w:t>人，开展服务活动29场次共计2</w:t>
      </w:r>
      <w:r>
        <w:rPr>
          <w:rFonts w:hint="eastAsia" w:ascii="仿宋_GB2312" w:hAnsi="楷体_GB2312" w:eastAsia="仿宋_GB2312" w:cs="楷体_GB2312"/>
          <w:sz w:val="32"/>
          <w:szCs w:val="32"/>
          <w:lang w:val="en-US" w:eastAsia="zh-CN"/>
        </w:rPr>
        <w:t>337</w:t>
      </w:r>
      <w:r>
        <w:rPr>
          <w:rFonts w:hint="eastAsia" w:ascii="仿宋_GB2312" w:hAnsi="楷体_GB2312" w:eastAsia="仿宋_GB2312" w:cs="楷体_GB2312"/>
          <w:sz w:val="32"/>
          <w:szCs w:val="32"/>
        </w:rPr>
        <w:t>人，发放各类宣传彩页</w:t>
      </w:r>
      <w:r>
        <w:rPr>
          <w:rFonts w:hint="eastAsia" w:ascii="仿宋_GB2312" w:hAnsi="楷体_GB2312" w:eastAsia="仿宋_GB2312" w:cs="楷体_GB2312"/>
          <w:sz w:val="32"/>
          <w:szCs w:val="32"/>
          <w:lang w:val="en-US" w:eastAsia="zh-CN"/>
        </w:rPr>
        <w:t>3660</w:t>
      </w:r>
      <w:r>
        <w:rPr>
          <w:rFonts w:hint="eastAsia" w:ascii="仿宋_GB2312" w:hAnsi="楷体_GB2312" w:eastAsia="仿宋_GB2312" w:cs="楷体_GB2312"/>
          <w:sz w:val="32"/>
          <w:szCs w:val="32"/>
        </w:rPr>
        <w:t>余份，各种小礼品</w:t>
      </w:r>
      <w:r>
        <w:rPr>
          <w:rFonts w:hint="eastAsia" w:ascii="仿宋_GB2312" w:hAnsi="楷体_GB2312" w:eastAsia="仿宋_GB2312" w:cs="楷体_GB2312"/>
          <w:sz w:val="32"/>
          <w:szCs w:val="32"/>
          <w:lang w:val="en-US" w:eastAsia="zh-CN"/>
        </w:rPr>
        <w:t>2380</w:t>
      </w:r>
      <w:r>
        <w:rPr>
          <w:rFonts w:hint="eastAsia" w:ascii="仿宋_GB2312" w:hAnsi="楷体_GB2312" w:eastAsia="仿宋_GB2312" w:cs="楷体_GB2312"/>
          <w:sz w:val="32"/>
          <w:szCs w:val="32"/>
        </w:rPr>
        <w:t>余份，悬挂开展宣传服务活动等内容的横幅</w:t>
      </w:r>
      <w:r>
        <w:rPr>
          <w:rFonts w:hint="eastAsia" w:ascii="仿宋_GB2312" w:hAnsi="楷体_GB2312" w:eastAsia="仿宋_GB2312" w:cs="楷体_GB2312"/>
          <w:sz w:val="32"/>
          <w:szCs w:val="32"/>
          <w:lang w:val="en-US" w:eastAsia="zh-CN"/>
        </w:rPr>
        <w:t>16余</w:t>
      </w:r>
      <w:r>
        <w:rPr>
          <w:rFonts w:hint="eastAsia" w:ascii="仿宋_GB2312" w:hAnsi="楷体_GB2312" w:eastAsia="仿宋_GB2312" w:cs="楷体_GB2312"/>
          <w:sz w:val="32"/>
          <w:szCs w:val="32"/>
        </w:rPr>
        <w:t>条，展出宣传版面3块</w:t>
      </w:r>
      <w:r>
        <w:rPr>
          <w:rFonts w:hint="eastAsia" w:ascii="仿宋_GB2312" w:hAnsi="楷体_GB2312" w:eastAsia="仿宋_GB2312" w:cs="楷体_GB2312"/>
          <w:sz w:val="32"/>
          <w:szCs w:val="32"/>
          <w:lang w:eastAsia="zh-CN"/>
        </w:rPr>
        <w:t>。</w:t>
      </w:r>
    </w:p>
    <w:p w14:paraId="140AEF3F">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17F8B02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不仅给辖区居民进一步宣传了三孩政策，还增强了新型婚育观念，推进了家庭文明建设，倡导了健康生活方式，提高了群众健康的素养和水平。充分</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发挥基层卫生及计生的网底作用，进一步提升群众对妇幼健康知识的知晓度，不断推进新时代妇幼健康工作高质量发展，</w:t>
      </w:r>
      <w:r>
        <w:rPr>
          <w:rFonts w:hint="eastAsia" w:ascii="仿宋_GB2312" w:hAnsi="仿宋_GB2312" w:eastAsia="仿宋_GB2312" w:cs="仿宋_GB2312"/>
          <w:sz w:val="32"/>
          <w:szCs w:val="32"/>
        </w:rPr>
        <w:t>推动构建新型婚育文化和生育友好型社会，营造有利于</w:t>
      </w:r>
      <w:r>
        <w:rPr>
          <w:rFonts w:hint="eastAsia" w:ascii="仿宋_GB2312" w:hAnsi="仿宋_GB2312" w:eastAsia="仿宋_GB2312" w:cs="仿宋_GB2312"/>
          <w:sz w:val="32"/>
          <w:szCs w:val="32"/>
          <w:lang w:eastAsia="zh-CN"/>
        </w:rPr>
        <w:t>新区</w:t>
      </w:r>
      <w:r>
        <w:rPr>
          <w:rFonts w:hint="eastAsia" w:ascii="仿宋_GB2312" w:hAnsi="仿宋_GB2312" w:eastAsia="仿宋_GB2312" w:cs="仿宋_GB2312"/>
          <w:sz w:val="32"/>
          <w:szCs w:val="32"/>
        </w:rPr>
        <w:t>人口长期均衡发展的良好氛围</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w:t>
      </w:r>
    </w:p>
    <w:p w14:paraId="62F48BB9">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6BE5A2E4">
      <w:pPr>
        <w:spacing w:line="500" w:lineRule="exact"/>
        <w:ind w:firstLine="640" w:firstLineChars="200"/>
        <w:outlineLvl w:val="0"/>
        <w:rPr>
          <w:rFonts w:hint="eastAsia" w:ascii="楷体" w:hAnsi="楷体" w:eastAsia="楷体" w:cs="楷体"/>
          <w:b/>
          <w:bCs/>
          <w:szCs w:val="32"/>
          <w:lang w:eastAsia="zh-CN"/>
        </w:rPr>
      </w:pPr>
      <w:r>
        <w:rPr>
          <w:rFonts w:hint="eastAsia" w:ascii="仿宋_GB2312" w:hAnsi="仿宋_GB2312" w:eastAsia="仿宋_GB2312" w:cs="仿宋_GB2312"/>
          <w:sz w:val="32"/>
          <w:szCs w:val="32"/>
        </w:rPr>
        <w:t>通过健全覆盖全人群、全生命周期的人口监测体系，密切监测生育形势和人口变动趋势，稳妥有序实施一对夫妻可以生育三个子女政策。</w:t>
      </w:r>
    </w:p>
    <w:p w14:paraId="0F79412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3D3CA0F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2A84E1E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2CDB444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08A9BB5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33EF4E9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2116B4A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32FC94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楷体" w:hAnsi="楷体" w:eastAsia="楷体" w:cs="楷体"/>
          <w:b/>
          <w:bCs/>
          <w:szCs w:val="32"/>
          <w:lang w:eastAsia="zh-CN"/>
        </w:rPr>
      </w:pPr>
      <w:r>
        <w:rPr>
          <w:rFonts w:hint="eastAsia" w:ascii="仿宋_GB2312" w:hAnsi="仿宋_GB2312" w:eastAsia="仿宋_GB2312" w:cs="仿宋_GB2312"/>
          <w:b w:val="0"/>
          <w:bCs w:val="0"/>
          <w:color w:val="000000"/>
          <w:sz w:val="32"/>
          <w:szCs w:val="32"/>
          <w:lang w:val="en-US" w:eastAsia="zh-CN"/>
        </w:rPr>
        <w:t>无。</w:t>
      </w:r>
    </w:p>
    <w:p w14:paraId="0C6999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default" w:ascii="楷体_GB2312" w:hAnsi="楷体_GB2312" w:eastAsia="楷体" w:cs="楷体_GB2312"/>
          <w:b/>
          <w:bCs/>
          <w:color w:val="000000" w:themeColor="text1"/>
          <w:szCs w:val="32"/>
          <w:lang w:val="en-US" w:eastAsia="zh-CN"/>
        </w:rPr>
      </w:pPr>
      <w:r>
        <w:rPr>
          <w:rFonts w:hint="eastAsia" w:ascii="楷体" w:hAnsi="楷体" w:eastAsia="楷体" w:cs="楷体"/>
          <w:b/>
          <w:bCs/>
          <w:szCs w:val="32"/>
        </w:rPr>
        <w:t>（十三）</w:t>
      </w:r>
      <w:r>
        <w:rPr>
          <w:rFonts w:hint="eastAsia" w:ascii="楷体" w:hAnsi="楷体" w:eastAsia="楷体" w:cs="楷体"/>
          <w:b/>
          <w:bCs/>
          <w:szCs w:val="32"/>
          <w:lang w:eastAsia="zh-CN"/>
        </w:rPr>
        <w:t>卫和监督检测项目经费</w:t>
      </w:r>
    </w:p>
    <w:p w14:paraId="75D63DAB">
      <w:pPr>
        <w:pStyle w:val="2"/>
        <w:pageBreakBefore w:val="0"/>
        <w:widowControl/>
        <w:numPr>
          <w:ilvl w:val="0"/>
          <w:numId w:val="10"/>
        </w:numPr>
        <w:kinsoku w:val="0"/>
        <w:wordWrap/>
        <w:overflowPunct/>
        <w:topLinePunct w:val="0"/>
        <w:autoSpaceDE w:val="0"/>
        <w:autoSpaceDN w:val="0"/>
        <w:bidi w:val="0"/>
        <w:adjustRightInd w:val="0"/>
        <w:snapToGrid w:val="0"/>
        <w:spacing w:line="560" w:lineRule="exact"/>
        <w:textAlignment w:val="baseline"/>
        <w:rPr>
          <w:rFonts w:hint="eastAsia" w:ascii="黑体" w:hAnsi="黑体" w:eastAsia="黑体"/>
          <w:b w:val="0"/>
          <w:bCs/>
          <w:color w:val="auto"/>
          <w:sz w:val="32"/>
          <w:szCs w:val="32"/>
        </w:rPr>
      </w:pPr>
      <w:r>
        <w:rPr>
          <w:rFonts w:hint="eastAsia" w:ascii="黑体" w:hAnsi="黑体" w:eastAsia="黑体"/>
          <w:b w:val="0"/>
          <w:bCs/>
          <w:color w:val="auto"/>
          <w:sz w:val="32"/>
          <w:szCs w:val="32"/>
        </w:rPr>
        <w:t>项目基本情况</w:t>
      </w:r>
    </w:p>
    <w:p w14:paraId="44663FDE">
      <w:pPr>
        <w:pageBreakBefore w:val="0"/>
        <w:widowControl/>
        <w:numPr>
          <w:ilvl w:val="0"/>
          <w:numId w:val="11"/>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楷体_GB2312" w:eastAsia="楷体_GB2312"/>
          <w:color w:val="auto"/>
          <w:sz w:val="32"/>
          <w:szCs w:val="32"/>
        </w:rPr>
      </w:pPr>
      <w:r>
        <w:rPr>
          <w:rFonts w:hint="eastAsia" w:ascii="楷体_GB2312" w:eastAsia="楷体_GB2312"/>
          <w:color w:val="auto"/>
          <w:sz w:val="32"/>
          <w:szCs w:val="32"/>
        </w:rPr>
        <w:t>项目背景</w:t>
      </w:r>
    </w:p>
    <w:p w14:paraId="01F958D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《公共场所卫生管理条例实施细则》第三十二条县级以上人民政府卫生计生行政部门应当加强公共场所卫生监督抽检，并将抽检结果向社会公布</w:t>
      </w:r>
      <w:r>
        <w:rPr>
          <w:rFonts w:hint="eastAsia" w:ascii="仿宋_GB2312" w:hAnsi="仿宋_GB2312" w:eastAsia="仿宋_GB2312" w:cs="仿宋_GB2312"/>
          <w:color w:val="auto"/>
          <w:lang w:eastAsia="zh-CN"/>
        </w:rPr>
        <w:t>。</w:t>
      </w:r>
    </w:p>
    <w:p w14:paraId="2CFF65AE">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《消毒管理办法》第三十六条　县级以上卫生计生行政部门对消毒工作行使下列监督管理职权：（三）对消毒产品的卫生质量进行监督检查；（四）对消毒服务机构的消毒服务质量进行监督检查；</w:t>
      </w:r>
    </w:p>
    <w:p w14:paraId="2F9F3587">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3.《甘肃省法制宣传教育条例》第六条 法制宣传教育经费应当列入同级政府财政预算，专款专用。</w:t>
      </w:r>
    </w:p>
    <w:p w14:paraId="41B1C00A">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4.《托儿所、幼儿园建筑设计规范》（JGJ 39-2016）第5.1.1、6.3.4条规定及《中小学校教室采光和照明卫生标准》（GB7793-2010）《中小学校设计规范》（GB50099-2011）第9.2、9.3关于教室的采光要求和照明要求。</w:t>
      </w:r>
    </w:p>
    <w:p w14:paraId="0A777E1E">
      <w:pPr>
        <w:pageBreakBefore w:val="0"/>
        <w:widowControl/>
        <w:numPr>
          <w:ilvl w:val="0"/>
          <w:numId w:val="11"/>
        </w:numPr>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楷体_GB2312" w:eastAsia="楷体_GB2312"/>
          <w:color w:val="auto"/>
          <w:sz w:val="32"/>
          <w:szCs w:val="32"/>
        </w:rPr>
      </w:pPr>
      <w:r>
        <w:rPr>
          <w:rFonts w:hint="eastAsia" w:ascii="楷体_GB2312" w:eastAsia="楷体_GB2312"/>
          <w:color w:val="auto"/>
          <w:sz w:val="32"/>
          <w:szCs w:val="32"/>
        </w:rPr>
        <w:t>项目内容</w:t>
      </w:r>
    </w:p>
    <w:p w14:paraId="787160B0">
      <w:pPr>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ascii="仿宋_GB2312" w:eastAsia="仿宋_GB2312"/>
          <w:color w:val="auto"/>
          <w:sz w:val="32"/>
          <w:szCs w:val="32"/>
        </w:rPr>
      </w:pPr>
      <w:r>
        <w:rPr>
          <w:rFonts w:hint="eastAsia" w:ascii="仿宋_GB2312" w:eastAsia="仿宋_GB2312"/>
          <w:color w:val="auto"/>
          <w:sz w:val="32"/>
          <w:szCs w:val="32"/>
        </w:rPr>
        <w:t>包括项目主要内容、实施方案等。</w:t>
      </w:r>
    </w:p>
    <w:p w14:paraId="3344A60F">
      <w:pPr>
        <w:pageBreakBefore w:val="0"/>
        <w:widowControl/>
        <w:kinsoku w:val="0"/>
        <w:wordWrap/>
        <w:overflowPunct/>
        <w:topLinePunct w:val="0"/>
        <w:autoSpaceDE w:val="0"/>
        <w:autoSpaceDN w:val="0"/>
        <w:bidi w:val="0"/>
        <w:adjustRightInd w:val="0"/>
        <w:snapToGrid w:val="0"/>
        <w:spacing w:line="560" w:lineRule="exact"/>
        <w:ind w:firstLine="643" w:firstLineChars="200"/>
        <w:jc w:val="left"/>
        <w:textAlignment w:val="baseline"/>
        <w:rPr>
          <w:rFonts w:ascii="仿宋_GB2312" w:eastAsia="仿宋_GB2312"/>
          <w:color w:val="auto"/>
          <w:sz w:val="32"/>
          <w:szCs w:val="32"/>
        </w:rPr>
      </w:pPr>
      <w:r>
        <w:rPr>
          <w:rFonts w:hint="eastAsia" w:ascii="仿宋_GB2312" w:eastAsia="仿宋_GB2312"/>
          <w:b/>
          <w:bCs/>
          <w:color w:val="auto"/>
          <w:sz w:val="32"/>
          <w:szCs w:val="32"/>
        </w:rPr>
        <w:t>主要内容：</w:t>
      </w:r>
      <w:r>
        <w:rPr>
          <w:rFonts w:hint="eastAsia" w:ascii="仿宋_GB2312" w:hAnsi="仿宋_GB2312" w:eastAsia="仿宋_GB2312" w:cs="仿宋_GB2312"/>
          <w:color w:val="auto"/>
          <w:lang w:val="en-US" w:eastAsia="zh-CN"/>
        </w:rPr>
        <w:t>2023年对新区范围内医疗机构、学校、公共场所、供水单位、消毒监测等开展双随机抽检；开展卫生法治宣传培训；实施监督执法能力提升。</w:t>
      </w:r>
    </w:p>
    <w:p w14:paraId="576B68A7">
      <w:pPr>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ascii="仿宋_GB2312" w:eastAsia="仿宋_GB2312"/>
          <w:color w:val="auto"/>
          <w:sz w:val="32"/>
          <w:szCs w:val="32"/>
        </w:rPr>
      </w:pPr>
      <w:r>
        <w:rPr>
          <w:rFonts w:hint="eastAsia" w:ascii="仿宋_GB2312" w:eastAsia="仿宋_GB2312"/>
          <w:b/>
          <w:bCs/>
          <w:color w:val="auto"/>
          <w:sz w:val="32"/>
          <w:szCs w:val="32"/>
        </w:rPr>
        <w:t>实施方案：</w:t>
      </w:r>
      <w:r>
        <w:rPr>
          <w:rFonts w:hint="eastAsia" w:ascii="仿宋_GB2312" w:hAnsi="仿宋_GB2312" w:eastAsia="仿宋_GB2312" w:cs="仿宋_GB2312"/>
          <w:color w:val="auto"/>
          <w:lang w:val="en-US" w:eastAsia="zh-CN"/>
        </w:rPr>
        <w:t>《2023年兰州新区医疗卫生领域卫生监督及监测计划》</w:t>
      </w:r>
    </w:p>
    <w:p w14:paraId="42FD2B25">
      <w:pPr>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楷体_GB2312" w:eastAsia="楷体_GB2312"/>
          <w:color w:val="auto"/>
          <w:sz w:val="32"/>
          <w:szCs w:val="32"/>
        </w:rPr>
      </w:pPr>
      <w:r>
        <w:rPr>
          <w:rFonts w:hint="eastAsia" w:ascii="楷体_GB2312" w:eastAsia="楷体_GB2312"/>
          <w:color w:val="auto"/>
          <w:sz w:val="32"/>
          <w:szCs w:val="32"/>
        </w:rPr>
        <w:t>（三）绩效目标</w:t>
      </w:r>
    </w:p>
    <w:p w14:paraId="79CF93CA">
      <w:pPr>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color w:val="auto"/>
          <w:lang w:val="en-US" w:eastAsia="zh-CN"/>
        </w:rPr>
      </w:pPr>
      <w:r>
        <w:rPr>
          <w:rFonts w:hint="eastAsia" w:ascii="仿宋_GB2312" w:eastAsia="仿宋_GB2312"/>
          <w:b/>
          <w:bCs/>
          <w:color w:val="auto"/>
          <w:sz w:val="32"/>
          <w:szCs w:val="32"/>
        </w:rPr>
        <w:t>总体目标：</w:t>
      </w:r>
      <w:r>
        <w:rPr>
          <w:rFonts w:hint="eastAsia" w:ascii="仿宋_GB2312" w:hAnsi="仿宋_GB2312" w:eastAsia="仿宋_GB2312" w:cs="仿宋_GB2312"/>
          <w:color w:val="auto"/>
          <w:lang w:val="en-US" w:eastAsia="zh-CN"/>
        </w:rPr>
        <w:t>通过卫生健康全行业监督抽检监测，规范新区卫生行政执法工作、完成国家及省卫生监督监测任务，使新区人居卫生环境得到有效提升、群众满意度显著提升，进一步改善新区卫生环境，切实保障新区人民群众身体健康。制作法治、诚信、卫生健康等宣传资料及开展相关培训，倡导诚信守法的卫生健康系统新面貌，营造良好的新区卫生健康领域营商环境。</w:t>
      </w:r>
    </w:p>
    <w:p w14:paraId="153B894D">
      <w:pPr>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楷体_GB2312" w:eastAsia="楷体_GB2312"/>
          <w:color w:val="auto"/>
          <w:sz w:val="32"/>
          <w:szCs w:val="32"/>
        </w:rPr>
      </w:pPr>
      <w:r>
        <w:rPr>
          <w:rFonts w:hint="eastAsia" w:ascii="楷体_GB2312" w:eastAsia="楷体_GB2312"/>
          <w:color w:val="auto"/>
          <w:sz w:val="32"/>
          <w:szCs w:val="32"/>
        </w:rPr>
        <w:t>（四）项目预算情况</w:t>
      </w:r>
    </w:p>
    <w:p w14:paraId="53973C4A">
      <w:pPr>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年初预算</w:t>
      </w:r>
      <w:r>
        <w:rPr>
          <w:rFonts w:hint="eastAsia" w:ascii="仿宋_GB2312" w:hAnsi="仿宋_GB2312" w:eastAsia="仿宋_GB2312" w:cs="仿宋_GB2312"/>
          <w:color w:val="auto"/>
          <w:lang w:val="en-US" w:eastAsia="zh-CN"/>
        </w:rPr>
        <w:t>20</w:t>
      </w:r>
      <w:r>
        <w:rPr>
          <w:rFonts w:hint="eastAsia" w:ascii="仿宋_GB2312" w:hAnsi="仿宋_GB2312" w:eastAsia="仿宋_GB2312" w:cs="仿宋_GB2312"/>
          <w:color w:val="auto"/>
        </w:rPr>
        <w:t>万。</w:t>
      </w:r>
      <w:r>
        <w:rPr>
          <w:rFonts w:hint="eastAsia" w:ascii="仿宋_GB2312" w:hAnsi="仿宋_GB2312" w:eastAsia="仿宋_GB2312" w:cs="仿宋_GB2312"/>
          <w:color w:val="auto"/>
          <w:lang w:eastAsia="zh-CN"/>
        </w:rPr>
        <w:t>项目</w:t>
      </w:r>
      <w:r>
        <w:rPr>
          <w:rFonts w:hint="eastAsia" w:ascii="仿宋_GB2312" w:hAnsi="仿宋_GB2312" w:eastAsia="仿宋_GB2312" w:cs="仿宋_GB2312"/>
          <w:color w:val="auto"/>
        </w:rPr>
        <w:t>年度无调整</w:t>
      </w:r>
      <w:r>
        <w:rPr>
          <w:rFonts w:hint="eastAsia" w:ascii="仿宋_GB2312" w:hAnsi="仿宋_GB2312" w:eastAsia="仿宋_GB2312" w:cs="仿宋_GB2312"/>
          <w:color w:val="auto"/>
          <w:lang w:eastAsia="zh-CN"/>
        </w:rPr>
        <w:t>。一是</w:t>
      </w:r>
      <w:r>
        <w:rPr>
          <w:rFonts w:hint="eastAsia" w:ascii="仿宋_GB2312" w:hAnsi="仿宋_GB2312" w:eastAsia="仿宋_GB2312" w:cs="仿宋_GB2312"/>
          <w:color w:val="auto"/>
        </w:rPr>
        <w:t>采取政府购买第三方服务方式，</w:t>
      </w:r>
      <w:r>
        <w:rPr>
          <w:rFonts w:hint="eastAsia" w:ascii="仿宋_GB2312" w:hAnsi="仿宋_GB2312" w:eastAsia="仿宋_GB2312" w:cs="仿宋_GB2312"/>
          <w:color w:val="auto"/>
          <w:lang w:val="en-US" w:eastAsia="zh-CN"/>
        </w:rPr>
        <w:t>开展</w:t>
      </w:r>
      <w:r>
        <w:rPr>
          <w:rFonts w:hint="eastAsia" w:ascii="仿宋_GB2312" w:hAnsi="仿宋_GB2312" w:eastAsia="仿宋_GB2312" w:cs="仿宋_GB2312"/>
          <w:color w:val="auto"/>
        </w:rPr>
        <w:t>公共场所、学校、餐饮具集中消毒服务单位、供水单位</w:t>
      </w:r>
      <w:r>
        <w:rPr>
          <w:rFonts w:hint="eastAsia" w:ascii="仿宋_GB2312" w:hAnsi="仿宋_GB2312" w:eastAsia="仿宋_GB2312" w:cs="仿宋_GB2312"/>
          <w:color w:val="auto"/>
          <w:lang w:eastAsia="zh-CN"/>
        </w:rPr>
        <w:t>等卫生监督抽检及监测工作；二是</w:t>
      </w:r>
      <w:r>
        <w:rPr>
          <w:rFonts w:hint="eastAsia" w:ascii="仿宋_GB2312" w:hAnsi="仿宋_GB2312" w:eastAsia="仿宋_GB2312" w:cs="仿宋_GB2312"/>
          <w:color w:val="auto"/>
        </w:rPr>
        <w:t>开展卫生</w:t>
      </w:r>
      <w:r>
        <w:rPr>
          <w:rFonts w:hint="eastAsia" w:ascii="仿宋_GB2312" w:hAnsi="仿宋_GB2312" w:eastAsia="仿宋_GB2312" w:cs="仿宋_GB2312"/>
          <w:color w:val="auto"/>
          <w:lang w:eastAsia="zh-CN"/>
        </w:rPr>
        <w:t>法治</w:t>
      </w:r>
      <w:r>
        <w:rPr>
          <w:rFonts w:hint="eastAsia" w:ascii="仿宋_GB2312" w:hAnsi="仿宋_GB2312" w:eastAsia="仿宋_GB2312" w:cs="仿宋_GB2312"/>
          <w:color w:val="auto"/>
        </w:rPr>
        <w:t>宣传培训</w:t>
      </w:r>
      <w:r>
        <w:rPr>
          <w:rFonts w:hint="eastAsia" w:ascii="仿宋_GB2312" w:hAnsi="仿宋_GB2312" w:eastAsia="仿宋_GB2312" w:cs="仿宋_GB2312"/>
          <w:color w:val="auto"/>
          <w:lang w:eastAsia="zh-CN"/>
        </w:rPr>
        <w:t>。</w:t>
      </w:r>
    </w:p>
    <w:p w14:paraId="61F885AB">
      <w:pPr>
        <w:pageBreakBefore w:val="0"/>
        <w:widowControl/>
        <w:numPr>
          <w:ilvl w:val="0"/>
          <w:numId w:val="1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ascii="黑体" w:hAnsi="黑体" w:eastAsia="黑体"/>
          <w:color w:val="auto"/>
          <w:sz w:val="32"/>
          <w:szCs w:val="32"/>
        </w:rPr>
      </w:pPr>
      <w:r>
        <w:rPr>
          <w:rFonts w:hint="eastAsia" w:ascii="黑体" w:hAnsi="黑体" w:eastAsia="黑体"/>
          <w:color w:val="auto"/>
          <w:sz w:val="32"/>
          <w:szCs w:val="32"/>
        </w:rPr>
        <w:t>监控结论及分析</w:t>
      </w:r>
    </w:p>
    <w:p w14:paraId="184C571E">
      <w:pPr>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color w:val="auto"/>
        </w:rPr>
      </w:pPr>
      <w:r>
        <w:rPr>
          <w:rFonts w:hint="eastAsia" w:ascii="楷体_GB2312" w:eastAsia="楷体_GB2312"/>
          <w:color w:val="auto"/>
          <w:sz w:val="32"/>
          <w:szCs w:val="32"/>
          <w:lang w:eastAsia="zh-CN"/>
        </w:rPr>
        <w:t>（一）</w:t>
      </w:r>
      <w:r>
        <w:rPr>
          <w:rFonts w:hint="eastAsia" w:ascii="楷体_GB2312" w:eastAsia="楷体_GB2312"/>
          <w:color w:val="auto"/>
          <w:sz w:val="32"/>
          <w:szCs w:val="32"/>
        </w:rPr>
        <w:t>项目管理情况</w:t>
      </w:r>
    </w:p>
    <w:p w14:paraId="400C8A68">
      <w:pPr>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202</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年按照</w:t>
      </w:r>
      <w:r>
        <w:rPr>
          <w:rFonts w:hint="eastAsia" w:ascii="仿宋_GB2312" w:hAnsi="仿宋_GB2312" w:eastAsia="仿宋_GB2312" w:cs="仿宋_GB2312"/>
          <w:color w:val="auto"/>
          <w:lang w:val="en-US" w:eastAsia="zh-CN"/>
        </w:rPr>
        <w:t>《2023年兰州新区医疗卫生领域卫生监督及监测计划》</w:t>
      </w:r>
      <w:r>
        <w:rPr>
          <w:rFonts w:hint="eastAsia" w:ascii="仿宋_GB2312" w:hAnsi="仿宋_GB2312" w:eastAsia="仿宋_GB2312" w:cs="仿宋_GB2312"/>
          <w:color w:val="auto"/>
        </w:rPr>
        <w:t>执行。</w:t>
      </w:r>
    </w:p>
    <w:p w14:paraId="28D559BA">
      <w:pPr>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楷体_GB2312" w:eastAsia="楷体_GB2312"/>
          <w:color w:val="auto"/>
          <w:sz w:val="32"/>
          <w:szCs w:val="32"/>
        </w:rPr>
      </w:pPr>
      <w:r>
        <w:rPr>
          <w:rFonts w:hint="eastAsia" w:ascii="楷体_GB2312" w:eastAsia="楷体_GB2312"/>
          <w:color w:val="auto"/>
          <w:sz w:val="32"/>
          <w:szCs w:val="32"/>
        </w:rPr>
        <w:t>（二）预算执行情况。</w:t>
      </w:r>
    </w:p>
    <w:p w14:paraId="45853FFE">
      <w:pPr>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eastAsia="仿宋_GB2312"/>
          <w:color w:val="auto"/>
          <w:sz w:val="32"/>
          <w:szCs w:val="32"/>
          <w:lang w:val="en-US" w:eastAsia="zh-CN"/>
        </w:rPr>
      </w:pPr>
      <w:r>
        <w:rPr>
          <w:rFonts w:hint="eastAsia" w:ascii="仿宋_GB2312" w:eastAsia="仿宋_GB2312"/>
          <w:b/>
          <w:bCs/>
          <w:color w:val="auto"/>
          <w:sz w:val="32"/>
          <w:szCs w:val="32"/>
        </w:rPr>
        <w:t>预算安排：</w:t>
      </w:r>
      <w:r>
        <w:rPr>
          <w:rFonts w:hint="eastAsia" w:ascii="仿宋_GB2312" w:hAnsi="仿宋_GB2312" w:eastAsia="仿宋_GB2312" w:cs="仿宋_GB2312"/>
          <w:color w:val="auto"/>
        </w:rPr>
        <w:t>共预算</w:t>
      </w:r>
      <w:r>
        <w:rPr>
          <w:rFonts w:hint="eastAsia" w:ascii="仿宋_GB2312" w:hAnsi="仿宋_GB2312" w:eastAsia="仿宋_GB2312" w:cs="仿宋_GB2312"/>
          <w:color w:val="auto"/>
          <w:lang w:val="en-US" w:eastAsia="zh-CN"/>
        </w:rPr>
        <w:t>20</w:t>
      </w:r>
      <w:r>
        <w:rPr>
          <w:rFonts w:hint="eastAsia" w:ascii="仿宋_GB2312" w:hAnsi="仿宋_GB2312" w:eastAsia="仿宋_GB2312" w:cs="仿宋_GB2312"/>
          <w:color w:val="auto"/>
        </w:rPr>
        <w:t>万。1、卫生监督抽检监测经费1</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rPr>
        <w:t>万元。包括医疗机构、学校卫生、公共场所、供水单位监督、消毒监督；</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w:t>
      </w:r>
      <w:r>
        <w:rPr>
          <w:rFonts w:hint="eastAsia" w:ascii="仿宋_GB2312" w:hAnsi="仿宋_GB2312" w:eastAsia="仿宋_GB2312" w:cs="仿宋_GB2312"/>
          <w:color w:val="auto"/>
          <w:lang w:eastAsia="zh-CN"/>
        </w:rPr>
        <w:t>开展</w:t>
      </w:r>
      <w:r>
        <w:rPr>
          <w:rFonts w:hint="eastAsia" w:ascii="仿宋_GB2312" w:hAnsi="仿宋_GB2312" w:eastAsia="仿宋_GB2312" w:cs="仿宋_GB2312"/>
          <w:color w:val="auto"/>
        </w:rPr>
        <w:t>法</w:t>
      </w:r>
      <w:r>
        <w:rPr>
          <w:rFonts w:hint="eastAsia" w:ascii="仿宋_GB2312" w:hAnsi="仿宋_GB2312" w:eastAsia="仿宋_GB2312" w:cs="仿宋_GB2312"/>
          <w:color w:val="auto"/>
          <w:lang w:eastAsia="zh-CN"/>
        </w:rPr>
        <w:t>治</w:t>
      </w:r>
      <w:r>
        <w:rPr>
          <w:rFonts w:hint="eastAsia" w:ascii="仿宋_GB2312" w:hAnsi="仿宋_GB2312" w:eastAsia="仿宋_GB2312" w:cs="仿宋_GB2312"/>
          <w:color w:val="auto"/>
        </w:rPr>
        <w:t>、诚信、卫生健康等相关培训</w:t>
      </w:r>
      <w:r>
        <w:rPr>
          <w:rFonts w:hint="eastAsia" w:ascii="仿宋_GB2312" w:hAnsi="仿宋_GB2312" w:eastAsia="仿宋_GB2312" w:cs="仿宋_GB2312"/>
          <w:color w:val="auto"/>
          <w:lang w:eastAsia="zh-CN"/>
        </w:rPr>
        <w:t>及</w:t>
      </w:r>
      <w:r>
        <w:rPr>
          <w:rFonts w:hint="eastAsia" w:ascii="仿宋_GB2312" w:hAnsi="仿宋_GB2312" w:eastAsia="仿宋_GB2312" w:cs="仿宋_GB2312"/>
          <w:color w:val="auto"/>
        </w:rPr>
        <w:t>制作宣传资料，费用约</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rPr>
        <w:t>万元。</w:t>
      </w:r>
    </w:p>
    <w:p w14:paraId="33A1DB8E">
      <w:pPr>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ascii="仿宋_GB2312" w:eastAsia="仿宋_GB2312"/>
          <w:color w:val="auto"/>
          <w:sz w:val="32"/>
          <w:szCs w:val="32"/>
        </w:rPr>
      </w:pPr>
      <w:r>
        <w:rPr>
          <w:rFonts w:hint="eastAsia" w:ascii="仿宋_GB2312" w:eastAsia="仿宋_GB2312"/>
          <w:b/>
          <w:bCs/>
          <w:color w:val="auto"/>
          <w:sz w:val="32"/>
          <w:szCs w:val="32"/>
        </w:rPr>
        <w:t>预算资金到位情况：</w:t>
      </w:r>
      <w:r>
        <w:rPr>
          <w:rFonts w:hint="eastAsia" w:ascii="仿宋_GB2312" w:eastAsia="仿宋_GB2312"/>
          <w:color w:val="auto"/>
          <w:sz w:val="32"/>
          <w:szCs w:val="32"/>
          <w:lang w:eastAsia="zh-CN"/>
        </w:rPr>
        <w:t>经费</w:t>
      </w:r>
      <w:r>
        <w:rPr>
          <w:rFonts w:hint="eastAsia" w:ascii="仿宋_GB2312" w:eastAsia="仿宋_GB2312"/>
          <w:color w:val="auto"/>
          <w:sz w:val="32"/>
          <w:szCs w:val="32"/>
        </w:rPr>
        <w:t>全部到位。</w:t>
      </w:r>
    </w:p>
    <w:p w14:paraId="7B8C9C22">
      <w:pPr>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eastAsia="仿宋_GB2312"/>
          <w:color w:val="auto"/>
          <w:sz w:val="32"/>
          <w:szCs w:val="32"/>
        </w:rPr>
      </w:pPr>
      <w:r>
        <w:rPr>
          <w:rFonts w:hint="eastAsia" w:ascii="仿宋_GB2312" w:eastAsia="仿宋_GB2312"/>
          <w:b/>
          <w:bCs/>
          <w:color w:val="auto"/>
          <w:sz w:val="32"/>
          <w:szCs w:val="32"/>
        </w:rPr>
        <w:t>项目实际支出：</w:t>
      </w:r>
      <w:r>
        <w:rPr>
          <w:rFonts w:hint="eastAsia" w:ascii="仿宋_GB2312" w:eastAsia="仿宋_GB2312"/>
          <w:color w:val="auto"/>
          <w:sz w:val="32"/>
          <w:szCs w:val="32"/>
        </w:rPr>
        <w:t>1</w:t>
      </w:r>
      <w:r>
        <w:rPr>
          <w:rFonts w:hint="eastAsia" w:ascii="仿宋_GB2312" w:hAnsi="仿宋_GB2312" w:eastAsia="仿宋_GB2312" w:cs="仿宋_GB2312"/>
          <w:color w:val="auto"/>
        </w:rPr>
        <w:t>、卫生监督抽检监测经费1</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rPr>
        <w:t>万元。包括医疗机构、学校卫生、公共场所、供水单位监督、消毒监督；</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lang w:eastAsia="zh-CN"/>
        </w:rPr>
        <w:t>开展</w:t>
      </w:r>
      <w:r>
        <w:rPr>
          <w:rFonts w:hint="eastAsia" w:ascii="仿宋_GB2312" w:hAnsi="仿宋_GB2312" w:eastAsia="仿宋_GB2312" w:cs="仿宋_GB2312"/>
          <w:color w:val="auto"/>
        </w:rPr>
        <w:t>法</w:t>
      </w:r>
      <w:r>
        <w:rPr>
          <w:rFonts w:hint="eastAsia" w:ascii="仿宋_GB2312" w:hAnsi="仿宋_GB2312" w:eastAsia="仿宋_GB2312" w:cs="仿宋_GB2312"/>
          <w:color w:val="auto"/>
          <w:lang w:eastAsia="zh-CN"/>
        </w:rPr>
        <w:t>治</w:t>
      </w:r>
      <w:r>
        <w:rPr>
          <w:rFonts w:hint="eastAsia" w:ascii="仿宋_GB2312" w:hAnsi="仿宋_GB2312" w:eastAsia="仿宋_GB2312" w:cs="仿宋_GB2312"/>
          <w:color w:val="auto"/>
        </w:rPr>
        <w:t>、诚信、卫生健康等相关培训</w:t>
      </w:r>
      <w:r>
        <w:rPr>
          <w:rFonts w:hint="eastAsia" w:ascii="仿宋_GB2312" w:hAnsi="仿宋_GB2312" w:eastAsia="仿宋_GB2312" w:cs="仿宋_GB2312"/>
          <w:color w:val="auto"/>
          <w:lang w:eastAsia="zh-CN"/>
        </w:rPr>
        <w:t>及</w:t>
      </w:r>
      <w:r>
        <w:rPr>
          <w:rFonts w:hint="eastAsia" w:ascii="仿宋_GB2312" w:hAnsi="仿宋_GB2312" w:eastAsia="仿宋_GB2312" w:cs="仿宋_GB2312"/>
          <w:color w:val="auto"/>
        </w:rPr>
        <w:t>制作宣传资料，费用</w:t>
      </w:r>
      <w:r>
        <w:rPr>
          <w:rFonts w:hint="eastAsia" w:ascii="仿宋_GB2312" w:hAnsi="仿宋_GB2312" w:eastAsia="仿宋_GB2312" w:cs="仿宋_GB2312"/>
          <w:color w:val="auto"/>
          <w:lang w:val="en-US" w:eastAsia="zh-CN"/>
        </w:rPr>
        <w:t>4.9</w:t>
      </w:r>
      <w:r>
        <w:rPr>
          <w:rFonts w:hint="eastAsia" w:ascii="仿宋_GB2312" w:hAnsi="仿宋_GB2312" w:eastAsia="仿宋_GB2312" w:cs="仿宋_GB2312"/>
          <w:color w:val="auto"/>
        </w:rPr>
        <w:t>万元。</w:t>
      </w:r>
    </w:p>
    <w:p w14:paraId="1660F8A2">
      <w:pPr>
        <w:pageBreakBefore w:val="0"/>
        <w:widowControl/>
        <w:kinsoku w:val="0"/>
        <w:wordWrap/>
        <w:overflowPunct/>
        <w:topLinePunct w:val="0"/>
        <w:autoSpaceDE w:val="0"/>
        <w:autoSpaceDN w:val="0"/>
        <w:bidi w:val="0"/>
        <w:adjustRightInd w:val="0"/>
        <w:snapToGrid w:val="0"/>
        <w:spacing w:line="560" w:lineRule="exact"/>
        <w:ind w:left="640" w:leftChars="200" w:firstLine="0" w:firstLineChars="0"/>
        <w:textAlignment w:val="baseline"/>
        <w:rPr>
          <w:rFonts w:hint="eastAsia" w:ascii="楷体_GB2312" w:eastAsia="楷体_GB2312"/>
          <w:color w:val="auto"/>
          <w:sz w:val="32"/>
          <w:szCs w:val="32"/>
        </w:rPr>
      </w:pPr>
      <w:r>
        <w:rPr>
          <w:rFonts w:hint="eastAsia" w:ascii="楷体_GB2312" w:eastAsia="楷体_GB2312"/>
          <w:color w:val="auto"/>
          <w:sz w:val="32"/>
          <w:szCs w:val="32"/>
        </w:rPr>
        <w:t>（三）绩效目标完成情况</w:t>
      </w:r>
    </w:p>
    <w:p w14:paraId="72E7FC19">
      <w:pPr>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楷体_GB2312" w:hAnsi="黑体" w:eastAsia="楷体_GB2312" w:cs="黑体"/>
          <w:color w:val="auto"/>
          <w:sz w:val="32"/>
          <w:szCs w:val="32"/>
        </w:rPr>
      </w:pPr>
      <w:r>
        <w:rPr>
          <w:rFonts w:hint="eastAsia" w:ascii="楷体_GB2312" w:hAnsi="黑体" w:eastAsia="楷体_GB2312" w:cs="黑体"/>
          <w:color w:val="auto"/>
          <w:sz w:val="32"/>
          <w:szCs w:val="32"/>
          <w:lang w:val="en-US" w:eastAsia="zh-CN"/>
        </w:rPr>
        <w:t>1.</w:t>
      </w:r>
      <w:r>
        <w:rPr>
          <w:rFonts w:hint="eastAsia" w:ascii="楷体_GB2312" w:hAnsi="黑体" w:eastAsia="楷体_GB2312" w:cs="黑体"/>
          <w:color w:val="auto"/>
          <w:sz w:val="32"/>
          <w:szCs w:val="32"/>
        </w:rPr>
        <w:t>产出指标完成情况分析。</w:t>
      </w:r>
    </w:p>
    <w:p w14:paraId="3559714C">
      <w:pPr>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产出指标分值为50分，得50分。兰州新区卫生健康委员会</w:t>
      </w:r>
      <w:r>
        <w:rPr>
          <w:rFonts w:hint="eastAsia" w:ascii="仿宋_GB2312" w:hAnsi="仿宋_GB2312" w:eastAsia="仿宋_GB2312" w:cs="仿宋_GB2312"/>
          <w:color w:val="auto"/>
          <w:lang w:eastAsia="zh-CN"/>
        </w:rPr>
        <w:t>组织疾控中心</w:t>
      </w:r>
      <w:r>
        <w:rPr>
          <w:rFonts w:hint="eastAsia" w:ascii="仿宋_GB2312" w:hAnsi="仿宋_GB2312" w:eastAsia="仿宋_GB2312" w:cs="仿宋_GB2312"/>
          <w:color w:val="auto"/>
          <w:lang w:val="en-US" w:eastAsia="zh-CN"/>
        </w:rPr>
        <w:t>开展了新区</w:t>
      </w:r>
      <w:r>
        <w:rPr>
          <w:rFonts w:hint="default" w:ascii="仿宋_GB2312" w:hAnsi="仿宋_GB2312" w:eastAsia="仿宋_GB2312" w:cs="仿宋_GB2312"/>
          <w:color w:val="auto"/>
          <w:lang w:val="en-US" w:eastAsia="zh-CN"/>
        </w:rPr>
        <w:t>学校、公共场所、生活饮用水、</w:t>
      </w:r>
      <w:r>
        <w:rPr>
          <w:rFonts w:hint="eastAsia" w:ascii="仿宋_GB2312" w:hAnsi="仿宋_GB2312" w:eastAsia="仿宋_GB2312" w:cs="仿宋_GB2312"/>
          <w:color w:val="auto"/>
          <w:lang w:val="en-US" w:eastAsia="zh-CN"/>
        </w:rPr>
        <w:t>现制</w:t>
      </w:r>
      <w:r>
        <w:rPr>
          <w:rFonts w:hint="default" w:ascii="仿宋_GB2312" w:hAnsi="仿宋_GB2312" w:eastAsia="仿宋_GB2312" w:cs="仿宋_GB2312"/>
          <w:color w:val="auto"/>
          <w:lang w:val="en-US" w:eastAsia="zh-CN"/>
        </w:rPr>
        <w:t>现售饮用水、医疗机构、出厂餐饮具</w:t>
      </w:r>
      <w:r>
        <w:rPr>
          <w:rFonts w:hint="eastAsia" w:ascii="仿宋_GB2312" w:hAnsi="仿宋_GB2312" w:eastAsia="仿宋_GB2312" w:cs="仿宋_GB2312"/>
          <w:color w:val="auto"/>
          <w:lang w:val="en-US" w:eastAsia="zh-CN"/>
        </w:rPr>
        <w:t>等6类</w:t>
      </w:r>
      <w:r>
        <w:rPr>
          <w:rFonts w:hint="default" w:ascii="仿宋_GB2312" w:hAnsi="仿宋_GB2312" w:eastAsia="仿宋_GB2312" w:cs="仿宋_GB2312"/>
          <w:color w:val="auto"/>
          <w:lang w:val="en-US" w:eastAsia="zh-CN"/>
        </w:rPr>
        <w:t>1</w:t>
      </w:r>
      <w:r>
        <w:rPr>
          <w:rFonts w:hint="eastAsia" w:ascii="仿宋_GB2312" w:hAnsi="仿宋_GB2312" w:eastAsia="仿宋_GB2312" w:cs="仿宋_GB2312"/>
          <w:color w:val="auto"/>
          <w:lang w:val="en-US" w:eastAsia="zh-CN"/>
        </w:rPr>
        <w:t>66</w:t>
      </w:r>
      <w:r>
        <w:rPr>
          <w:rFonts w:hint="default" w:ascii="仿宋_GB2312" w:hAnsi="仿宋_GB2312" w:eastAsia="仿宋_GB2312" w:cs="仿宋_GB2312"/>
          <w:color w:val="auto"/>
          <w:lang w:val="en-US" w:eastAsia="zh-CN"/>
        </w:rPr>
        <w:t>家</w:t>
      </w:r>
      <w:r>
        <w:rPr>
          <w:rFonts w:hint="eastAsia" w:ascii="仿宋_GB2312" w:hAnsi="仿宋_GB2312" w:eastAsia="仿宋_GB2312" w:cs="仿宋_GB2312"/>
          <w:color w:val="auto"/>
          <w:lang w:val="en-US" w:eastAsia="zh-CN"/>
        </w:rPr>
        <w:t>公共场所健康危害因素</w:t>
      </w:r>
      <w:r>
        <w:rPr>
          <w:rFonts w:hint="eastAsia" w:ascii="仿宋_GB2312" w:hAnsi="仿宋_GB2312" w:eastAsia="仿宋_GB2312" w:cs="仿宋_GB2312"/>
          <w:color w:val="auto"/>
        </w:rPr>
        <w:t>抽检监测</w:t>
      </w:r>
      <w:r>
        <w:rPr>
          <w:rFonts w:hint="eastAsia" w:ascii="仿宋_GB2312" w:hAnsi="仿宋_GB2312" w:eastAsia="仿宋_GB2312" w:cs="仿宋_GB2312"/>
          <w:color w:val="auto"/>
          <w:lang w:eastAsia="zh-CN"/>
        </w:rPr>
        <w:t>，对检测结果进行公示。</w:t>
      </w:r>
    </w:p>
    <w:p w14:paraId="12A4976F">
      <w:pPr>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楷体_GB2312" w:hAnsi="楷体" w:eastAsia="楷体_GB2312" w:cs="楷体"/>
          <w:color w:val="auto"/>
          <w:sz w:val="32"/>
          <w:szCs w:val="32"/>
        </w:rPr>
      </w:pPr>
      <w:r>
        <w:rPr>
          <w:rFonts w:hint="eastAsia" w:ascii="楷体_GB2312" w:hAnsi="楷体" w:eastAsia="楷体_GB2312" w:cs="楷体"/>
          <w:color w:val="auto"/>
          <w:sz w:val="32"/>
          <w:szCs w:val="32"/>
        </w:rPr>
        <w:t>2.效益指标完成情况分析</w:t>
      </w:r>
    </w:p>
    <w:p w14:paraId="166C2A06">
      <w:pPr>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rPr>
        <w:t>效益指标分值为30分，得</w:t>
      </w:r>
      <w:r>
        <w:rPr>
          <w:rFonts w:hint="eastAsia" w:ascii="仿宋_GB2312" w:hAnsi="仿宋_GB2312" w:eastAsia="仿宋_GB2312" w:cs="仿宋_GB2312"/>
          <w:color w:val="auto"/>
          <w:lang w:val="en-US" w:eastAsia="zh-CN"/>
        </w:rPr>
        <w:t>30</w:t>
      </w:r>
      <w:r>
        <w:rPr>
          <w:rFonts w:hint="eastAsia" w:ascii="仿宋_GB2312" w:hAnsi="仿宋_GB2312" w:eastAsia="仿宋_GB2312" w:cs="仿宋_GB2312"/>
          <w:color w:val="auto"/>
        </w:rPr>
        <w:t>分。兰州新区卫生健康委员会</w:t>
      </w:r>
      <w:r>
        <w:rPr>
          <w:rFonts w:hint="eastAsia" w:ascii="仿宋_GB2312" w:hAnsi="仿宋_GB2312" w:eastAsia="仿宋_GB2312" w:cs="仿宋_GB2312"/>
          <w:color w:val="auto"/>
          <w:lang w:eastAsia="zh-CN"/>
        </w:rPr>
        <w:t>针对</w:t>
      </w:r>
      <w:r>
        <w:rPr>
          <w:rFonts w:hint="eastAsia" w:ascii="仿宋_GB2312" w:hAnsi="仿宋_GB2312" w:eastAsia="仿宋_GB2312" w:cs="仿宋_GB2312"/>
          <w:color w:val="auto"/>
          <w:sz w:val="32"/>
          <w:szCs w:val="32"/>
          <w:lang w:val="en-US" w:eastAsia="zh-CN"/>
        </w:rPr>
        <w:t>行政执法人员、卫生健康从业者为重点对象开展4期法治、诚信、卫生监督工作培训及宣传，</w:t>
      </w:r>
      <w:r>
        <w:rPr>
          <w:rFonts w:hint="eastAsia" w:ascii="仿宋_GB2312" w:hAnsi="仿宋_GB2312" w:eastAsia="仿宋_GB2312" w:cs="仿宋_GB2312"/>
          <w:color w:val="auto"/>
          <w:sz w:val="32"/>
          <w:szCs w:val="32"/>
        </w:rPr>
        <w:t>提高了卫生监督员和</w:t>
      </w:r>
      <w:r>
        <w:rPr>
          <w:rFonts w:hint="eastAsia" w:ascii="仿宋_GB2312" w:hAnsi="仿宋_GB2312" w:eastAsia="仿宋_GB2312" w:cs="仿宋_GB2312"/>
          <w:color w:val="auto"/>
          <w:sz w:val="32"/>
          <w:szCs w:val="32"/>
          <w:lang w:eastAsia="zh-CN"/>
        </w:rPr>
        <w:t>公共场所经营单位</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eastAsia="zh-CN"/>
        </w:rPr>
        <w:t>卫生管理</w:t>
      </w:r>
      <w:r>
        <w:rPr>
          <w:rFonts w:hint="eastAsia" w:ascii="仿宋_GB2312" w:hAnsi="仿宋_GB2312" w:eastAsia="仿宋_GB2312" w:cs="仿宋_GB2312"/>
          <w:color w:val="auto"/>
          <w:sz w:val="32"/>
          <w:szCs w:val="32"/>
        </w:rPr>
        <w:t>专业水平，对提升</w:t>
      </w:r>
      <w:r>
        <w:rPr>
          <w:rFonts w:hint="eastAsia" w:ascii="仿宋_GB2312" w:hAnsi="仿宋_GB2312" w:eastAsia="仿宋_GB2312" w:cs="仿宋_GB2312"/>
          <w:color w:val="auto"/>
          <w:sz w:val="32"/>
          <w:szCs w:val="32"/>
          <w:lang w:eastAsia="zh-CN"/>
        </w:rPr>
        <w:t>新区公共场所、</w:t>
      </w:r>
      <w:r>
        <w:rPr>
          <w:rFonts w:hint="eastAsia" w:ascii="仿宋_GB2312" w:hAnsi="仿宋_GB2312" w:eastAsia="仿宋_GB2312" w:cs="仿宋_GB2312"/>
          <w:color w:val="auto"/>
          <w:sz w:val="32"/>
          <w:szCs w:val="32"/>
        </w:rPr>
        <w:t>生活饮用水卫生质量，保障人民群众的</w:t>
      </w:r>
      <w:r>
        <w:rPr>
          <w:rFonts w:hint="eastAsia" w:ascii="仿宋_GB2312" w:hAnsi="仿宋_GB2312" w:eastAsia="仿宋_GB2312" w:cs="仿宋_GB2312"/>
          <w:color w:val="auto"/>
          <w:sz w:val="32"/>
          <w:szCs w:val="32"/>
          <w:lang w:eastAsia="zh-CN"/>
        </w:rPr>
        <w:t>卫生</w:t>
      </w:r>
      <w:r>
        <w:rPr>
          <w:rFonts w:hint="eastAsia" w:ascii="仿宋_GB2312" w:hAnsi="仿宋_GB2312" w:eastAsia="仿宋_GB2312" w:cs="仿宋_GB2312"/>
          <w:color w:val="auto"/>
          <w:sz w:val="32"/>
          <w:szCs w:val="32"/>
        </w:rPr>
        <w:t>安全起到了积极推动作用，为深入推进卫生监督事业高质量发展打下坚实基础。</w:t>
      </w:r>
    </w:p>
    <w:p w14:paraId="30BD4485">
      <w:pPr>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楷体_GB2312" w:hAnsi="楷体" w:eastAsia="楷体_GB2312" w:cs="楷体"/>
          <w:color w:val="auto"/>
          <w:sz w:val="32"/>
          <w:szCs w:val="32"/>
        </w:rPr>
      </w:pPr>
      <w:r>
        <w:rPr>
          <w:rFonts w:hint="eastAsia" w:ascii="楷体_GB2312" w:hAnsi="楷体" w:eastAsia="楷体_GB2312" w:cs="楷体"/>
          <w:color w:val="auto"/>
          <w:sz w:val="32"/>
          <w:szCs w:val="32"/>
          <w:lang w:val="en-US" w:eastAsia="zh-CN"/>
        </w:rPr>
        <w:t>3.</w:t>
      </w:r>
      <w:r>
        <w:rPr>
          <w:rFonts w:hint="eastAsia" w:ascii="楷体_GB2312" w:hAnsi="楷体" w:eastAsia="楷体_GB2312" w:cs="楷体"/>
          <w:color w:val="auto"/>
          <w:sz w:val="32"/>
          <w:szCs w:val="32"/>
        </w:rPr>
        <w:t>满意度指标完成情况分析</w:t>
      </w:r>
    </w:p>
    <w:p w14:paraId="5DB4CA75">
      <w:pPr>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满意度指标分值为10分，得</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分。本年群众对环境卫生问题投诉数量</w:t>
      </w:r>
      <w:r>
        <w:rPr>
          <w:rFonts w:hint="eastAsia" w:ascii="仿宋_GB2312" w:hAnsi="仿宋_GB2312" w:eastAsia="仿宋_GB2312" w:cs="仿宋_GB2312"/>
          <w:color w:val="auto"/>
          <w:lang w:eastAsia="zh-CN"/>
        </w:rPr>
        <w:t>较稳定。</w:t>
      </w:r>
    </w:p>
    <w:p w14:paraId="62F528B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13FB81C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3CD889D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19AF96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6DBAB78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019F51F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0F6CEBF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70AA1A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楷体" w:hAnsi="楷体" w:eastAsia="楷体" w:cs="楷体"/>
          <w:b/>
          <w:bCs/>
          <w:szCs w:val="32"/>
          <w:lang w:eastAsia="zh-CN"/>
        </w:rPr>
      </w:pPr>
      <w:r>
        <w:rPr>
          <w:rFonts w:hint="eastAsia" w:ascii="仿宋_GB2312" w:hAnsi="仿宋_GB2312" w:eastAsia="仿宋_GB2312" w:cs="仿宋_GB2312"/>
          <w:b w:val="0"/>
          <w:bCs w:val="0"/>
          <w:color w:val="000000"/>
          <w:sz w:val="32"/>
          <w:szCs w:val="32"/>
          <w:lang w:val="en-US" w:eastAsia="zh-CN"/>
        </w:rPr>
        <w:t>无。</w:t>
      </w:r>
    </w:p>
    <w:p w14:paraId="3185C077">
      <w:pPr>
        <w:numPr>
          <w:ilvl w:val="0"/>
          <w:numId w:val="0"/>
        </w:numPr>
        <w:ind w:firstLine="321" w:firstLineChars="100"/>
        <w:outlineLvl w:val="2"/>
        <w:rPr>
          <w:rFonts w:hint="eastAsia" w:ascii="楷体" w:hAnsi="楷体" w:eastAsia="楷体" w:cs="楷体"/>
          <w:b/>
          <w:bCs/>
          <w:szCs w:val="32"/>
          <w:lang w:eastAsia="zh-CN"/>
        </w:rPr>
      </w:pPr>
      <w:r>
        <w:rPr>
          <w:rFonts w:hint="eastAsia" w:ascii="楷体" w:hAnsi="楷体" w:eastAsia="楷体" w:cs="楷体"/>
          <w:b/>
          <w:bCs/>
          <w:szCs w:val="32"/>
        </w:rPr>
        <w:t>（十</w:t>
      </w:r>
      <w:r>
        <w:rPr>
          <w:rFonts w:hint="eastAsia" w:ascii="楷体" w:hAnsi="楷体" w:eastAsia="楷体" w:cs="楷体"/>
          <w:b/>
          <w:bCs/>
          <w:szCs w:val="32"/>
          <w:lang w:val="en-US" w:eastAsia="zh-CN"/>
        </w:rPr>
        <w:t>四</w:t>
      </w:r>
      <w:r>
        <w:rPr>
          <w:rFonts w:hint="eastAsia" w:ascii="楷体" w:hAnsi="楷体" w:eastAsia="楷体" w:cs="楷体"/>
          <w:b/>
          <w:bCs/>
          <w:szCs w:val="32"/>
        </w:rPr>
        <w:t>）</w:t>
      </w:r>
      <w:r>
        <w:rPr>
          <w:rFonts w:hint="eastAsia" w:ascii="楷体" w:hAnsi="楷体" w:eastAsia="楷体" w:cs="楷体"/>
          <w:b/>
          <w:bCs/>
          <w:szCs w:val="32"/>
          <w:lang w:eastAsia="zh-CN"/>
        </w:rPr>
        <w:t>爱国卫生运动与健康教育项目经费</w:t>
      </w:r>
    </w:p>
    <w:p w14:paraId="7420AA54">
      <w:pPr>
        <w:spacing w:line="500" w:lineRule="exact"/>
        <w:ind w:firstLine="640" w:firstLineChars="200"/>
        <w:outlineLvl w:val="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项目基本情况</w:t>
      </w:r>
    </w:p>
    <w:p w14:paraId="14DD4120">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1、项目背景。</w:t>
      </w:r>
    </w:p>
    <w:p w14:paraId="354D6F2E">
      <w:pPr>
        <w:keepNext w:val="0"/>
        <w:keepLines w:val="0"/>
        <w:widowControl/>
        <w:suppressLineNumbers w:val="0"/>
        <w:ind w:firstLine="640" w:firstLineChars="200"/>
        <w:jc w:val="left"/>
        <w:rPr>
          <w:rFonts w:hint="eastAsia" w:ascii="仿宋_GB2312" w:hAnsi="Times New Roman" w:eastAsia="仿宋_GB2312" w:cs="Times New Roman"/>
          <w:sz w:val="32"/>
          <w:szCs w:val="32"/>
          <w:lang w:eastAsia="zh-CN"/>
        </w:rPr>
      </w:pPr>
      <w:r>
        <w:rPr>
          <w:rFonts w:hint="eastAsia" w:ascii="仿宋_GB2312" w:eastAsia="仿宋_GB2312"/>
          <w:sz w:val="32"/>
          <w:szCs w:val="32"/>
          <w:lang w:eastAsia="zh-CN"/>
        </w:rPr>
        <w:t>依据</w:t>
      </w:r>
      <w:r>
        <w:rPr>
          <w:rFonts w:hint="eastAsia" w:ascii="仿宋_GB2312" w:eastAsia="仿宋_GB2312"/>
          <w:sz w:val="32"/>
          <w:szCs w:val="32"/>
        </w:rPr>
        <w:t>《健康甘肃2030规划》、《202</w:t>
      </w:r>
      <w:r>
        <w:rPr>
          <w:rFonts w:hint="eastAsia" w:ascii="仿宋_GB2312" w:eastAsia="仿宋_GB2312"/>
          <w:sz w:val="32"/>
          <w:szCs w:val="32"/>
          <w:lang w:val="en-US" w:eastAsia="zh-CN"/>
        </w:rPr>
        <w:t>1</w:t>
      </w:r>
      <w:r>
        <w:rPr>
          <w:rFonts w:hint="eastAsia" w:ascii="仿宋_GB2312" w:eastAsia="仿宋_GB2312"/>
          <w:sz w:val="32"/>
          <w:szCs w:val="32"/>
        </w:rPr>
        <w:t>年甘肃省居民健康素养监测工作方案》</w:t>
      </w:r>
      <w:r>
        <w:rPr>
          <w:rFonts w:hint="eastAsia" w:ascii="仿宋_GB2312" w:eastAsia="仿宋_GB2312"/>
          <w:sz w:val="32"/>
          <w:szCs w:val="32"/>
          <w:lang w:eastAsia="zh-CN"/>
        </w:rPr>
        <w:t>。</w:t>
      </w:r>
    </w:p>
    <w:p w14:paraId="68B9D5F5">
      <w:pPr>
        <w:numPr>
          <w:ilvl w:val="0"/>
          <w:numId w:val="12"/>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项目内容。包括项目主要内容、实施方案等。</w:t>
      </w:r>
    </w:p>
    <w:p w14:paraId="64E689FB">
      <w:p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主要内容：</w:t>
      </w:r>
      <w:r>
        <w:rPr>
          <w:rFonts w:hint="eastAsia" w:ascii="仿宋_GB2312" w:eastAsia="仿宋_GB2312"/>
          <w:sz w:val="32"/>
          <w:szCs w:val="32"/>
          <w:lang w:val="en-US" w:eastAsia="zh-CN"/>
        </w:rPr>
        <w:t>2023年</w:t>
      </w:r>
      <w:r>
        <w:rPr>
          <w:rFonts w:hint="eastAsia" w:ascii="仿宋_GB2312" w:eastAsia="仿宋_GB2312"/>
          <w:sz w:val="32"/>
          <w:szCs w:val="32"/>
        </w:rPr>
        <w:t>开展</w:t>
      </w:r>
      <w:r>
        <w:rPr>
          <w:rFonts w:hint="eastAsia" w:ascii="仿宋_GB2312" w:eastAsia="仿宋_GB2312"/>
          <w:sz w:val="32"/>
          <w:szCs w:val="32"/>
          <w:lang w:eastAsia="zh-CN"/>
        </w:rPr>
        <w:t>健康教育宣传、开展居民健康素养水平监测、在中川体育公园制作健康步道、印制禁烟标牌、举办“全民营养周暨中国学生营养日启动仪式”、在百花公园制作健康步道。</w:t>
      </w:r>
    </w:p>
    <w:p w14:paraId="14E0409B">
      <w:pPr>
        <w:numPr>
          <w:ilvl w:val="0"/>
          <w:numId w:val="12"/>
        </w:numPr>
        <w:spacing w:line="500" w:lineRule="exact"/>
        <w:ind w:left="0" w:leftChars="0" w:firstLine="640" w:firstLineChars="200"/>
        <w:rPr>
          <w:rFonts w:hint="eastAsia" w:ascii="仿宋_GB2312" w:eastAsia="仿宋_GB2312"/>
          <w:sz w:val="32"/>
          <w:szCs w:val="32"/>
        </w:rPr>
      </w:pPr>
      <w:r>
        <w:rPr>
          <w:rFonts w:hint="eastAsia" w:ascii="仿宋_GB2312" w:eastAsia="仿宋_GB2312"/>
          <w:sz w:val="32"/>
          <w:szCs w:val="32"/>
        </w:rPr>
        <w:t>绩效目标。项目的年度目标和长期目标，以及阶段性绩效目标分解情况等。</w:t>
      </w:r>
    </w:p>
    <w:p w14:paraId="465CB784">
      <w:pPr>
        <w:numPr>
          <w:ilvl w:val="0"/>
          <w:numId w:val="0"/>
        </w:num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年度目标：</w:t>
      </w:r>
      <w:r>
        <w:rPr>
          <w:rFonts w:hint="eastAsia" w:ascii="仿宋_GB2312" w:eastAsia="仿宋_GB2312"/>
          <w:sz w:val="32"/>
          <w:szCs w:val="32"/>
          <w:lang w:eastAsia="zh-CN"/>
        </w:rPr>
        <w:t>提高新区居民健康知识知晓率。</w:t>
      </w:r>
    </w:p>
    <w:p w14:paraId="0BF65E0E">
      <w:pPr>
        <w:numPr>
          <w:ilvl w:val="0"/>
          <w:numId w:val="0"/>
        </w:num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长期目标：</w:t>
      </w:r>
      <w:r>
        <w:rPr>
          <w:rFonts w:hint="eastAsia" w:ascii="仿宋_GB2312" w:eastAsia="仿宋_GB2312"/>
          <w:sz w:val="32"/>
          <w:szCs w:val="32"/>
        </w:rPr>
        <w:t>加强新区居民健康意识，提升健康素养水平</w:t>
      </w:r>
      <w:r>
        <w:rPr>
          <w:rFonts w:hint="eastAsia" w:ascii="仿宋_GB2312" w:eastAsia="仿宋_GB2312"/>
          <w:sz w:val="32"/>
          <w:szCs w:val="32"/>
          <w:lang w:eastAsia="zh-CN"/>
        </w:rPr>
        <w:t>。</w:t>
      </w:r>
    </w:p>
    <w:p w14:paraId="3128E0C1">
      <w:pPr>
        <w:snapToGrid w:val="0"/>
        <w:spacing w:line="560" w:lineRule="exact"/>
        <w:ind w:firstLine="643" w:firstLineChars="200"/>
        <w:rPr>
          <w:rFonts w:hint="eastAsia" w:ascii="仿宋_GB2312" w:hAnsi="Times New Roman" w:eastAsia="仿宋_GB2312" w:cs="Times New Roman"/>
          <w:sz w:val="32"/>
          <w:szCs w:val="32"/>
          <w:lang w:eastAsia="zh-CN"/>
        </w:rPr>
      </w:pPr>
      <w:r>
        <w:rPr>
          <w:rFonts w:hint="eastAsia" w:ascii="仿宋_GB2312" w:eastAsia="仿宋_GB2312"/>
          <w:b/>
          <w:bCs/>
          <w:sz w:val="32"/>
          <w:szCs w:val="32"/>
          <w:lang w:eastAsia="zh-CN"/>
        </w:rPr>
        <w:t>阶段性绩效目标分解：</w:t>
      </w:r>
      <w:r>
        <w:rPr>
          <w:rFonts w:hint="eastAsia" w:ascii="仿宋_GB2312" w:hAnsi="Times New Roman" w:eastAsia="仿宋_GB2312" w:cs="Times New Roman"/>
          <w:sz w:val="32"/>
          <w:szCs w:val="32"/>
          <w:lang w:val="en-US" w:eastAsia="zh-CN"/>
        </w:rPr>
        <w:t>5月份</w:t>
      </w:r>
      <w:r>
        <w:rPr>
          <w:rFonts w:hint="eastAsia" w:ascii="仿宋_GB2312" w:eastAsia="仿宋_GB2312"/>
          <w:sz w:val="32"/>
          <w:szCs w:val="32"/>
          <w:lang w:eastAsia="zh-CN"/>
        </w:rPr>
        <w:t>举办“全民营养周暨中国学生营养日启动仪式”，</w:t>
      </w:r>
      <w:r>
        <w:rPr>
          <w:rFonts w:hint="eastAsia" w:ascii="仿宋_GB2312" w:eastAsia="仿宋_GB2312"/>
          <w:sz w:val="32"/>
          <w:szCs w:val="32"/>
          <w:lang w:val="en-US" w:eastAsia="zh-CN"/>
        </w:rPr>
        <w:t>7月份建成健康步道，10月份</w:t>
      </w:r>
      <w:r>
        <w:rPr>
          <w:rFonts w:hint="eastAsia" w:ascii="仿宋_GB2312" w:eastAsia="仿宋_GB2312"/>
          <w:sz w:val="32"/>
          <w:szCs w:val="32"/>
          <w:lang w:eastAsia="zh-CN"/>
        </w:rPr>
        <w:t>在百花公园制作健康步道、</w:t>
      </w:r>
      <w:r>
        <w:rPr>
          <w:rFonts w:hint="eastAsia" w:ascii="仿宋_GB2312" w:eastAsia="仿宋_GB2312"/>
          <w:sz w:val="32"/>
          <w:szCs w:val="32"/>
          <w:lang w:val="en-US" w:eastAsia="zh-CN"/>
        </w:rPr>
        <w:t>10月份完成居民健康素养水平监测。</w:t>
      </w:r>
    </w:p>
    <w:p w14:paraId="0A0B852C">
      <w:pPr>
        <w:numPr>
          <w:ilvl w:val="0"/>
          <w:numId w:val="12"/>
        </w:numPr>
        <w:spacing w:line="500" w:lineRule="exact"/>
        <w:ind w:left="0" w:leftChars="0" w:firstLine="640" w:firstLineChars="200"/>
        <w:rPr>
          <w:rFonts w:hint="eastAsia" w:ascii="仿宋_GB2312" w:eastAsia="仿宋_GB2312"/>
          <w:sz w:val="32"/>
          <w:szCs w:val="32"/>
        </w:rPr>
      </w:pPr>
      <w:r>
        <w:rPr>
          <w:rFonts w:hint="eastAsia" w:ascii="仿宋_GB2312" w:eastAsia="仿宋_GB2312"/>
          <w:sz w:val="32"/>
          <w:szCs w:val="32"/>
        </w:rPr>
        <w:t>项目预算情况。包括项目年初预算、年度调整情况等。</w:t>
      </w:r>
    </w:p>
    <w:p w14:paraId="35E0A5E9">
      <w:pPr>
        <w:numPr>
          <w:ilvl w:val="0"/>
          <w:numId w:val="0"/>
        </w:numPr>
        <w:spacing w:line="50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年初预算</w:t>
      </w:r>
      <w:r>
        <w:rPr>
          <w:rFonts w:hint="eastAsia" w:ascii="仿宋_GB2312" w:eastAsia="仿宋_GB2312"/>
          <w:sz w:val="32"/>
          <w:szCs w:val="32"/>
          <w:lang w:val="en-US" w:eastAsia="zh-CN"/>
        </w:rPr>
        <w:t>10万。</w:t>
      </w:r>
    </w:p>
    <w:p w14:paraId="20A2AADF">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二</w:t>
      </w:r>
      <w:r>
        <w:rPr>
          <w:rFonts w:hint="eastAsia" w:ascii="黑体" w:hAnsi="黑体" w:eastAsia="黑体" w:cs="黑体"/>
          <w:color w:val="000000"/>
          <w:spacing w:val="0"/>
          <w:w w:val="100"/>
          <w:position w:val="0"/>
          <w:sz w:val="32"/>
          <w:szCs w:val="32"/>
        </w:rPr>
        <w:t>、项目绩效自评开展情况</w:t>
      </w:r>
    </w:p>
    <w:p w14:paraId="2157CFE4">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color w:val="000000"/>
          <w:spacing w:val="0"/>
          <w:w w:val="100"/>
          <w:position w:val="0"/>
          <w:sz w:val="32"/>
          <w:szCs w:val="32"/>
          <w:lang w:eastAsia="zh-CN"/>
        </w:rPr>
        <w:t>新区卫生健康委高度重视项目绩效自评估工作，专门召开会议传达上级要求，结合新区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2023年工作开展情况</w:t>
      </w:r>
      <w:r>
        <w:rPr>
          <w:rFonts w:hint="eastAsia" w:ascii="仿宋_GB2312" w:hAnsi="仿宋_GB2312" w:eastAsia="仿宋_GB2312" w:cs="仿宋_GB2312"/>
          <w:color w:val="000000"/>
          <w:spacing w:val="0"/>
          <w:w w:val="100"/>
          <w:position w:val="0"/>
          <w:sz w:val="32"/>
          <w:szCs w:val="32"/>
          <w:lang w:eastAsia="zh-CN"/>
        </w:rPr>
        <w:t>认真组织自评报告及时总结一年来工作成效，寻找短板和工作差距</w:t>
      </w:r>
      <w:r>
        <w:rPr>
          <w:rFonts w:hint="eastAsia" w:ascii="仿宋_GB2312" w:hAnsi="仿宋_GB2312" w:eastAsia="仿宋_GB2312" w:cs="仿宋_GB2312"/>
          <w:color w:val="000000"/>
          <w:spacing w:val="0"/>
          <w:w w:val="100"/>
          <w:position w:val="0"/>
          <w:sz w:val="32"/>
          <w:szCs w:val="32"/>
          <w:lang w:val="en-US" w:eastAsia="zh-CN"/>
        </w:rPr>
        <w:t>。</w:t>
      </w:r>
    </w:p>
    <w:p w14:paraId="32E246AA">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w:t>
      </w:r>
      <w:r>
        <w:rPr>
          <w:rFonts w:hint="eastAsia" w:ascii="黑体" w:hAnsi="黑体" w:eastAsia="黑体" w:cs="黑体"/>
          <w:color w:val="000000"/>
          <w:spacing w:val="0"/>
          <w:w w:val="100"/>
          <w:position w:val="0"/>
          <w:sz w:val="32"/>
          <w:szCs w:val="32"/>
        </w:rPr>
        <w:t>绩效目标完成情况分析</w:t>
      </w:r>
    </w:p>
    <w:p w14:paraId="46BB05A6">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1、项目管理情况。包括制度建设、项目管理和财务管理情况等。</w:t>
      </w:r>
    </w:p>
    <w:p w14:paraId="39526D55">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2、预算执行情况。包括预算安排情况、预算资金到位情况、项目实际支出情况等。</w:t>
      </w:r>
    </w:p>
    <w:p w14:paraId="640F0DB2">
      <w:pPr>
        <w:snapToGrid w:val="0"/>
        <w:spacing w:line="560" w:lineRule="exact"/>
        <w:ind w:firstLine="643" w:firstLineChars="200"/>
        <w:rPr>
          <w:rFonts w:hint="default" w:ascii="仿宋_GB2312" w:hAnsi="Times New Roman" w:eastAsia="仿宋_GB2312" w:cs="Times New Roman"/>
          <w:sz w:val="32"/>
          <w:szCs w:val="32"/>
          <w:lang w:val="en-US" w:eastAsia="zh-CN"/>
        </w:rPr>
      </w:pPr>
      <w:r>
        <w:rPr>
          <w:rFonts w:hint="eastAsia" w:ascii="仿宋_GB2312" w:eastAsia="仿宋_GB2312"/>
          <w:b/>
          <w:bCs/>
          <w:sz w:val="32"/>
          <w:szCs w:val="32"/>
          <w:lang w:eastAsia="zh-CN"/>
        </w:rPr>
        <w:t>预算安排：</w:t>
      </w:r>
      <w:r>
        <w:rPr>
          <w:rFonts w:hint="eastAsia" w:ascii="仿宋_GB2312" w:hAnsi="Times New Roman" w:eastAsia="仿宋_GB2312" w:cs="Times New Roman"/>
          <w:sz w:val="32"/>
          <w:szCs w:val="32"/>
          <w:lang w:val="en-US" w:eastAsia="zh-CN"/>
        </w:rPr>
        <w:t>开展</w:t>
      </w:r>
      <w:r>
        <w:rPr>
          <w:rFonts w:hint="eastAsia" w:ascii="仿宋_GB2312" w:hAnsi="Times New Roman" w:eastAsia="仿宋_GB2312" w:cs="Times New Roman"/>
          <w:sz w:val="32"/>
          <w:szCs w:val="32"/>
          <w:lang w:eastAsia="zh-CN"/>
        </w:rPr>
        <w:t>“</w:t>
      </w:r>
      <w:r>
        <w:rPr>
          <w:rFonts w:hint="eastAsia" w:ascii="仿宋_GB2312" w:eastAsia="仿宋_GB2312"/>
          <w:sz w:val="32"/>
          <w:szCs w:val="32"/>
          <w:lang w:eastAsia="zh-CN"/>
        </w:rPr>
        <w:t>全民营养周暨中国学生营养日启动仪式”计划</w:t>
      </w:r>
      <w:r>
        <w:rPr>
          <w:rFonts w:hint="eastAsia" w:ascii="仿宋_GB2312" w:eastAsia="仿宋_GB2312"/>
          <w:sz w:val="32"/>
          <w:szCs w:val="32"/>
          <w:lang w:val="en-US" w:eastAsia="zh-CN"/>
        </w:rPr>
        <w:t>1万元；</w:t>
      </w:r>
      <w:r>
        <w:rPr>
          <w:rFonts w:hint="eastAsia" w:ascii="仿宋_GB2312" w:eastAsia="仿宋_GB2312"/>
          <w:sz w:val="32"/>
          <w:szCs w:val="32"/>
          <w:lang w:eastAsia="zh-CN"/>
        </w:rPr>
        <w:t>在中川体育公园</w:t>
      </w:r>
      <w:r>
        <w:rPr>
          <w:rFonts w:hint="eastAsia" w:ascii="仿宋_GB2312" w:eastAsia="仿宋_GB2312"/>
          <w:sz w:val="32"/>
          <w:szCs w:val="32"/>
          <w:lang w:val="en-US" w:eastAsia="zh-CN"/>
        </w:rPr>
        <w:t>制作</w:t>
      </w:r>
      <w:r>
        <w:rPr>
          <w:rFonts w:hint="eastAsia" w:ascii="仿宋_GB2312" w:eastAsia="仿宋_GB2312"/>
          <w:sz w:val="32"/>
          <w:szCs w:val="32"/>
          <w:lang w:eastAsia="zh-CN"/>
        </w:rPr>
        <w:t>健康步道、印制禁烟标牌计划资金</w:t>
      </w:r>
      <w:r>
        <w:rPr>
          <w:rFonts w:hint="eastAsia" w:ascii="仿宋_GB2312" w:eastAsia="仿宋_GB2312"/>
          <w:sz w:val="32"/>
          <w:szCs w:val="32"/>
          <w:lang w:val="en-US" w:eastAsia="zh-CN"/>
        </w:rPr>
        <w:t>7万元，</w:t>
      </w:r>
      <w:r>
        <w:rPr>
          <w:rFonts w:hint="eastAsia" w:ascii="仿宋_GB2312" w:eastAsia="仿宋_GB2312"/>
          <w:sz w:val="32"/>
          <w:szCs w:val="32"/>
          <w:lang w:eastAsia="zh-CN"/>
        </w:rPr>
        <w:t>在百花公园制作健康步道计划资金</w:t>
      </w:r>
      <w:r>
        <w:rPr>
          <w:rFonts w:hint="eastAsia" w:ascii="仿宋_GB2312" w:eastAsia="仿宋_GB2312"/>
          <w:sz w:val="32"/>
          <w:szCs w:val="32"/>
          <w:lang w:val="en-US" w:eastAsia="zh-CN"/>
        </w:rPr>
        <w:t>2万元，居民健康素养水平监测因省级下拨资金足够，不另配套。</w:t>
      </w:r>
    </w:p>
    <w:p w14:paraId="54D8E688">
      <w:p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预算资金到位情况：</w:t>
      </w:r>
      <w:r>
        <w:rPr>
          <w:rFonts w:hint="eastAsia" w:ascii="仿宋_GB2312" w:eastAsia="仿宋_GB2312"/>
          <w:sz w:val="32"/>
          <w:szCs w:val="32"/>
          <w:lang w:eastAsia="zh-CN"/>
        </w:rPr>
        <w:t>全部到位</w:t>
      </w:r>
    </w:p>
    <w:p w14:paraId="281607CA">
      <w:pPr>
        <w:snapToGrid w:val="0"/>
        <w:spacing w:line="560" w:lineRule="exact"/>
        <w:ind w:firstLine="643" w:firstLineChars="200"/>
        <w:rPr>
          <w:rFonts w:hint="default" w:ascii="仿宋_GB2312" w:hAnsi="Times New Roman" w:eastAsia="仿宋_GB2312" w:cs="Times New Roman"/>
          <w:sz w:val="32"/>
          <w:szCs w:val="32"/>
          <w:lang w:val="en-US" w:eastAsia="zh-CN"/>
        </w:rPr>
      </w:pPr>
      <w:r>
        <w:rPr>
          <w:rFonts w:hint="eastAsia" w:ascii="仿宋_GB2312" w:eastAsia="仿宋_GB2312"/>
          <w:b/>
          <w:bCs/>
          <w:sz w:val="32"/>
          <w:szCs w:val="32"/>
          <w:lang w:eastAsia="zh-CN"/>
        </w:rPr>
        <w:t>项目实际支出：</w:t>
      </w:r>
      <w:r>
        <w:rPr>
          <w:rFonts w:hint="eastAsia" w:ascii="仿宋_GB2312" w:hAnsi="Times New Roman" w:eastAsia="仿宋_GB2312" w:cs="Times New Roman"/>
          <w:sz w:val="32"/>
          <w:szCs w:val="32"/>
          <w:lang w:val="en-US" w:eastAsia="zh-CN"/>
        </w:rPr>
        <w:t>开展</w:t>
      </w:r>
      <w:r>
        <w:rPr>
          <w:rFonts w:hint="eastAsia" w:ascii="仿宋_GB2312" w:hAnsi="Times New Roman" w:eastAsia="仿宋_GB2312" w:cs="Times New Roman"/>
          <w:sz w:val="32"/>
          <w:szCs w:val="32"/>
          <w:lang w:eastAsia="zh-CN"/>
        </w:rPr>
        <w:t>“</w:t>
      </w:r>
      <w:r>
        <w:rPr>
          <w:rFonts w:hint="eastAsia" w:ascii="仿宋_GB2312" w:eastAsia="仿宋_GB2312"/>
          <w:sz w:val="32"/>
          <w:szCs w:val="32"/>
          <w:lang w:eastAsia="zh-CN"/>
        </w:rPr>
        <w:t>全民营养周暨中国学生营养日启动仪式”</w:t>
      </w:r>
      <w:r>
        <w:rPr>
          <w:rFonts w:hint="eastAsia" w:ascii="仿宋_GB2312" w:eastAsia="仿宋_GB2312"/>
          <w:sz w:val="32"/>
          <w:szCs w:val="32"/>
          <w:lang w:val="en-US" w:eastAsia="zh-CN"/>
        </w:rPr>
        <w:t>花费0.94万元；</w:t>
      </w:r>
      <w:r>
        <w:rPr>
          <w:rFonts w:hint="eastAsia" w:ascii="仿宋_GB2312" w:eastAsia="仿宋_GB2312"/>
          <w:sz w:val="32"/>
          <w:szCs w:val="32"/>
          <w:lang w:eastAsia="zh-CN"/>
        </w:rPr>
        <w:t>在中川体育公园</w:t>
      </w:r>
      <w:r>
        <w:rPr>
          <w:rFonts w:hint="eastAsia" w:ascii="仿宋_GB2312" w:eastAsia="仿宋_GB2312"/>
          <w:sz w:val="32"/>
          <w:szCs w:val="32"/>
          <w:lang w:val="en-US" w:eastAsia="zh-CN"/>
        </w:rPr>
        <w:t>制作</w:t>
      </w:r>
      <w:r>
        <w:rPr>
          <w:rFonts w:hint="eastAsia" w:ascii="仿宋_GB2312" w:eastAsia="仿宋_GB2312"/>
          <w:sz w:val="32"/>
          <w:szCs w:val="32"/>
          <w:lang w:eastAsia="zh-CN"/>
        </w:rPr>
        <w:t>健康步道、印制禁烟标牌花费</w:t>
      </w:r>
      <w:r>
        <w:rPr>
          <w:rFonts w:hint="eastAsia" w:ascii="仿宋_GB2312" w:eastAsia="仿宋_GB2312"/>
          <w:sz w:val="32"/>
          <w:szCs w:val="32"/>
          <w:lang w:val="en-US" w:eastAsia="zh-CN"/>
        </w:rPr>
        <w:t>7万元，10月份</w:t>
      </w:r>
      <w:r>
        <w:rPr>
          <w:rFonts w:hint="eastAsia" w:ascii="仿宋_GB2312" w:eastAsia="仿宋_GB2312"/>
          <w:sz w:val="32"/>
          <w:szCs w:val="32"/>
          <w:lang w:eastAsia="zh-CN"/>
        </w:rPr>
        <w:t>在百花公园制作健康步道，计划资金</w:t>
      </w:r>
      <w:r>
        <w:rPr>
          <w:rFonts w:hint="eastAsia" w:ascii="仿宋_GB2312" w:eastAsia="仿宋_GB2312"/>
          <w:sz w:val="32"/>
          <w:szCs w:val="32"/>
          <w:lang w:val="en-US" w:eastAsia="zh-CN"/>
        </w:rPr>
        <w:t>2万元，居民健康素养水平监测因省级下拨资金足够，不另配套。</w:t>
      </w:r>
    </w:p>
    <w:p w14:paraId="1F3B33A6">
      <w:pPr>
        <w:numPr>
          <w:ilvl w:val="0"/>
          <w:numId w:val="13"/>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绩效目标完成情况。包括项目目标调整情况、阶段性目标完成情况、项目绩效目标预期实现程度及产生的效益。</w:t>
      </w:r>
    </w:p>
    <w:p w14:paraId="393294B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42F58B1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1CCB94D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0A36514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68FA04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14E5FAD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28AB07A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653888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楷体" w:hAnsi="楷体" w:eastAsia="楷体" w:cs="楷体"/>
          <w:b/>
          <w:bCs/>
          <w:szCs w:val="32"/>
          <w:lang w:eastAsia="zh-CN"/>
        </w:rPr>
      </w:pPr>
      <w:r>
        <w:rPr>
          <w:rFonts w:hint="eastAsia" w:ascii="仿宋_GB2312" w:hAnsi="仿宋_GB2312" w:eastAsia="仿宋_GB2312" w:cs="仿宋_GB2312"/>
          <w:b w:val="0"/>
          <w:bCs w:val="0"/>
          <w:color w:val="000000"/>
          <w:sz w:val="32"/>
          <w:szCs w:val="32"/>
          <w:lang w:val="en-US" w:eastAsia="zh-CN"/>
        </w:rPr>
        <w:t>无。</w:t>
      </w:r>
    </w:p>
    <w:p w14:paraId="63775F59">
      <w:pPr>
        <w:numPr>
          <w:ilvl w:val="0"/>
          <w:numId w:val="14"/>
        </w:numPr>
        <w:ind w:firstLine="643"/>
        <w:outlineLvl w:val="2"/>
        <w:rPr>
          <w:rFonts w:hint="eastAsia" w:ascii="楷体" w:hAnsi="楷体" w:eastAsia="楷体" w:cs="楷体"/>
          <w:b/>
          <w:bCs/>
          <w:szCs w:val="32"/>
          <w:lang w:eastAsia="zh-CN"/>
        </w:rPr>
      </w:pPr>
      <w:r>
        <w:rPr>
          <w:rFonts w:hint="eastAsia" w:ascii="楷体" w:hAnsi="楷体" w:eastAsia="楷体" w:cs="楷体"/>
          <w:b/>
          <w:bCs/>
          <w:szCs w:val="32"/>
          <w:lang w:eastAsia="zh-CN"/>
        </w:rPr>
        <w:t>病媒生物防制评估项目经费</w:t>
      </w:r>
    </w:p>
    <w:p w14:paraId="193B0438">
      <w:pPr>
        <w:spacing w:line="500" w:lineRule="exact"/>
        <w:ind w:firstLine="640" w:firstLineChars="200"/>
        <w:outlineLvl w:val="0"/>
        <w:rPr>
          <w:rFonts w:hint="eastAsia" w:ascii="黑体" w:hAnsi="黑体" w:eastAsia="黑体" w:cs="黑体"/>
          <w:sz w:val="32"/>
          <w:szCs w:val="32"/>
        </w:rPr>
      </w:pPr>
      <w:r>
        <w:rPr>
          <w:rFonts w:hint="eastAsia" w:ascii="黑体" w:hAnsi="黑体" w:eastAsia="黑体" w:cs="黑体"/>
          <w:sz w:val="32"/>
          <w:szCs w:val="32"/>
        </w:rPr>
        <w:t>一、项目基本情况</w:t>
      </w:r>
    </w:p>
    <w:p w14:paraId="37434A7B">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1、项目背景。</w:t>
      </w:r>
    </w:p>
    <w:p w14:paraId="03F2827F">
      <w:pPr>
        <w:keepNext w:val="0"/>
        <w:keepLines w:val="0"/>
        <w:widowControl/>
        <w:suppressLineNumbers w:val="0"/>
        <w:ind w:firstLine="640" w:firstLineChars="200"/>
        <w:jc w:val="left"/>
        <w:rPr>
          <w:rFonts w:hint="eastAsia" w:ascii="仿宋_GB2312" w:hAnsi="Times New Roman" w:eastAsia="仿宋_GB2312" w:cs="Times New Roman"/>
          <w:sz w:val="32"/>
          <w:szCs w:val="32"/>
          <w:lang w:eastAsia="zh-CN"/>
        </w:rPr>
      </w:pPr>
      <w:r>
        <w:rPr>
          <w:rFonts w:hint="eastAsia" w:ascii="仿宋_GB2312" w:eastAsia="仿宋_GB2312"/>
          <w:sz w:val="32"/>
          <w:szCs w:val="32"/>
          <w:lang w:eastAsia="zh-CN"/>
        </w:rPr>
        <w:t>依据</w:t>
      </w:r>
      <w:r>
        <w:rPr>
          <w:rFonts w:hint="eastAsia" w:ascii="仿宋_GB2312" w:eastAsia="仿宋_GB2312"/>
          <w:sz w:val="32"/>
          <w:szCs w:val="32"/>
        </w:rPr>
        <w:t>国务院《</w:t>
      </w:r>
      <w:r>
        <w:rPr>
          <w:rFonts w:hint="eastAsia" w:ascii="仿宋_GB2312" w:hAnsi="Times New Roman" w:eastAsia="仿宋_GB2312" w:cs="Times New Roman"/>
          <w:sz w:val="32"/>
          <w:szCs w:val="32"/>
          <w:lang w:val="en-US" w:eastAsia="zh-CN"/>
        </w:rPr>
        <w:t>关于深入开展爱国卫生运动的意见</w:t>
      </w:r>
      <w:r>
        <w:rPr>
          <w:rFonts w:hint="eastAsia" w:ascii="仿宋_GB2312" w:eastAsia="仿宋_GB2312"/>
          <w:sz w:val="32"/>
          <w:szCs w:val="32"/>
        </w:rPr>
        <w:t>》（国发〔20</w:t>
      </w:r>
      <w:r>
        <w:rPr>
          <w:rFonts w:hint="eastAsia" w:ascii="仿宋_GB2312" w:eastAsia="仿宋_GB2312"/>
          <w:sz w:val="32"/>
          <w:szCs w:val="32"/>
          <w:lang w:val="en-US" w:eastAsia="zh-CN"/>
        </w:rPr>
        <w:t>20</w:t>
      </w:r>
      <w:r>
        <w:rPr>
          <w:rFonts w:hint="eastAsia" w:ascii="仿宋_GB2312" w:eastAsia="仿宋_GB2312"/>
          <w:sz w:val="32"/>
          <w:szCs w:val="32"/>
        </w:rPr>
        <w:t>〕</w:t>
      </w:r>
      <w:r>
        <w:rPr>
          <w:rFonts w:hint="eastAsia" w:ascii="仿宋_GB2312" w:eastAsia="仿宋_GB2312"/>
          <w:sz w:val="32"/>
          <w:szCs w:val="32"/>
          <w:lang w:val="en-US" w:eastAsia="zh-CN"/>
        </w:rPr>
        <w:t>15</w:t>
      </w:r>
      <w:r>
        <w:rPr>
          <w:rFonts w:hint="eastAsia" w:ascii="仿宋_GB2312" w:eastAsia="仿宋_GB2312"/>
          <w:sz w:val="32"/>
          <w:szCs w:val="32"/>
        </w:rPr>
        <w:t>号）</w:t>
      </w:r>
      <w:r>
        <w:rPr>
          <w:rFonts w:hint="eastAsia" w:ascii="仿宋_GB2312" w:eastAsia="仿宋_GB2312"/>
          <w:sz w:val="32"/>
          <w:szCs w:val="32"/>
          <w:lang w:eastAsia="zh-CN"/>
        </w:rPr>
        <w:t>中：</w:t>
      </w:r>
      <w:r>
        <w:rPr>
          <w:rFonts w:hint="eastAsia" w:ascii="仿宋_GB2312" w:hAnsi="Times New Roman" w:eastAsia="仿宋_GB2312" w:cs="Times New Roman"/>
          <w:sz w:val="32"/>
          <w:szCs w:val="32"/>
          <w:lang w:val="en-US" w:eastAsia="zh-CN"/>
        </w:rPr>
        <w:t>（七）强化病媒生物防制。健全病媒生物监测网络，加强病媒生物监测，发生传染病疫情时增加监测频率、扩大监测范围，及时掌握病媒生物密度、种属和孳生情况，科学制定防制方案。坚持日常防制和集中防制、专业防制和常规防制相结合，积极开展以环境治理为主、药物防制为辅的病媒生物防制工作。消除病媒生物孳生环境，切断传染病传播途径，有效防控登革热、寨卡病毒病等媒介传染病。强化病媒消杀队伍建设，提升病媒生物防制能力。</w:t>
      </w:r>
    </w:p>
    <w:p w14:paraId="2FD5AECB">
      <w:pPr>
        <w:numPr>
          <w:ilvl w:val="0"/>
          <w:numId w:val="12"/>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项目内容。包括项目主要内容、实施方案等。</w:t>
      </w:r>
    </w:p>
    <w:p w14:paraId="607C8373">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lang w:eastAsia="zh-CN"/>
        </w:rPr>
        <w:t>主要内容：</w:t>
      </w:r>
      <w:r>
        <w:rPr>
          <w:rFonts w:hint="eastAsia" w:ascii="仿宋_GB2312" w:eastAsia="仿宋_GB2312"/>
          <w:sz w:val="32"/>
          <w:szCs w:val="32"/>
          <w:lang w:val="en-US" w:eastAsia="zh-CN"/>
        </w:rPr>
        <w:t>2023年</w:t>
      </w:r>
      <w:r>
        <w:rPr>
          <w:rFonts w:hint="eastAsia" w:ascii="仿宋_GB2312" w:eastAsia="仿宋_GB2312"/>
          <w:sz w:val="32"/>
          <w:szCs w:val="32"/>
        </w:rPr>
        <w:t>对各园区、各单位开展蚊蝇鼠蟑病媒生物防制情况进行3次评估，出评估报告，督促各园区、各单位按照《202</w:t>
      </w:r>
      <w:r>
        <w:rPr>
          <w:rFonts w:hint="eastAsia" w:ascii="仿宋_GB2312" w:eastAsia="仿宋_GB2312"/>
          <w:sz w:val="32"/>
          <w:szCs w:val="32"/>
          <w:lang w:val="en-US" w:eastAsia="zh-CN"/>
        </w:rPr>
        <w:t>2</w:t>
      </w:r>
      <w:r>
        <w:rPr>
          <w:rFonts w:hint="eastAsia" w:ascii="仿宋_GB2312" w:eastAsia="仿宋_GB2312"/>
          <w:sz w:val="32"/>
          <w:szCs w:val="32"/>
        </w:rPr>
        <w:t>年兰州新区病媒生物防制方案》做好蚊蝇鼠蟑病媒生物防制工作，严格做到谁主管谁负责，谁受益谁负责，守土有责，守土尽责。评估工作委托第三方有资质的评估公司进行评估。</w:t>
      </w:r>
    </w:p>
    <w:p w14:paraId="43BAAB09">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lang w:eastAsia="zh-CN"/>
        </w:rPr>
        <w:t>实施方案：</w:t>
      </w: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年兰州新区病媒生物防制工作实施方案》（</w:t>
      </w:r>
      <w:r>
        <w:rPr>
          <w:rFonts w:hint="eastAsia" w:ascii="仿宋_GB2312" w:eastAsia="仿宋_GB2312"/>
          <w:sz w:val="32"/>
          <w:szCs w:val="32"/>
          <w:lang w:eastAsia="zh-CN"/>
        </w:rPr>
        <w:t>新爱卫办</w:t>
      </w:r>
      <w:r>
        <w:rPr>
          <w:rFonts w:hint="eastAsia" w:ascii="仿宋_GB2312" w:eastAsia="仿宋_GB2312"/>
          <w:sz w:val="32"/>
          <w:szCs w:val="32"/>
        </w:rPr>
        <w:t>发〔20</w:t>
      </w:r>
      <w:r>
        <w:rPr>
          <w:rFonts w:hint="eastAsia" w:ascii="仿宋_GB2312" w:eastAsia="仿宋_GB2312"/>
          <w:sz w:val="32"/>
          <w:szCs w:val="32"/>
          <w:lang w:val="en-US" w:eastAsia="zh-CN"/>
        </w:rPr>
        <w:t>23</w:t>
      </w:r>
      <w:r>
        <w:rPr>
          <w:rFonts w:hint="eastAsia" w:ascii="仿宋_GB2312" w:eastAsia="仿宋_GB2312"/>
          <w:sz w:val="32"/>
          <w:szCs w:val="32"/>
        </w:rPr>
        <w:t>〕</w:t>
      </w:r>
      <w:r>
        <w:rPr>
          <w:rFonts w:hint="eastAsia" w:ascii="仿宋_GB2312" w:eastAsia="仿宋_GB2312"/>
          <w:sz w:val="32"/>
          <w:szCs w:val="32"/>
          <w:lang w:val="en-US" w:eastAsia="zh-CN"/>
        </w:rPr>
        <w:t>1</w:t>
      </w:r>
      <w:r>
        <w:rPr>
          <w:rFonts w:hint="eastAsia" w:ascii="仿宋_GB2312" w:eastAsia="仿宋_GB2312"/>
          <w:sz w:val="32"/>
          <w:szCs w:val="32"/>
        </w:rPr>
        <w:t>号）</w:t>
      </w:r>
    </w:p>
    <w:p w14:paraId="2E14CF0A">
      <w:pPr>
        <w:numPr>
          <w:ilvl w:val="0"/>
          <w:numId w:val="12"/>
        </w:numPr>
        <w:spacing w:line="500" w:lineRule="exact"/>
        <w:ind w:left="0" w:leftChars="0" w:firstLine="640" w:firstLineChars="200"/>
        <w:rPr>
          <w:rFonts w:hint="eastAsia" w:ascii="仿宋_GB2312" w:eastAsia="仿宋_GB2312"/>
          <w:sz w:val="32"/>
          <w:szCs w:val="32"/>
        </w:rPr>
      </w:pPr>
      <w:r>
        <w:rPr>
          <w:rFonts w:hint="eastAsia" w:ascii="仿宋_GB2312" w:eastAsia="仿宋_GB2312"/>
          <w:sz w:val="32"/>
          <w:szCs w:val="32"/>
        </w:rPr>
        <w:t>绩效目标。项目的年度目标和长期目标，以及阶段性绩效目标分解情况等。</w:t>
      </w:r>
    </w:p>
    <w:p w14:paraId="38B56237">
      <w:pPr>
        <w:numPr>
          <w:ilvl w:val="0"/>
          <w:numId w:val="0"/>
        </w:num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lang w:eastAsia="zh-CN"/>
        </w:rPr>
        <w:t>年度目标：</w:t>
      </w:r>
      <w:r>
        <w:rPr>
          <w:rFonts w:hint="eastAsia" w:ascii="仿宋_GB2312" w:eastAsia="仿宋_GB2312"/>
          <w:sz w:val="32"/>
          <w:szCs w:val="32"/>
        </w:rPr>
        <w:t>经过评估，督促各园区各单位及时消杀，让新区范围内病媒生物达到国家C级标准。</w:t>
      </w:r>
    </w:p>
    <w:p w14:paraId="553A236B">
      <w:pPr>
        <w:numPr>
          <w:ilvl w:val="0"/>
          <w:numId w:val="0"/>
        </w:numPr>
        <w:spacing w:line="500" w:lineRule="exact"/>
        <w:ind w:leftChars="200"/>
        <w:rPr>
          <w:rFonts w:hint="eastAsia" w:ascii="仿宋_GB2312" w:eastAsia="仿宋_GB2312"/>
          <w:sz w:val="32"/>
          <w:szCs w:val="32"/>
        </w:rPr>
      </w:pPr>
      <w:r>
        <w:rPr>
          <w:rFonts w:hint="eastAsia" w:ascii="仿宋_GB2312" w:eastAsia="仿宋_GB2312"/>
          <w:b/>
          <w:bCs/>
          <w:sz w:val="32"/>
          <w:szCs w:val="32"/>
          <w:lang w:eastAsia="zh-CN"/>
        </w:rPr>
        <w:t>长期目标：</w:t>
      </w:r>
      <w:r>
        <w:rPr>
          <w:rFonts w:hint="eastAsia" w:ascii="仿宋_GB2312" w:eastAsia="仿宋_GB2312"/>
          <w:sz w:val="32"/>
          <w:szCs w:val="32"/>
        </w:rPr>
        <w:t>推进</w:t>
      </w:r>
      <w:r>
        <w:rPr>
          <w:rFonts w:hint="eastAsia" w:ascii="仿宋_GB2312" w:eastAsia="仿宋_GB2312"/>
          <w:sz w:val="32"/>
          <w:szCs w:val="32"/>
          <w:lang w:eastAsia="zh-CN"/>
        </w:rPr>
        <w:t>新区</w:t>
      </w:r>
      <w:r>
        <w:rPr>
          <w:rFonts w:hint="eastAsia" w:ascii="仿宋_GB2312" w:eastAsia="仿宋_GB2312"/>
          <w:sz w:val="32"/>
          <w:szCs w:val="32"/>
        </w:rPr>
        <w:t>城乡爱国卫生运动，夯实工作基础，普及病媒生物防制知识，建立以各园区属地化管理为主的病媒生物防制长效管理机制，全面开展病媒生物防制工作，进一步改善新区卫生环境，切实保障新区人民群众身体健康。</w:t>
      </w:r>
    </w:p>
    <w:p w14:paraId="1D6A457B">
      <w:pPr>
        <w:snapToGrid w:val="0"/>
        <w:spacing w:line="560" w:lineRule="exact"/>
        <w:ind w:firstLine="643" w:firstLineChars="200"/>
        <w:rPr>
          <w:rFonts w:hint="eastAsia" w:ascii="仿宋_GB2312" w:hAnsi="Times New Roman" w:eastAsia="仿宋_GB2312" w:cs="Times New Roman"/>
          <w:sz w:val="32"/>
          <w:szCs w:val="32"/>
        </w:rPr>
      </w:pPr>
      <w:r>
        <w:rPr>
          <w:rFonts w:hint="eastAsia" w:ascii="仿宋_GB2312" w:eastAsia="仿宋_GB2312"/>
          <w:b/>
          <w:bCs/>
          <w:sz w:val="32"/>
          <w:szCs w:val="32"/>
          <w:lang w:eastAsia="zh-CN"/>
        </w:rPr>
        <w:t>阶段性绩效目标分解：</w:t>
      </w:r>
      <w:r>
        <w:rPr>
          <w:rFonts w:hint="eastAsia" w:ascii="仿宋_GB2312" w:hAnsi="Times New Roman" w:eastAsia="仿宋_GB2312" w:cs="Times New Roman"/>
          <w:sz w:val="32"/>
          <w:szCs w:val="32"/>
        </w:rPr>
        <w:t>组织第三方有资质的公司对各园区、对</w:t>
      </w:r>
      <w:r>
        <w:rPr>
          <w:rFonts w:hint="eastAsia" w:ascii="仿宋_GB2312" w:hAnsi="Times New Roman" w:eastAsia="仿宋_GB2312" w:cs="Times New Roman"/>
          <w:sz w:val="32"/>
          <w:szCs w:val="32"/>
          <w:lang w:eastAsia="zh-CN"/>
        </w:rPr>
        <w:t>各园区病媒生物防制工作开展情况</w:t>
      </w:r>
      <w:r>
        <w:rPr>
          <w:rFonts w:hint="eastAsia" w:ascii="仿宋_GB2312" w:hAnsi="Times New Roman" w:eastAsia="仿宋_GB2312" w:cs="Times New Roman"/>
          <w:sz w:val="32"/>
          <w:szCs w:val="32"/>
        </w:rPr>
        <w:t>进行</w:t>
      </w:r>
      <w:r>
        <w:rPr>
          <w:rFonts w:hint="eastAsia" w:ascii="仿宋_GB2312" w:hAnsi="Times New Roman" w:eastAsia="仿宋_GB2312" w:cs="Times New Roman"/>
          <w:sz w:val="32"/>
          <w:szCs w:val="32"/>
          <w:lang w:eastAsia="zh-CN"/>
        </w:rPr>
        <w:t>集中</w:t>
      </w:r>
      <w:r>
        <w:rPr>
          <w:rFonts w:hint="eastAsia" w:ascii="仿宋_GB2312" w:hAnsi="Times New Roman" w:eastAsia="仿宋_GB2312" w:cs="Times New Roman"/>
          <w:sz w:val="32"/>
          <w:szCs w:val="32"/>
        </w:rPr>
        <w:t>评估，分三个阶段。第一阶段</w:t>
      </w:r>
      <w:r>
        <w:rPr>
          <w:rFonts w:hint="eastAsia" w:ascii="仿宋_GB2312" w:hAnsi="Times New Roman" w:eastAsia="仿宋_GB2312" w:cs="Times New Roman"/>
          <w:sz w:val="32"/>
          <w:szCs w:val="32"/>
          <w:lang w:val="en-US" w:eastAsia="zh-CN"/>
        </w:rPr>
        <w:t>5月</w:t>
      </w:r>
      <w:r>
        <w:rPr>
          <w:rFonts w:hint="eastAsia" w:ascii="仿宋_GB2312" w:hAnsi="Times New Roman" w:eastAsia="仿宋_GB2312" w:cs="Times New Roman"/>
          <w:sz w:val="32"/>
          <w:szCs w:val="32"/>
        </w:rPr>
        <w:t>、第二阶段</w:t>
      </w: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月、第三阶段</w:t>
      </w:r>
      <w:r>
        <w:rPr>
          <w:rFonts w:hint="eastAsia" w:ascii="仿宋_GB2312" w:hAnsi="Times New Roman" w:eastAsia="仿宋_GB2312" w:cs="Times New Roman"/>
          <w:sz w:val="32"/>
          <w:szCs w:val="32"/>
          <w:lang w:val="en-US" w:eastAsia="zh-CN"/>
        </w:rPr>
        <w:t>9月底</w:t>
      </w:r>
      <w:r>
        <w:rPr>
          <w:rFonts w:hint="eastAsia" w:ascii="仿宋_GB2312" w:hAnsi="Times New Roman" w:eastAsia="仿宋_GB2312" w:cs="Times New Roman"/>
          <w:sz w:val="32"/>
          <w:szCs w:val="32"/>
        </w:rPr>
        <w:t>。</w:t>
      </w:r>
    </w:p>
    <w:p w14:paraId="0FC487FB">
      <w:pPr>
        <w:numPr>
          <w:ilvl w:val="0"/>
          <w:numId w:val="12"/>
        </w:numPr>
        <w:spacing w:line="500" w:lineRule="exact"/>
        <w:ind w:left="0" w:leftChars="0" w:firstLine="640" w:firstLineChars="200"/>
        <w:rPr>
          <w:rFonts w:hint="eastAsia" w:ascii="仿宋_GB2312" w:eastAsia="仿宋_GB2312"/>
          <w:sz w:val="32"/>
          <w:szCs w:val="32"/>
        </w:rPr>
      </w:pPr>
      <w:r>
        <w:rPr>
          <w:rFonts w:hint="eastAsia" w:ascii="仿宋_GB2312" w:eastAsia="仿宋_GB2312"/>
          <w:sz w:val="32"/>
          <w:szCs w:val="32"/>
        </w:rPr>
        <w:t>项目预算情况。包括项目年初预算、年度调整情况等。</w:t>
      </w:r>
    </w:p>
    <w:p w14:paraId="0BA3614B">
      <w:pPr>
        <w:numPr>
          <w:ilvl w:val="0"/>
          <w:numId w:val="0"/>
        </w:numPr>
        <w:spacing w:line="50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年初预算</w:t>
      </w:r>
      <w:r>
        <w:rPr>
          <w:rFonts w:hint="eastAsia" w:ascii="仿宋_GB2312" w:eastAsia="仿宋_GB2312"/>
          <w:sz w:val="32"/>
          <w:szCs w:val="32"/>
          <w:lang w:val="en-US" w:eastAsia="zh-CN"/>
        </w:rPr>
        <w:t>5万。采取政府购买第三方服务方式，中标价格4.89万元。年度无调整。</w:t>
      </w:r>
    </w:p>
    <w:p w14:paraId="316A3F8B">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二</w:t>
      </w:r>
      <w:r>
        <w:rPr>
          <w:rFonts w:hint="eastAsia" w:ascii="黑体" w:hAnsi="黑体" w:eastAsia="黑体" w:cs="黑体"/>
          <w:color w:val="000000"/>
          <w:spacing w:val="0"/>
          <w:w w:val="100"/>
          <w:position w:val="0"/>
          <w:sz w:val="32"/>
          <w:szCs w:val="32"/>
        </w:rPr>
        <w:t>、项目绩效自评开展情况</w:t>
      </w:r>
    </w:p>
    <w:p w14:paraId="59A432E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color w:val="000000"/>
          <w:spacing w:val="0"/>
          <w:w w:val="100"/>
          <w:position w:val="0"/>
          <w:sz w:val="32"/>
          <w:szCs w:val="32"/>
          <w:lang w:eastAsia="zh-CN"/>
        </w:rPr>
        <w:t>新区卫生健康委高度重视项目绩效自评估工作，专门召开会议传达上级要求，结合新区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2023年工作开展情况</w:t>
      </w:r>
      <w:r>
        <w:rPr>
          <w:rFonts w:hint="eastAsia" w:ascii="仿宋_GB2312" w:hAnsi="仿宋_GB2312" w:eastAsia="仿宋_GB2312" w:cs="仿宋_GB2312"/>
          <w:color w:val="000000"/>
          <w:spacing w:val="0"/>
          <w:w w:val="100"/>
          <w:position w:val="0"/>
          <w:sz w:val="32"/>
          <w:szCs w:val="32"/>
          <w:lang w:eastAsia="zh-CN"/>
        </w:rPr>
        <w:t>认真组织自评报告及时总结一年来工作成效，寻找短板和工作差距</w:t>
      </w:r>
      <w:r>
        <w:rPr>
          <w:rFonts w:hint="eastAsia" w:ascii="仿宋_GB2312" w:hAnsi="仿宋_GB2312" w:eastAsia="仿宋_GB2312" w:cs="仿宋_GB2312"/>
          <w:color w:val="000000"/>
          <w:spacing w:val="0"/>
          <w:w w:val="100"/>
          <w:position w:val="0"/>
          <w:sz w:val="32"/>
          <w:szCs w:val="32"/>
          <w:lang w:val="en-US" w:eastAsia="zh-CN"/>
        </w:rPr>
        <w:t>。</w:t>
      </w:r>
    </w:p>
    <w:p w14:paraId="1D34405F">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仿宋_GB2312" w:eastAsia="仿宋_GB2312"/>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w:t>
      </w:r>
      <w:r>
        <w:rPr>
          <w:rFonts w:hint="eastAsia" w:ascii="黑体" w:hAnsi="黑体" w:eastAsia="黑体" w:cs="黑体"/>
          <w:color w:val="000000"/>
          <w:spacing w:val="0"/>
          <w:w w:val="100"/>
          <w:position w:val="0"/>
          <w:sz w:val="32"/>
          <w:szCs w:val="32"/>
        </w:rPr>
        <w:t>绩效目标完成情况分析</w:t>
      </w:r>
    </w:p>
    <w:p w14:paraId="63A01D0B">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1、项目管理情况。包括制度建设、项目管理和财务管理情况等。</w:t>
      </w:r>
    </w:p>
    <w:p w14:paraId="067265E6">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2023年评估工作按照</w:t>
      </w: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年兰州新区病媒生物防制工作实施方案》（</w:t>
      </w:r>
      <w:r>
        <w:rPr>
          <w:rFonts w:hint="eastAsia" w:ascii="仿宋_GB2312" w:eastAsia="仿宋_GB2312"/>
          <w:sz w:val="32"/>
          <w:szCs w:val="32"/>
          <w:lang w:eastAsia="zh-CN"/>
        </w:rPr>
        <w:t>新爱卫办</w:t>
      </w:r>
      <w:r>
        <w:rPr>
          <w:rFonts w:hint="eastAsia" w:ascii="仿宋_GB2312" w:eastAsia="仿宋_GB2312"/>
          <w:sz w:val="32"/>
          <w:szCs w:val="32"/>
        </w:rPr>
        <w:t>发〔20</w:t>
      </w:r>
      <w:r>
        <w:rPr>
          <w:rFonts w:hint="eastAsia" w:ascii="仿宋_GB2312" w:eastAsia="仿宋_GB2312"/>
          <w:sz w:val="32"/>
          <w:szCs w:val="32"/>
          <w:lang w:val="en-US" w:eastAsia="zh-CN"/>
        </w:rPr>
        <w:t>23</w:t>
      </w:r>
      <w:r>
        <w:rPr>
          <w:rFonts w:hint="eastAsia" w:ascii="仿宋_GB2312" w:eastAsia="仿宋_GB2312"/>
          <w:sz w:val="32"/>
          <w:szCs w:val="32"/>
        </w:rPr>
        <w:t>〕</w:t>
      </w:r>
      <w:r>
        <w:rPr>
          <w:rFonts w:hint="eastAsia" w:ascii="仿宋_GB2312" w:eastAsia="仿宋_GB2312"/>
          <w:sz w:val="32"/>
          <w:szCs w:val="32"/>
          <w:lang w:val="en-US" w:eastAsia="zh-CN"/>
        </w:rPr>
        <w:t>1</w:t>
      </w:r>
      <w:r>
        <w:rPr>
          <w:rFonts w:hint="eastAsia" w:ascii="仿宋_GB2312" w:eastAsia="仿宋_GB2312"/>
          <w:sz w:val="32"/>
          <w:szCs w:val="32"/>
        </w:rPr>
        <w:t>号）</w:t>
      </w:r>
      <w:r>
        <w:rPr>
          <w:rFonts w:hint="eastAsia" w:ascii="仿宋_GB2312" w:eastAsia="仿宋_GB2312"/>
          <w:sz w:val="32"/>
          <w:szCs w:val="32"/>
          <w:lang w:eastAsia="zh-CN"/>
        </w:rPr>
        <w:t>执行。</w:t>
      </w:r>
    </w:p>
    <w:p w14:paraId="46990AC3">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2、预算执行情况。包括预算安排情况、预算资金到位情况、项目实际支出情况等。</w:t>
      </w:r>
    </w:p>
    <w:p w14:paraId="64E1E68C">
      <w:pPr>
        <w:spacing w:line="500" w:lineRule="exact"/>
        <w:ind w:firstLine="643" w:firstLineChars="200"/>
        <w:rPr>
          <w:rFonts w:hint="default" w:ascii="仿宋_GB2312" w:hAnsi="Times New Roman" w:eastAsia="仿宋_GB2312" w:cs="Times New Roman"/>
          <w:sz w:val="32"/>
          <w:szCs w:val="32"/>
          <w:lang w:val="en-US" w:eastAsia="zh-CN"/>
        </w:rPr>
      </w:pPr>
      <w:r>
        <w:rPr>
          <w:rFonts w:hint="eastAsia" w:ascii="仿宋_GB2312" w:eastAsia="仿宋_GB2312"/>
          <w:b/>
          <w:bCs/>
          <w:sz w:val="32"/>
          <w:szCs w:val="32"/>
          <w:lang w:eastAsia="zh-CN"/>
        </w:rPr>
        <w:t>预算安排：</w:t>
      </w:r>
      <w:r>
        <w:rPr>
          <w:rFonts w:hint="eastAsia" w:ascii="仿宋_GB2312" w:hAnsi="Times New Roman" w:eastAsia="仿宋_GB2312" w:cs="Times New Roman"/>
          <w:sz w:val="32"/>
          <w:szCs w:val="32"/>
          <w:lang w:eastAsia="zh-CN"/>
        </w:rPr>
        <w:t>通过竞争性磋商，招标第三方有资质公司开展评估工作，中标价格</w:t>
      </w:r>
      <w:r>
        <w:rPr>
          <w:rFonts w:hint="eastAsia" w:ascii="仿宋_GB2312" w:hAnsi="Times New Roman" w:eastAsia="仿宋_GB2312" w:cs="Times New Roman"/>
          <w:sz w:val="32"/>
          <w:szCs w:val="32"/>
          <w:lang w:val="en-US" w:eastAsia="zh-CN"/>
        </w:rPr>
        <w:t>4.89万元。</w:t>
      </w:r>
    </w:p>
    <w:p w14:paraId="5E778324">
      <w:p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预算资金到位情况：</w:t>
      </w:r>
      <w:r>
        <w:rPr>
          <w:rFonts w:hint="eastAsia" w:ascii="仿宋_GB2312" w:eastAsia="仿宋_GB2312"/>
          <w:sz w:val="32"/>
          <w:szCs w:val="32"/>
          <w:lang w:eastAsia="zh-CN"/>
        </w:rPr>
        <w:t>全部到位</w:t>
      </w:r>
    </w:p>
    <w:p w14:paraId="341E9530">
      <w:pPr>
        <w:spacing w:line="500" w:lineRule="exact"/>
        <w:ind w:firstLine="643" w:firstLineChars="200"/>
        <w:rPr>
          <w:rFonts w:hint="eastAsia" w:ascii="仿宋_GB2312" w:hAnsi="Times New Roman" w:eastAsia="仿宋_GB2312" w:cs="Times New Roman"/>
          <w:sz w:val="32"/>
          <w:szCs w:val="32"/>
          <w:lang w:val="en-US" w:eastAsia="zh-CN"/>
        </w:rPr>
      </w:pPr>
      <w:r>
        <w:rPr>
          <w:rFonts w:hint="eastAsia" w:ascii="仿宋_GB2312" w:eastAsia="仿宋_GB2312"/>
          <w:b/>
          <w:bCs/>
          <w:sz w:val="32"/>
          <w:szCs w:val="32"/>
          <w:lang w:eastAsia="zh-CN"/>
        </w:rPr>
        <w:t>项目实际支出：</w:t>
      </w:r>
      <w:r>
        <w:rPr>
          <w:rFonts w:hint="eastAsia" w:ascii="仿宋_GB2312" w:hAnsi="Times New Roman" w:eastAsia="仿宋_GB2312" w:cs="Times New Roman"/>
          <w:sz w:val="32"/>
          <w:szCs w:val="32"/>
          <w:lang w:eastAsia="zh-CN"/>
        </w:rPr>
        <w:t>按照合同要求，</w:t>
      </w:r>
      <w:r>
        <w:rPr>
          <w:rFonts w:hint="eastAsia" w:ascii="仿宋_GB2312" w:hAnsi="Times New Roman" w:eastAsia="仿宋_GB2312" w:cs="Times New Roman"/>
          <w:sz w:val="32"/>
          <w:szCs w:val="32"/>
        </w:rPr>
        <w:t>合同签订后，甲方在30个工作日内向乙方支付合同总价款，乙方在收到款项后，分别于5月底、7月底、9月底前出具评估报告，如未按期出具评估报告和报告不符合甲方要求，乙方需支付合同总价款15%的违约金</w:t>
      </w:r>
    </w:p>
    <w:p w14:paraId="716D536A">
      <w:pPr>
        <w:numPr>
          <w:ilvl w:val="0"/>
          <w:numId w:val="15"/>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绩效目标完成情况。包括项目目标调整情况、阶段性目标完成情况、项目绩效目标预期实现程度及产生的效益。</w:t>
      </w:r>
    </w:p>
    <w:p w14:paraId="307E19B9">
      <w:pPr>
        <w:numPr>
          <w:ilvl w:val="0"/>
          <w:numId w:val="0"/>
        </w:numPr>
        <w:spacing w:line="5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项目目标无调整，目前已完成第一次、第二次评估工作，预期实现较好，新区范围内病媒生物达到国家C级标准。</w:t>
      </w:r>
    </w:p>
    <w:p w14:paraId="62A95CA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三、偏离绩效目标的原因及下一步改进措施</w:t>
      </w:r>
    </w:p>
    <w:p w14:paraId="0FD8380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eastAsia="仿宋_GB2312"/>
          <w:sz w:val="32"/>
          <w:szCs w:val="32"/>
        </w:rPr>
        <w:t>目前该项目工作</w:t>
      </w:r>
      <w:r>
        <w:rPr>
          <w:rFonts w:hint="eastAsia" w:ascii="仿宋_GB2312" w:eastAsia="仿宋_GB2312"/>
          <w:sz w:val="32"/>
          <w:szCs w:val="32"/>
          <w:lang w:eastAsia="zh-CN"/>
        </w:rPr>
        <w:t>已完成年初既定目标</w:t>
      </w:r>
      <w:r>
        <w:rPr>
          <w:rFonts w:hint="eastAsia" w:ascii="仿宋_GB2312" w:eastAsia="仿宋_GB2312"/>
          <w:sz w:val="32"/>
          <w:szCs w:val="32"/>
        </w:rPr>
        <w:t>，达到年度绩效目标，执行未出现偏差。</w:t>
      </w:r>
    </w:p>
    <w:p w14:paraId="255F349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四、绩效自评结果拟应用和公开情况</w:t>
      </w:r>
    </w:p>
    <w:p w14:paraId="15F34DE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780285A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2.针对本部门绩效自评中存在的问题，及时调整和优化本部门后续项目和以后年度预算支出的方向和结构，合理配置资源，加强财务管理。</w:t>
      </w:r>
    </w:p>
    <w:p w14:paraId="3D9393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i w:val="0"/>
          <w:caps w:val="0"/>
          <w:color w:val="333333"/>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038BAFA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i w:val="0"/>
          <w:caps w:val="0"/>
          <w:color w:val="333333"/>
          <w:spacing w:val="0"/>
          <w:sz w:val="32"/>
          <w:szCs w:val="32"/>
          <w:shd w:val="clear" w:color="auto" w:fill="FFFFFF"/>
          <w:lang w:eastAsia="zh-CN"/>
        </w:rPr>
      </w:pPr>
      <w:r>
        <w:rPr>
          <w:rFonts w:hint="eastAsia" w:ascii="黑体" w:hAnsi="宋体" w:eastAsia="黑体" w:cs="黑体"/>
          <w:i w:val="0"/>
          <w:caps w:val="0"/>
          <w:color w:val="333333"/>
          <w:spacing w:val="0"/>
          <w:sz w:val="32"/>
          <w:szCs w:val="32"/>
          <w:shd w:val="clear" w:color="auto" w:fill="FFFFFF"/>
          <w:lang w:eastAsia="zh-CN"/>
        </w:rPr>
        <w:t>五、其他需要说明的问题</w:t>
      </w:r>
    </w:p>
    <w:p w14:paraId="5FDED3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_GB2312" w:eastAsia="仿宋_GB2312"/>
          <w:sz w:val="32"/>
          <w:szCs w:val="32"/>
          <w:lang w:val="en-US" w:eastAsia="zh-CN"/>
        </w:rPr>
      </w:pPr>
      <w:r>
        <w:rPr>
          <w:rFonts w:hint="eastAsia" w:ascii="仿宋_GB2312" w:hAnsi="仿宋_GB2312" w:eastAsia="仿宋_GB2312" w:cs="仿宋_GB2312"/>
          <w:b w:val="0"/>
          <w:bCs w:val="0"/>
          <w:color w:val="000000"/>
          <w:sz w:val="32"/>
          <w:szCs w:val="32"/>
          <w:lang w:val="en-US" w:eastAsia="zh-CN"/>
        </w:rPr>
        <w:t>无。</w:t>
      </w:r>
    </w:p>
    <w:p w14:paraId="627D79C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outlineLvl w:val="2"/>
        <w:rPr>
          <w:rFonts w:hint="default" w:ascii="楷体_GB2312" w:hAnsi="楷体_GB2312" w:eastAsia="楷体" w:cs="楷体_GB2312"/>
          <w:b/>
          <w:bCs/>
          <w:color w:val="000000" w:themeColor="text1"/>
          <w:szCs w:val="32"/>
          <w:lang w:val="en-US" w:eastAsia="zh-CN"/>
        </w:rPr>
      </w:pPr>
      <w:r>
        <w:rPr>
          <w:rFonts w:hint="eastAsia" w:ascii="楷体" w:hAnsi="楷体" w:eastAsia="楷体" w:cs="楷体"/>
          <w:b/>
          <w:bCs/>
          <w:szCs w:val="32"/>
        </w:rPr>
        <w:t>（十</w:t>
      </w:r>
      <w:r>
        <w:rPr>
          <w:rFonts w:hint="eastAsia" w:ascii="楷体" w:hAnsi="楷体" w:eastAsia="楷体" w:cs="楷体"/>
          <w:b/>
          <w:bCs/>
          <w:szCs w:val="32"/>
          <w:lang w:eastAsia="zh-CN"/>
        </w:rPr>
        <w:t>六</w:t>
      </w:r>
      <w:r>
        <w:rPr>
          <w:rFonts w:hint="eastAsia" w:ascii="楷体" w:hAnsi="楷体" w:eastAsia="楷体" w:cs="楷体"/>
          <w:b/>
          <w:bCs/>
          <w:szCs w:val="32"/>
        </w:rPr>
        <w:t>）</w:t>
      </w:r>
      <w:r>
        <w:rPr>
          <w:rFonts w:hint="eastAsia" w:ascii="楷体" w:hAnsi="楷体" w:eastAsia="楷体" w:cs="楷体"/>
          <w:b/>
          <w:bCs/>
          <w:color w:val="auto"/>
          <w:szCs w:val="32"/>
        </w:rPr>
        <w:t>数据中心卫生专网费用</w:t>
      </w:r>
    </w:p>
    <w:p w14:paraId="63E5E22B">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1.项目支出预算执行情况</w:t>
      </w:r>
    </w:p>
    <w:p w14:paraId="1ADA5EF8">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szCs w:val="32"/>
        </w:rPr>
      </w:pPr>
      <w:r>
        <w:rPr>
          <w:rFonts w:hint="eastAsia" w:ascii="仿宋_GB2312" w:hAnsi="仿宋_GB2312" w:eastAsia="仿宋_GB2312" w:cs="仿宋_GB2312"/>
          <w:color w:val="auto"/>
        </w:rPr>
        <w:t>202</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年数据中心卫生专网项目全年预算数为</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万元，全年执行数为</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万元</w:t>
      </w:r>
      <w:r>
        <w:rPr>
          <w:rFonts w:hint="eastAsia" w:ascii="仿宋_GB2312" w:hAnsi="仿宋_GB2312" w:eastAsia="仿宋_GB2312" w:cs="仿宋_GB2312"/>
          <w:color w:val="auto"/>
          <w:szCs w:val="32"/>
        </w:rPr>
        <w:t>。</w:t>
      </w:r>
    </w:p>
    <w:p w14:paraId="7AB1A4AD">
      <w:pPr>
        <w:keepNext w:val="0"/>
        <w:keepLines w:val="0"/>
        <w:pageBreakBefore w:val="0"/>
        <w:widowControl/>
        <w:numPr>
          <w:ilvl w:val="3"/>
          <w:numId w:val="0"/>
        </w:numPr>
        <w:kinsoku w:val="0"/>
        <w:wordWrap/>
        <w:overflowPunct/>
        <w:topLinePunct w:val="0"/>
        <w:autoSpaceDE w:val="0"/>
        <w:autoSpaceDN w:val="0"/>
        <w:bidi w:val="0"/>
        <w:adjustRightInd w:val="0"/>
        <w:snapToGrid w:val="0"/>
        <w:spacing w:line="560" w:lineRule="exact"/>
        <w:ind w:left="0" w:leftChars="0" w:firstLine="643" w:firstLineChars="200"/>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2.总体绩效目标完成情况分析</w:t>
      </w:r>
    </w:p>
    <w:p w14:paraId="276BD4CD">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（1）总体绩效目标</w:t>
      </w:r>
    </w:p>
    <w:p w14:paraId="3448148B">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rPr>
        <w:t>通过</w:t>
      </w:r>
      <w:r>
        <w:rPr>
          <w:rFonts w:hint="eastAsia" w:ascii="仿宋_GB2312" w:hAnsi="仿宋_GB2312" w:eastAsia="仿宋_GB2312" w:cs="仿宋_GB2312"/>
          <w:color w:val="auto"/>
          <w:sz w:val="32"/>
          <w:szCs w:val="32"/>
          <w:lang w:eastAsia="zh-CN"/>
        </w:rPr>
        <w:t>及时</w:t>
      </w:r>
      <w:r>
        <w:rPr>
          <w:rFonts w:hint="eastAsia" w:ascii="仿宋_GB2312" w:hAnsi="仿宋_GB2312" w:eastAsia="仿宋_GB2312" w:cs="仿宋_GB2312"/>
          <w:color w:val="auto"/>
          <w:sz w:val="32"/>
          <w:szCs w:val="32"/>
          <w:lang w:val="en-US" w:eastAsia="zh-CN"/>
        </w:rPr>
        <w:t>足额支付卫生专网年度费用，保证新区智慧城市智慧医疗数据中心与全省卫生专网链路通畅，确保新区智慧医疗各子系统正常运转</w:t>
      </w:r>
      <w:r>
        <w:rPr>
          <w:rFonts w:hint="eastAsia" w:ascii="仿宋_GB2312" w:hAnsi="仿宋_GB2312" w:eastAsia="仿宋_GB2312" w:cs="仿宋_GB2312"/>
          <w:color w:val="auto"/>
          <w:sz w:val="32"/>
          <w:szCs w:val="32"/>
        </w:rPr>
        <w:t>。</w:t>
      </w:r>
    </w:p>
    <w:p w14:paraId="039DD4BD">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（2）完成情况分析</w:t>
      </w:r>
    </w:p>
    <w:p w14:paraId="1A85BC14">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截至202</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年底，足额支付卫生专网年度费用，保证新区智慧城市智慧医疗数据中心与全省卫生专网链路通畅，确保新区智慧医疗各子系统正常运转。</w:t>
      </w:r>
    </w:p>
    <w:p w14:paraId="54C15017">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3.各项指标完成情况分析</w:t>
      </w:r>
    </w:p>
    <w:p w14:paraId="2DFC799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（1）预算资金执行率</w:t>
      </w:r>
    </w:p>
    <w:p w14:paraId="74F21274">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color w:val="auto"/>
        </w:rPr>
        <w:t>202</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年度项目全年预算数为</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万元，执行数为</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万元，预算执行率为</w:t>
      </w:r>
      <w:r>
        <w:rPr>
          <w:rFonts w:hint="eastAsia" w:ascii="仿宋_GB2312" w:hAnsi="仿宋_GB2312" w:eastAsia="仿宋_GB2312" w:cs="仿宋_GB2312"/>
          <w:color w:val="auto"/>
          <w:lang w:val="en-US" w:eastAsia="zh-CN"/>
        </w:rPr>
        <w:t>100</w:t>
      </w:r>
      <w:r>
        <w:rPr>
          <w:rFonts w:hint="eastAsia" w:ascii="仿宋_GB2312" w:hAnsi="仿宋_GB2312" w:eastAsia="仿宋_GB2312" w:cs="仿宋_GB2312"/>
          <w:color w:val="auto"/>
        </w:rPr>
        <w:t>%，按比例，该指标得</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分。</w:t>
      </w:r>
    </w:p>
    <w:p w14:paraId="4C99B893">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（2）产出指标</w:t>
      </w:r>
    </w:p>
    <w:p w14:paraId="1E93618A">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产出指标分值为</w:t>
      </w:r>
      <w:r>
        <w:rPr>
          <w:rFonts w:hint="eastAsia" w:ascii="仿宋_GB2312" w:hAnsi="仿宋_GB2312" w:eastAsia="仿宋_GB2312" w:cs="仿宋_GB2312"/>
          <w:color w:val="auto"/>
          <w:lang w:val="en-US" w:eastAsia="zh-CN"/>
        </w:rPr>
        <w:t>50</w:t>
      </w:r>
      <w:r>
        <w:rPr>
          <w:rFonts w:hint="eastAsia" w:ascii="仿宋_GB2312" w:hAnsi="仿宋_GB2312" w:eastAsia="仿宋_GB2312" w:cs="仿宋_GB2312"/>
          <w:color w:val="auto"/>
        </w:rPr>
        <w:t>分，得</w:t>
      </w:r>
      <w:r>
        <w:rPr>
          <w:rFonts w:hint="eastAsia" w:ascii="仿宋_GB2312" w:hAnsi="仿宋_GB2312" w:eastAsia="仿宋_GB2312" w:cs="仿宋_GB2312"/>
          <w:color w:val="auto"/>
          <w:lang w:val="en-US" w:eastAsia="zh-CN"/>
        </w:rPr>
        <w:t>50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各医疗机构卫生专网实现全覆盖，网络畅通</w:t>
      </w:r>
      <w:r>
        <w:rPr>
          <w:rFonts w:hint="eastAsia" w:ascii="仿宋_GB2312" w:hAnsi="仿宋_GB2312" w:eastAsia="仿宋_GB2312" w:cs="仿宋_GB2312"/>
          <w:color w:val="auto"/>
          <w:sz w:val="32"/>
          <w:szCs w:val="32"/>
        </w:rPr>
        <w:t>。</w:t>
      </w:r>
    </w:p>
    <w:p w14:paraId="43630A23">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（3）效益指标</w:t>
      </w:r>
    </w:p>
    <w:p w14:paraId="76497C9D">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效益指标分值为</w:t>
      </w:r>
      <w:r>
        <w:rPr>
          <w:rFonts w:hint="eastAsia" w:ascii="仿宋_GB2312" w:hAnsi="仿宋_GB2312" w:eastAsia="仿宋_GB2312" w:cs="仿宋_GB2312"/>
          <w:color w:val="auto"/>
          <w:lang w:val="en-US" w:eastAsia="zh-CN"/>
        </w:rPr>
        <w:t>35</w:t>
      </w:r>
      <w:r>
        <w:rPr>
          <w:rFonts w:hint="eastAsia" w:ascii="仿宋_GB2312" w:hAnsi="仿宋_GB2312" w:eastAsia="仿宋_GB2312" w:cs="仿宋_GB2312"/>
          <w:color w:val="auto"/>
        </w:rPr>
        <w:t>分，得</w:t>
      </w:r>
      <w:r>
        <w:rPr>
          <w:rFonts w:hint="eastAsia" w:ascii="仿宋_GB2312" w:hAnsi="仿宋_GB2312" w:eastAsia="仿宋_GB2312" w:cs="仿宋_GB2312"/>
          <w:color w:val="auto"/>
          <w:lang w:val="en-US" w:eastAsia="zh-CN"/>
        </w:rPr>
        <w:t>35</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保障了所有公立医疗机构系统正常运转</w:t>
      </w:r>
      <w:r>
        <w:rPr>
          <w:rFonts w:hint="eastAsia" w:ascii="仿宋_GB2312" w:hAnsi="仿宋_GB2312" w:eastAsia="仿宋_GB2312" w:cs="仿宋_GB2312"/>
          <w:color w:val="auto"/>
          <w:sz w:val="32"/>
          <w:szCs w:val="32"/>
          <w:lang w:eastAsia="zh-CN"/>
        </w:rPr>
        <w:t>，方便了辖区群众就医看病。</w:t>
      </w:r>
    </w:p>
    <w:p w14:paraId="60D5E33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（4）满意度指标</w:t>
      </w:r>
    </w:p>
    <w:p w14:paraId="0AD40F0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满意度指标分值为</w:t>
      </w:r>
      <w:r>
        <w:rPr>
          <w:rFonts w:hint="eastAsia" w:ascii="仿宋_GB2312" w:hAnsi="仿宋_GB2312" w:eastAsia="仿宋_GB2312" w:cs="仿宋_GB2312"/>
          <w:color w:val="auto"/>
          <w:lang w:val="en-US" w:eastAsia="zh-CN"/>
        </w:rPr>
        <w:t>15</w:t>
      </w:r>
      <w:r>
        <w:rPr>
          <w:rFonts w:hint="eastAsia" w:ascii="仿宋_GB2312" w:hAnsi="仿宋_GB2312" w:eastAsia="仿宋_GB2312" w:cs="仿宋_GB2312"/>
          <w:color w:val="auto"/>
        </w:rPr>
        <w:t>分，得</w:t>
      </w:r>
      <w:r>
        <w:rPr>
          <w:rFonts w:hint="eastAsia" w:ascii="仿宋_GB2312" w:hAnsi="仿宋_GB2312" w:eastAsia="仿宋_GB2312" w:cs="仿宋_GB2312"/>
          <w:color w:val="auto"/>
          <w:lang w:val="en-US" w:eastAsia="zh-CN"/>
        </w:rPr>
        <w:t>15</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实现了</w:t>
      </w:r>
      <w:r>
        <w:rPr>
          <w:rFonts w:hint="eastAsia" w:ascii="仿宋_GB2312" w:hAnsi="仿宋_GB2312" w:eastAsia="仿宋_GB2312" w:cs="仿宋_GB2312"/>
          <w:color w:val="auto"/>
          <w:sz w:val="32"/>
          <w:szCs w:val="32"/>
        </w:rPr>
        <w:t>各医疗机构卫生专网全覆盖</w:t>
      </w:r>
      <w:r>
        <w:rPr>
          <w:rFonts w:hint="eastAsia" w:ascii="仿宋_GB2312" w:hAnsi="仿宋_GB2312" w:eastAsia="仿宋_GB2312" w:cs="仿宋_GB2312"/>
          <w:color w:val="auto"/>
          <w:sz w:val="32"/>
          <w:szCs w:val="32"/>
          <w:lang w:eastAsia="zh-CN"/>
        </w:rPr>
        <w:t>，提高了医务人员方便工作及辖区居民就医的满意度。</w:t>
      </w:r>
    </w:p>
    <w:p w14:paraId="50A84B8D">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lang w:val="en-US" w:eastAsia="zh-CN"/>
        </w:rPr>
        <w:t>4.</w:t>
      </w:r>
      <w:r>
        <w:rPr>
          <w:rFonts w:hint="eastAsia" w:ascii="仿宋_GB2312" w:hAnsi="仿宋_GB2312" w:eastAsia="仿宋_GB2312" w:cs="仿宋_GB2312"/>
          <w:b/>
          <w:bCs/>
          <w:color w:val="auto"/>
        </w:rPr>
        <w:t>偏离绩效目标的原因及下一步改进措施</w:t>
      </w:r>
    </w:p>
    <w:p w14:paraId="02D76B6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rPr>
          <w:rFonts w:hint="eastAsia" w:ascii="仿宋_GB2312" w:hAnsi="仿宋_GB2312" w:eastAsia="仿宋_GB2312" w:cs="仿宋_GB2312"/>
          <w:b w:val="0"/>
          <w:bCs w:val="0"/>
          <w:snapToGrid w:val="0"/>
          <w:color w:val="auto"/>
          <w:kern w:val="0"/>
          <w:sz w:val="32"/>
          <w:szCs w:val="32"/>
        </w:rPr>
      </w:pPr>
      <w:r>
        <w:rPr>
          <w:rFonts w:hint="eastAsia" w:ascii="仿宋_GB2312" w:hAnsi="仿宋_GB2312" w:eastAsia="仿宋_GB2312" w:cs="仿宋_GB2312"/>
          <w:b w:val="0"/>
          <w:bCs w:val="0"/>
          <w:snapToGrid w:val="0"/>
          <w:color w:val="auto"/>
          <w:kern w:val="0"/>
          <w:sz w:val="32"/>
          <w:szCs w:val="32"/>
        </w:rPr>
        <w:t>项目实施全过程中未出现偏差。</w:t>
      </w:r>
    </w:p>
    <w:p w14:paraId="187D5C27">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outlineLvl w:val="2"/>
        <w:rPr>
          <w:rFonts w:hint="eastAsia" w:ascii="楷体" w:hAnsi="楷体" w:eastAsia="楷体" w:cs="楷体"/>
          <w:b/>
          <w:bCs/>
          <w:color w:val="auto"/>
          <w:szCs w:val="32"/>
        </w:rPr>
      </w:pPr>
      <w:r>
        <w:rPr>
          <w:rFonts w:hint="eastAsia" w:ascii="楷体" w:hAnsi="楷体" w:eastAsia="楷体" w:cs="楷体"/>
          <w:b/>
          <w:bCs/>
          <w:color w:val="auto"/>
          <w:szCs w:val="32"/>
          <w:lang w:eastAsia="zh-CN"/>
        </w:rPr>
        <w:t>（十七）本级疫情防控工作经费</w:t>
      </w:r>
    </w:p>
    <w:p w14:paraId="695656BF">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jc w:val="left"/>
        <w:textAlignment w:val="baseline"/>
        <w:rPr>
          <w:rFonts w:hint="eastAsia" w:ascii="仿宋_GB2312" w:hAnsi="仿宋_GB2312" w:eastAsia="仿宋_GB2312" w:cs="仿宋_GB2312"/>
          <w:b/>
          <w:bCs/>
          <w:color w:val="auto"/>
          <w:lang w:eastAsia="zh-CN"/>
        </w:rPr>
      </w:pPr>
      <w:r>
        <w:rPr>
          <w:rFonts w:hint="eastAsia" w:ascii="仿宋_GB2312" w:hAnsi="仿宋_GB2312" w:eastAsia="仿宋_GB2312" w:cs="仿宋_GB2312"/>
          <w:b/>
          <w:bCs/>
          <w:color w:val="auto"/>
          <w:lang w:eastAsia="zh-CN"/>
        </w:rPr>
        <w:t>1.项目支出预算执行情况</w:t>
      </w:r>
    </w:p>
    <w:p w14:paraId="24BC768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left"/>
        <w:textAlignment w:val="baseline"/>
        <w:rPr>
          <w:rFonts w:hint="eastAsia" w:ascii="仿宋_GB2312" w:hAnsi="仿宋_GB2312" w:eastAsia="仿宋_GB2312" w:cs="仿宋_GB2312"/>
          <w:b w:val="0"/>
          <w:snapToGrid w:val="0"/>
          <w:color w:val="auto"/>
          <w:kern w:val="0"/>
          <w:sz w:val="32"/>
          <w:szCs w:val="32"/>
          <w:lang w:eastAsia="zh-CN"/>
        </w:rPr>
      </w:pPr>
      <w:r>
        <w:rPr>
          <w:rFonts w:hint="eastAsia" w:ascii="仿宋_GB2312" w:hAnsi="仿宋_GB2312" w:eastAsia="仿宋_GB2312" w:cs="仿宋_GB2312"/>
          <w:b w:val="0"/>
          <w:snapToGrid w:val="0"/>
          <w:color w:val="auto"/>
          <w:kern w:val="0"/>
          <w:sz w:val="32"/>
          <w:szCs w:val="32"/>
          <w:lang w:eastAsia="zh-CN"/>
        </w:rPr>
        <w:t>兰州新区202</w:t>
      </w:r>
      <w:r>
        <w:rPr>
          <w:rFonts w:hint="eastAsia" w:ascii="仿宋_GB2312" w:hAnsi="仿宋_GB2312" w:eastAsia="仿宋_GB2312" w:cs="仿宋_GB2312"/>
          <w:b w:val="0"/>
          <w:snapToGrid w:val="0"/>
          <w:color w:val="auto"/>
          <w:kern w:val="0"/>
          <w:sz w:val="32"/>
          <w:szCs w:val="32"/>
          <w:lang w:val="en-US" w:eastAsia="zh-CN"/>
        </w:rPr>
        <w:t>3</w:t>
      </w:r>
      <w:r>
        <w:rPr>
          <w:rFonts w:hint="eastAsia" w:ascii="仿宋_GB2312" w:hAnsi="仿宋_GB2312" w:eastAsia="仿宋_GB2312" w:cs="仿宋_GB2312"/>
          <w:b w:val="0"/>
          <w:snapToGrid w:val="0"/>
          <w:color w:val="auto"/>
          <w:kern w:val="0"/>
          <w:sz w:val="32"/>
          <w:szCs w:val="32"/>
          <w:lang w:eastAsia="zh-CN"/>
        </w:rPr>
        <w:t>年新冠肺炎疫情防控资金为</w:t>
      </w:r>
      <w:r>
        <w:rPr>
          <w:rFonts w:hint="eastAsia" w:ascii="仿宋_GB2312" w:hAnsi="仿宋_GB2312" w:eastAsia="仿宋_GB2312" w:cs="仿宋_GB2312"/>
          <w:b w:val="0"/>
          <w:snapToGrid w:val="0"/>
          <w:color w:val="auto"/>
          <w:kern w:val="0"/>
          <w:sz w:val="32"/>
          <w:szCs w:val="32"/>
          <w:lang w:val="en-US" w:eastAsia="zh-CN"/>
        </w:rPr>
        <w:t>2500</w:t>
      </w:r>
      <w:r>
        <w:rPr>
          <w:rFonts w:hint="eastAsia" w:ascii="仿宋_GB2312" w:hAnsi="仿宋_GB2312" w:eastAsia="仿宋_GB2312" w:cs="仿宋_GB2312"/>
          <w:b w:val="0"/>
          <w:snapToGrid w:val="0"/>
          <w:color w:val="auto"/>
          <w:kern w:val="0"/>
          <w:sz w:val="32"/>
          <w:szCs w:val="32"/>
          <w:lang w:eastAsia="zh-CN"/>
        </w:rPr>
        <w:t>万元，全部为当年财政拨款，全年执行数为</w:t>
      </w:r>
      <w:r>
        <w:rPr>
          <w:rFonts w:hint="eastAsia" w:ascii="仿宋_GB2312" w:hAnsi="仿宋_GB2312" w:eastAsia="仿宋_GB2312" w:cs="仿宋_GB2312"/>
          <w:b w:val="0"/>
          <w:snapToGrid w:val="0"/>
          <w:color w:val="auto"/>
          <w:kern w:val="0"/>
          <w:sz w:val="32"/>
          <w:szCs w:val="32"/>
          <w:lang w:val="en-US" w:eastAsia="zh-CN"/>
        </w:rPr>
        <w:t>2486.16万元</w:t>
      </w:r>
      <w:r>
        <w:rPr>
          <w:rFonts w:hint="eastAsia" w:ascii="仿宋_GB2312" w:hAnsi="仿宋_GB2312" w:eastAsia="仿宋_GB2312" w:cs="仿宋_GB2312"/>
          <w:b w:val="0"/>
          <w:snapToGrid w:val="0"/>
          <w:color w:val="auto"/>
          <w:kern w:val="0"/>
          <w:sz w:val="32"/>
          <w:szCs w:val="32"/>
          <w:lang w:eastAsia="zh-CN"/>
        </w:rPr>
        <w:t>万元。</w:t>
      </w:r>
    </w:p>
    <w:p w14:paraId="33904B01">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jc w:val="left"/>
        <w:textAlignment w:val="baseline"/>
        <w:rPr>
          <w:rFonts w:hint="eastAsia" w:ascii="仿宋_GB2312" w:hAnsi="仿宋_GB2312" w:eastAsia="仿宋_GB2312" w:cs="仿宋_GB2312"/>
          <w:b/>
          <w:bCs/>
          <w:color w:val="auto"/>
          <w:lang w:eastAsia="zh-CN"/>
        </w:rPr>
      </w:pPr>
      <w:r>
        <w:rPr>
          <w:rFonts w:hint="eastAsia" w:ascii="仿宋_GB2312" w:hAnsi="仿宋_GB2312" w:eastAsia="仿宋_GB2312" w:cs="仿宋_GB2312"/>
          <w:b/>
          <w:bCs/>
          <w:color w:val="auto"/>
          <w:lang w:eastAsia="zh-CN"/>
        </w:rPr>
        <w:t>2.总体绩效目标完成情况分析</w:t>
      </w:r>
    </w:p>
    <w:p w14:paraId="3A6F913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jc w:val="left"/>
        <w:textAlignment w:val="baseline"/>
        <w:rPr>
          <w:rFonts w:hint="eastAsia" w:ascii="仿宋_GB2312" w:hAnsi="仿宋_GB2312" w:eastAsia="仿宋_GB2312" w:cs="仿宋_GB2312"/>
          <w:b/>
          <w:bCs/>
          <w:color w:val="auto"/>
          <w:lang w:eastAsia="zh-CN"/>
        </w:rPr>
      </w:pPr>
      <w:r>
        <w:rPr>
          <w:rFonts w:hint="eastAsia" w:ascii="仿宋_GB2312" w:hAnsi="仿宋_GB2312" w:eastAsia="仿宋_GB2312" w:cs="仿宋_GB2312"/>
          <w:b/>
          <w:bCs/>
          <w:color w:val="auto"/>
          <w:lang w:eastAsia="zh-CN"/>
        </w:rPr>
        <w:t>（1）总体绩效目标</w:t>
      </w:r>
    </w:p>
    <w:p w14:paraId="7EBDD60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both"/>
        <w:textAlignment w:val="baseline"/>
        <w:rPr>
          <w:rFonts w:hint="eastAsia" w:ascii="仿宋_GB2312" w:hAnsi="仿宋_GB2312" w:eastAsia="仿宋_GB2312" w:cs="仿宋_GB2312"/>
          <w:b w:val="0"/>
          <w:snapToGrid w:val="0"/>
          <w:color w:val="auto"/>
          <w:kern w:val="0"/>
          <w:sz w:val="32"/>
          <w:szCs w:val="32"/>
          <w:lang w:eastAsia="zh-CN"/>
        </w:rPr>
      </w:pPr>
      <w:r>
        <w:rPr>
          <w:rFonts w:hint="eastAsia" w:ascii="仿宋_GB2312" w:hAnsi="仿宋_GB2312" w:eastAsia="仿宋_GB2312" w:cs="仿宋_GB2312"/>
          <w:b w:val="0"/>
          <w:snapToGrid w:val="0"/>
          <w:color w:val="auto"/>
          <w:kern w:val="0"/>
          <w:sz w:val="32"/>
          <w:szCs w:val="32"/>
          <w:lang w:eastAsia="zh-CN"/>
        </w:rPr>
        <w:t>做好疫情防控工作</w:t>
      </w:r>
      <w:r>
        <w:rPr>
          <w:rFonts w:hint="eastAsia" w:ascii="仿宋_GB2312" w:hAnsi="仿宋_GB2312" w:eastAsia="仿宋_GB2312" w:cs="仿宋_GB2312"/>
          <w:b w:val="0"/>
          <w:snapToGrid w:val="0"/>
          <w:color w:val="auto"/>
          <w:kern w:val="0"/>
          <w:sz w:val="32"/>
          <w:szCs w:val="32"/>
          <w:lang w:val="en-US" w:eastAsia="zh-CN"/>
        </w:rPr>
        <w:t>,</w:t>
      </w:r>
      <w:r>
        <w:rPr>
          <w:rFonts w:hint="eastAsia" w:ascii="仿宋_GB2312" w:hAnsi="仿宋_GB2312" w:eastAsia="仿宋_GB2312" w:cs="仿宋_GB2312"/>
          <w:b w:val="0"/>
          <w:snapToGrid w:val="0"/>
          <w:color w:val="auto"/>
          <w:kern w:val="0"/>
          <w:sz w:val="32"/>
          <w:szCs w:val="32"/>
          <w:lang w:eastAsia="zh-CN"/>
        </w:rPr>
        <w:t>坚决防止由于工作不细、管理不善引发聚集性疫情，确保群众健康平安。支付2022年疫情防控工作中产生的生活物资储备、防疫物资储备、酒店征用、交通运转、医废、甘肃方剂等费用。完成亚定点医院储备工作。</w:t>
      </w:r>
    </w:p>
    <w:p w14:paraId="3C35B74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firstLineChars="200"/>
        <w:jc w:val="left"/>
        <w:textAlignment w:val="baseline"/>
        <w:rPr>
          <w:rFonts w:hint="eastAsia" w:ascii="仿宋_GB2312" w:hAnsi="仿宋_GB2312" w:eastAsia="仿宋_GB2312" w:cs="仿宋_GB2312"/>
          <w:b/>
          <w:bCs/>
          <w:color w:val="auto"/>
          <w:lang w:eastAsia="zh-CN"/>
        </w:rPr>
      </w:pPr>
      <w:r>
        <w:rPr>
          <w:rFonts w:hint="eastAsia" w:ascii="仿宋_GB2312" w:hAnsi="仿宋_GB2312" w:eastAsia="仿宋_GB2312" w:cs="仿宋_GB2312"/>
          <w:b/>
          <w:bCs/>
          <w:color w:val="auto"/>
          <w:lang w:eastAsia="zh-CN"/>
        </w:rPr>
        <w:t>（2）完成情况分析</w:t>
      </w:r>
    </w:p>
    <w:p w14:paraId="06032438">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default" w:ascii="仿宋_GB2312" w:hAnsi="仿宋_GB2312" w:eastAsia="仿宋_GB2312" w:cs="仿宋_GB2312"/>
          <w:b w:val="0"/>
          <w:bCs w:val="0"/>
          <w:color w:val="auto"/>
          <w:lang w:val="en-US" w:eastAsia="zh-CN"/>
        </w:rPr>
      </w:pPr>
      <w:r>
        <w:rPr>
          <w:rFonts w:hint="eastAsia" w:ascii="仿宋_GB2312" w:hAnsi="仿宋_GB2312" w:eastAsia="仿宋_GB2312" w:cs="仿宋_GB2312"/>
          <w:b w:val="0"/>
          <w:bCs w:val="0"/>
          <w:color w:val="auto"/>
          <w:lang w:val="en-US" w:eastAsia="zh-CN"/>
        </w:rPr>
        <w:t>支付核酸检费用300万元、防疫物资费用200万元、隔离点及方舱医院等保障费用1336.16万元、方舱医院建设费用300万元、三个园区保障费用100万元、运转车辆保障费用150万元、甘肃方剂保障费用50万元、医废处置费用50万元</w:t>
      </w:r>
      <w:r>
        <w:rPr>
          <w:rFonts w:hint="default" w:ascii="仿宋_GB2312" w:hAnsi="仿宋_GB2312" w:eastAsia="仿宋_GB2312" w:cs="仿宋_GB2312"/>
          <w:b w:val="0"/>
          <w:bCs w:val="0"/>
          <w:color w:val="auto"/>
          <w:lang w:eastAsia="zh-CN"/>
        </w:rPr>
        <w:t>,加快疫情防控欠款结清进度，缓解企业资金压力</w:t>
      </w:r>
      <w:r>
        <w:rPr>
          <w:rFonts w:hint="eastAsia" w:ascii="仿宋_GB2312" w:hAnsi="仿宋_GB2312" w:eastAsia="仿宋_GB2312" w:cs="仿宋_GB2312"/>
          <w:b w:val="0"/>
          <w:bCs w:val="0"/>
          <w:color w:val="auto"/>
          <w:lang w:val="en-US" w:eastAsia="zh-CN"/>
        </w:rPr>
        <w:t>。</w:t>
      </w:r>
    </w:p>
    <w:p w14:paraId="4175143E">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firstLineChars="200"/>
        <w:jc w:val="left"/>
        <w:textAlignment w:val="baseline"/>
        <w:rPr>
          <w:rFonts w:hint="eastAsia" w:ascii="仿宋_GB2312" w:hAnsi="仿宋_GB2312" w:eastAsia="仿宋_GB2312" w:cs="仿宋_GB2312"/>
          <w:b/>
          <w:bCs/>
          <w:color w:val="auto"/>
          <w:lang w:eastAsia="zh-CN"/>
        </w:rPr>
      </w:pPr>
      <w:r>
        <w:rPr>
          <w:rFonts w:hint="eastAsia" w:ascii="仿宋_GB2312" w:hAnsi="仿宋_GB2312" w:eastAsia="仿宋_GB2312" w:cs="仿宋_GB2312"/>
          <w:b/>
          <w:bCs/>
          <w:color w:val="auto"/>
          <w:lang w:val="en-US" w:eastAsia="zh-CN"/>
        </w:rPr>
        <w:t>3.</w:t>
      </w:r>
      <w:r>
        <w:rPr>
          <w:rFonts w:hint="eastAsia" w:ascii="仿宋_GB2312" w:hAnsi="仿宋_GB2312" w:eastAsia="仿宋_GB2312" w:cs="仿宋_GB2312"/>
          <w:b/>
          <w:bCs/>
          <w:color w:val="auto"/>
          <w:lang w:eastAsia="zh-CN"/>
        </w:rPr>
        <w:t>各项指标完成情况分析</w:t>
      </w:r>
    </w:p>
    <w:p w14:paraId="3375C82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3" w:firstLineChars="200"/>
        <w:jc w:val="left"/>
        <w:textAlignment w:val="baseline"/>
        <w:rPr>
          <w:rFonts w:hint="eastAsia" w:ascii="仿宋_GB2312" w:hAnsi="仿宋_GB2312" w:eastAsia="仿宋_GB2312" w:cs="仿宋_GB2312"/>
          <w:b/>
          <w:bCs/>
          <w:color w:val="auto"/>
          <w:lang w:val="en-US" w:eastAsia="zh-CN"/>
        </w:rPr>
      </w:pPr>
      <w:r>
        <w:rPr>
          <w:rFonts w:hint="eastAsia" w:ascii="仿宋_GB2312" w:hAnsi="仿宋_GB2312" w:eastAsia="仿宋_GB2312" w:cs="仿宋_GB2312"/>
          <w:b/>
          <w:bCs/>
          <w:color w:val="auto"/>
          <w:lang w:val="en-US" w:eastAsia="zh-CN"/>
        </w:rPr>
        <w:t>（1）资金执行率</w:t>
      </w:r>
    </w:p>
    <w:p w14:paraId="06CBFA4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left"/>
        <w:textAlignment w:val="baseline"/>
        <w:rPr>
          <w:rFonts w:hint="eastAsia" w:ascii="仿宋_GB2312" w:hAnsi="仿宋_GB2312" w:eastAsia="仿宋_GB2312" w:cs="仿宋_GB2312"/>
          <w:b w:val="0"/>
          <w:snapToGrid w:val="0"/>
          <w:color w:val="auto"/>
          <w:kern w:val="0"/>
          <w:sz w:val="32"/>
          <w:szCs w:val="32"/>
          <w:lang w:eastAsia="zh-CN"/>
        </w:rPr>
      </w:pPr>
      <w:r>
        <w:rPr>
          <w:rFonts w:hint="eastAsia" w:ascii="仿宋_GB2312" w:hAnsi="仿宋_GB2312" w:eastAsia="仿宋_GB2312" w:cs="仿宋_GB2312"/>
          <w:b w:val="0"/>
          <w:snapToGrid w:val="0"/>
          <w:color w:val="auto"/>
          <w:kern w:val="0"/>
          <w:sz w:val="32"/>
          <w:szCs w:val="32"/>
          <w:lang w:eastAsia="zh-CN"/>
        </w:rPr>
        <w:t>202</w:t>
      </w:r>
      <w:r>
        <w:rPr>
          <w:rFonts w:hint="eastAsia" w:ascii="仿宋_GB2312" w:hAnsi="仿宋_GB2312" w:eastAsia="仿宋_GB2312" w:cs="仿宋_GB2312"/>
          <w:b w:val="0"/>
          <w:snapToGrid w:val="0"/>
          <w:color w:val="auto"/>
          <w:kern w:val="0"/>
          <w:sz w:val="32"/>
          <w:szCs w:val="32"/>
          <w:lang w:val="en-US" w:eastAsia="zh-CN"/>
        </w:rPr>
        <w:t>3</w:t>
      </w:r>
      <w:r>
        <w:rPr>
          <w:rFonts w:hint="eastAsia" w:ascii="仿宋_GB2312" w:hAnsi="仿宋_GB2312" w:eastAsia="仿宋_GB2312" w:cs="仿宋_GB2312"/>
          <w:b w:val="0"/>
          <w:snapToGrid w:val="0"/>
          <w:color w:val="auto"/>
          <w:kern w:val="0"/>
          <w:sz w:val="32"/>
          <w:szCs w:val="32"/>
          <w:lang w:eastAsia="zh-CN"/>
        </w:rPr>
        <w:t>年度疫情防控资金为</w:t>
      </w:r>
      <w:r>
        <w:rPr>
          <w:rFonts w:hint="eastAsia" w:ascii="仿宋_GB2312" w:hAnsi="仿宋_GB2312" w:eastAsia="仿宋_GB2312" w:cs="仿宋_GB2312"/>
          <w:b w:val="0"/>
          <w:snapToGrid w:val="0"/>
          <w:color w:val="auto"/>
          <w:kern w:val="0"/>
          <w:sz w:val="32"/>
          <w:szCs w:val="32"/>
          <w:lang w:val="en-US" w:eastAsia="zh-CN"/>
        </w:rPr>
        <w:t>2500</w:t>
      </w:r>
      <w:r>
        <w:rPr>
          <w:rFonts w:hint="eastAsia" w:ascii="仿宋_GB2312" w:hAnsi="仿宋_GB2312" w:eastAsia="仿宋_GB2312" w:cs="仿宋_GB2312"/>
          <w:b w:val="0"/>
          <w:snapToGrid w:val="0"/>
          <w:color w:val="auto"/>
          <w:kern w:val="0"/>
          <w:sz w:val="32"/>
          <w:szCs w:val="32"/>
          <w:lang w:eastAsia="zh-CN"/>
        </w:rPr>
        <w:t>万元，执行数为</w:t>
      </w:r>
      <w:r>
        <w:rPr>
          <w:rFonts w:hint="eastAsia" w:ascii="仿宋_GB2312" w:hAnsi="仿宋_GB2312" w:eastAsia="仿宋_GB2312" w:cs="仿宋_GB2312"/>
          <w:b w:val="0"/>
          <w:snapToGrid w:val="0"/>
          <w:color w:val="auto"/>
          <w:kern w:val="0"/>
          <w:sz w:val="32"/>
          <w:szCs w:val="32"/>
          <w:lang w:val="en-US" w:eastAsia="zh-CN"/>
        </w:rPr>
        <w:t>2486.16</w:t>
      </w:r>
      <w:r>
        <w:rPr>
          <w:rFonts w:hint="eastAsia" w:ascii="仿宋_GB2312" w:hAnsi="仿宋_GB2312" w:eastAsia="仿宋_GB2312" w:cs="仿宋_GB2312"/>
          <w:b w:val="0"/>
          <w:snapToGrid w:val="0"/>
          <w:color w:val="auto"/>
          <w:kern w:val="0"/>
          <w:sz w:val="32"/>
          <w:szCs w:val="32"/>
          <w:lang w:eastAsia="zh-CN"/>
        </w:rPr>
        <w:t>万元，预算执行率为</w:t>
      </w:r>
      <w:r>
        <w:rPr>
          <w:rFonts w:hint="eastAsia" w:ascii="仿宋_GB2312" w:hAnsi="仿宋_GB2312" w:eastAsia="仿宋_GB2312" w:cs="仿宋_GB2312"/>
          <w:b w:val="0"/>
          <w:snapToGrid w:val="0"/>
          <w:color w:val="auto"/>
          <w:kern w:val="0"/>
          <w:sz w:val="32"/>
          <w:szCs w:val="32"/>
          <w:lang w:val="en-US" w:eastAsia="zh-CN"/>
        </w:rPr>
        <w:t>99.45</w:t>
      </w:r>
      <w:r>
        <w:rPr>
          <w:rFonts w:hint="eastAsia" w:ascii="仿宋_GB2312" w:hAnsi="仿宋_GB2312" w:eastAsia="仿宋_GB2312" w:cs="仿宋_GB2312"/>
          <w:b w:val="0"/>
          <w:snapToGrid w:val="0"/>
          <w:color w:val="auto"/>
          <w:kern w:val="0"/>
          <w:sz w:val="32"/>
          <w:szCs w:val="32"/>
          <w:lang w:eastAsia="zh-CN"/>
        </w:rPr>
        <w:t>%，按比例，该指标得10分。</w:t>
      </w:r>
    </w:p>
    <w:p w14:paraId="45929D7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3" w:firstLineChars="200"/>
        <w:jc w:val="left"/>
        <w:textAlignment w:val="baseline"/>
        <w:rPr>
          <w:rFonts w:hint="eastAsia" w:ascii="仿宋_GB2312" w:hAnsi="仿宋_GB2312" w:eastAsia="仿宋_GB2312" w:cs="仿宋_GB2312"/>
          <w:b/>
          <w:bCs/>
          <w:color w:val="auto"/>
          <w:lang w:val="en-US" w:eastAsia="zh-CN"/>
        </w:rPr>
      </w:pPr>
      <w:r>
        <w:rPr>
          <w:rFonts w:hint="eastAsia" w:ascii="仿宋_GB2312" w:hAnsi="仿宋_GB2312" w:eastAsia="仿宋_GB2312" w:cs="仿宋_GB2312"/>
          <w:b/>
          <w:bCs/>
          <w:color w:val="auto"/>
          <w:lang w:val="en-US" w:eastAsia="zh-CN"/>
        </w:rPr>
        <w:t>（2）产出指标</w:t>
      </w:r>
    </w:p>
    <w:p w14:paraId="3280625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both"/>
        <w:textAlignment w:val="baseline"/>
        <w:rPr>
          <w:rFonts w:hint="eastAsia" w:ascii="仿宋_GB2312" w:hAnsi="仿宋_GB2312" w:eastAsia="仿宋_GB2312" w:cs="仿宋_GB2312"/>
          <w:b w:val="0"/>
          <w:snapToGrid w:val="0"/>
          <w:color w:val="auto"/>
          <w:kern w:val="0"/>
          <w:sz w:val="32"/>
          <w:szCs w:val="32"/>
          <w:lang w:eastAsia="zh-CN"/>
        </w:rPr>
      </w:pPr>
      <w:r>
        <w:rPr>
          <w:rFonts w:hint="eastAsia" w:ascii="仿宋_GB2312" w:hAnsi="仿宋_GB2312" w:eastAsia="仿宋_GB2312" w:cs="仿宋_GB2312"/>
          <w:b w:val="0"/>
          <w:snapToGrid w:val="0"/>
          <w:color w:val="auto"/>
          <w:kern w:val="0"/>
          <w:sz w:val="32"/>
          <w:szCs w:val="32"/>
          <w:lang w:eastAsia="zh-CN"/>
        </w:rPr>
        <w:t>202</w:t>
      </w:r>
      <w:r>
        <w:rPr>
          <w:rFonts w:hint="eastAsia" w:ascii="仿宋_GB2312" w:hAnsi="仿宋_GB2312" w:eastAsia="仿宋_GB2312" w:cs="仿宋_GB2312"/>
          <w:b w:val="0"/>
          <w:snapToGrid w:val="0"/>
          <w:color w:val="auto"/>
          <w:kern w:val="0"/>
          <w:sz w:val="32"/>
          <w:szCs w:val="32"/>
          <w:lang w:val="en-US" w:eastAsia="zh-CN"/>
        </w:rPr>
        <w:t>3</w:t>
      </w:r>
      <w:r>
        <w:rPr>
          <w:rFonts w:hint="eastAsia" w:ascii="仿宋_GB2312" w:hAnsi="仿宋_GB2312" w:eastAsia="仿宋_GB2312" w:cs="仿宋_GB2312"/>
          <w:b w:val="0"/>
          <w:snapToGrid w:val="0"/>
          <w:color w:val="auto"/>
          <w:kern w:val="0"/>
          <w:sz w:val="32"/>
          <w:szCs w:val="32"/>
          <w:lang w:eastAsia="zh-CN"/>
        </w:rPr>
        <w:t>年疫情防控预算工作经费产出指标分值为</w:t>
      </w:r>
      <w:r>
        <w:rPr>
          <w:rFonts w:hint="eastAsia" w:ascii="仿宋_GB2312" w:hAnsi="仿宋_GB2312" w:eastAsia="仿宋_GB2312" w:cs="仿宋_GB2312"/>
          <w:b w:val="0"/>
          <w:snapToGrid w:val="0"/>
          <w:color w:val="auto"/>
          <w:kern w:val="0"/>
          <w:sz w:val="32"/>
          <w:szCs w:val="32"/>
          <w:lang w:val="en-US" w:eastAsia="zh-CN"/>
        </w:rPr>
        <w:t>69</w:t>
      </w:r>
      <w:r>
        <w:rPr>
          <w:rFonts w:hint="eastAsia" w:ascii="仿宋_GB2312" w:hAnsi="仿宋_GB2312" w:eastAsia="仿宋_GB2312" w:cs="仿宋_GB2312"/>
          <w:b w:val="0"/>
          <w:snapToGrid w:val="0"/>
          <w:color w:val="auto"/>
          <w:kern w:val="0"/>
          <w:sz w:val="32"/>
          <w:szCs w:val="32"/>
          <w:lang w:eastAsia="zh-CN"/>
        </w:rPr>
        <w:t>分，得</w:t>
      </w:r>
      <w:r>
        <w:rPr>
          <w:rFonts w:hint="eastAsia" w:ascii="仿宋_GB2312" w:hAnsi="仿宋_GB2312" w:eastAsia="仿宋_GB2312" w:cs="仿宋_GB2312"/>
          <w:b w:val="0"/>
          <w:snapToGrid w:val="0"/>
          <w:color w:val="auto"/>
          <w:kern w:val="0"/>
          <w:sz w:val="32"/>
          <w:szCs w:val="32"/>
          <w:lang w:val="en-US" w:eastAsia="zh-CN"/>
        </w:rPr>
        <w:t>69</w:t>
      </w:r>
      <w:r>
        <w:rPr>
          <w:rFonts w:hint="eastAsia" w:ascii="仿宋_GB2312" w:hAnsi="仿宋_GB2312" w:eastAsia="仿宋_GB2312" w:cs="仿宋_GB2312"/>
          <w:b w:val="0"/>
          <w:snapToGrid w:val="0"/>
          <w:color w:val="auto"/>
          <w:kern w:val="0"/>
          <w:sz w:val="32"/>
          <w:szCs w:val="32"/>
          <w:lang w:eastAsia="zh-CN"/>
        </w:rPr>
        <w:t>分</w:t>
      </w:r>
      <w:r>
        <w:rPr>
          <w:rFonts w:hint="eastAsia" w:ascii="仿宋_GB2312" w:hAnsi="仿宋_GB2312" w:eastAsia="仿宋_GB2312" w:cs="仿宋_GB2312"/>
          <w:b w:val="0"/>
          <w:snapToGrid w:val="0"/>
          <w:color w:val="auto"/>
          <w:kern w:val="0"/>
          <w:sz w:val="32"/>
          <w:szCs w:val="32"/>
          <w:lang w:val="en-US" w:eastAsia="zh-CN"/>
        </w:rPr>
        <w:t>,</w:t>
      </w:r>
      <w:r>
        <w:rPr>
          <w:rFonts w:hint="eastAsia" w:ascii="仿宋_GB2312" w:hAnsi="仿宋_GB2312" w:eastAsia="仿宋_GB2312" w:cs="仿宋_GB2312"/>
          <w:b w:val="0"/>
          <w:snapToGrid w:val="0"/>
          <w:color w:val="auto"/>
          <w:kern w:val="0"/>
          <w:sz w:val="32"/>
          <w:szCs w:val="32"/>
          <w:lang w:eastAsia="zh-CN"/>
        </w:rPr>
        <w:t>支付2022年疫情防控工作中产生的生活物资储备、防疫物资储备、酒店征用、交通运转、医废、甘肃方剂等费用。完成亚定点医院储备工作。</w:t>
      </w:r>
    </w:p>
    <w:p w14:paraId="7E8F6E3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3" w:firstLineChars="200"/>
        <w:jc w:val="left"/>
        <w:textAlignment w:val="baseline"/>
        <w:rPr>
          <w:rFonts w:hint="eastAsia" w:ascii="仿宋_GB2312" w:hAnsi="仿宋_GB2312" w:eastAsia="仿宋_GB2312" w:cs="仿宋_GB2312"/>
          <w:b/>
          <w:bCs/>
          <w:snapToGrid w:val="0"/>
          <w:color w:val="auto"/>
          <w:kern w:val="0"/>
          <w:sz w:val="32"/>
          <w:szCs w:val="32"/>
          <w:lang w:eastAsia="zh-CN"/>
        </w:rPr>
      </w:pPr>
      <w:r>
        <w:rPr>
          <w:rFonts w:hint="eastAsia" w:ascii="仿宋_GB2312" w:hAnsi="仿宋_GB2312" w:eastAsia="仿宋_GB2312" w:cs="仿宋_GB2312"/>
          <w:b/>
          <w:bCs/>
          <w:snapToGrid w:val="0"/>
          <w:color w:val="auto"/>
          <w:kern w:val="0"/>
          <w:sz w:val="32"/>
          <w:szCs w:val="32"/>
          <w:lang w:eastAsia="zh-CN"/>
        </w:rPr>
        <w:t>（3）效益指标</w:t>
      </w:r>
    </w:p>
    <w:p w14:paraId="645E7CD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both"/>
        <w:textAlignment w:val="baseline"/>
        <w:rPr>
          <w:rFonts w:hint="default" w:ascii="仿宋_GB2312" w:hAnsi="仿宋_GB2312" w:eastAsia="仿宋_GB2312" w:cs="仿宋_GB2312"/>
          <w:b w:val="0"/>
          <w:snapToGrid w:val="0"/>
          <w:color w:val="auto"/>
          <w:kern w:val="0"/>
          <w:sz w:val="32"/>
          <w:szCs w:val="32"/>
          <w:lang w:val="en-US" w:eastAsia="zh-CN"/>
        </w:rPr>
      </w:pPr>
      <w:r>
        <w:rPr>
          <w:rFonts w:hint="eastAsia" w:ascii="仿宋_GB2312" w:hAnsi="仿宋_GB2312" w:eastAsia="仿宋_GB2312" w:cs="仿宋_GB2312"/>
          <w:b w:val="0"/>
          <w:snapToGrid w:val="0"/>
          <w:color w:val="auto"/>
          <w:kern w:val="0"/>
          <w:sz w:val="32"/>
          <w:szCs w:val="32"/>
          <w:lang w:val="en-US" w:eastAsia="zh-CN"/>
        </w:rPr>
        <w:t>2023年</w:t>
      </w:r>
      <w:r>
        <w:rPr>
          <w:rFonts w:hint="eastAsia" w:ascii="仿宋_GB2312" w:hAnsi="仿宋_GB2312" w:eastAsia="仿宋_GB2312" w:cs="仿宋_GB2312"/>
          <w:b w:val="0"/>
          <w:snapToGrid w:val="0"/>
          <w:color w:val="auto"/>
          <w:kern w:val="0"/>
          <w:sz w:val="32"/>
          <w:szCs w:val="32"/>
        </w:rPr>
        <w:t>疫情防控</w:t>
      </w:r>
      <w:r>
        <w:rPr>
          <w:rFonts w:hint="eastAsia" w:ascii="仿宋_GB2312" w:hAnsi="仿宋_GB2312" w:eastAsia="仿宋_GB2312" w:cs="仿宋_GB2312"/>
          <w:b w:val="0"/>
          <w:snapToGrid w:val="0"/>
          <w:color w:val="auto"/>
          <w:kern w:val="0"/>
          <w:sz w:val="32"/>
          <w:szCs w:val="32"/>
          <w:lang w:eastAsia="zh-CN"/>
        </w:rPr>
        <w:t>预算</w:t>
      </w:r>
      <w:r>
        <w:rPr>
          <w:rFonts w:hint="eastAsia" w:ascii="仿宋_GB2312" w:hAnsi="仿宋_GB2312" w:eastAsia="仿宋_GB2312" w:cs="仿宋_GB2312"/>
          <w:b w:val="0"/>
          <w:snapToGrid w:val="0"/>
          <w:color w:val="auto"/>
          <w:kern w:val="0"/>
          <w:sz w:val="32"/>
          <w:szCs w:val="32"/>
        </w:rPr>
        <w:t>工作经费效益指标分值为</w:t>
      </w:r>
      <w:r>
        <w:rPr>
          <w:rFonts w:hint="eastAsia" w:ascii="仿宋_GB2312" w:hAnsi="仿宋_GB2312" w:eastAsia="仿宋_GB2312" w:cs="仿宋_GB2312"/>
          <w:b w:val="0"/>
          <w:snapToGrid w:val="0"/>
          <w:color w:val="auto"/>
          <w:kern w:val="0"/>
          <w:sz w:val="32"/>
          <w:szCs w:val="32"/>
          <w:lang w:val="en-US" w:eastAsia="zh-CN"/>
        </w:rPr>
        <w:t>24</w:t>
      </w:r>
      <w:r>
        <w:rPr>
          <w:rFonts w:hint="eastAsia" w:ascii="仿宋_GB2312" w:hAnsi="仿宋_GB2312" w:eastAsia="仿宋_GB2312" w:cs="仿宋_GB2312"/>
          <w:b w:val="0"/>
          <w:snapToGrid w:val="0"/>
          <w:color w:val="auto"/>
          <w:kern w:val="0"/>
          <w:sz w:val="32"/>
          <w:szCs w:val="32"/>
        </w:rPr>
        <w:t>分，得</w:t>
      </w:r>
      <w:r>
        <w:rPr>
          <w:rFonts w:hint="eastAsia" w:ascii="仿宋_GB2312" w:hAnsi="仿宋_GB2312" w:eastAsia="仿宋_GB2312" w:cs="仿宋_GB2312"/>
          <w:b w:val="0"/>
          <w:snapToGrid w:val="0"/>
          <w:color w:val="auto"/>
          <w:kern w:val="0"/>
          <w:sz w:val="32"/>
          <w:szCs w:val="32"/>
          <w:lang w:val="en-US" w:eastAsia="zh-CN"/>
        </w:rPr>
        <w:t>24</w:t>
      </w:r>
      <w:r>
        <w:rPr>
          <w:rFonts w:hint="eastAsia" w:ascii="仿宋_GB2312" w:hAnsi="仿宋_GB2312" w:eastAsia="仿宋_GB2312" w:cs="仿宋_GB2312"/>
          <w:b w:val="0"/>
          <w:snapToGrid w:val="0"/>
          <w:color w:val="auto"/>
          <w:kern w:val="0"/>
          <w:sz w:val="32"/>
          <w:szCs w:val="32"/>
        </w:rPr>
        <w:t>分</w:t>
      </w:r>
      <w:r>
        <w:rPr>
          <w:rFonts w:hint="eastAsia" w:ascii="仿宋_GB2312" w:hAnsi="仿宋_GB2312" w:eastAsia="仿宋_GB2312" w:cs="仿宋_GB2312"/>
          <w:b w:val="0"/>
          <w:snapToGrid w:val="0"/>
          <w:color w:val="auto"/>
          <w:kern w:val="0"/>
          <w:sz w:val="32"/>
          <w:szCs w:val="32"/>
          <w:lang w:eastAsia="zh-CN"/>
        </w:rPr>
        <w:t>，持续做好疫情防控工作</w:t>
      </w:r>
      <w:r>
        <w:rPr>
          <w:rFonts w:hint="eastAsia" w:ascii="仿宋_GB2312" w:hAnsi="仿宋_GB2312" w:eastAsia="仿宋_GB2312" w:cs="仿宋_GB2312"/>
          <w:b w:val="0"/>
          <w:snapToGrid w:val="0"/>
          <w:color w:val="auto"/>
          <w:kern w:val="0"/>
          <w:sz w:val="32"/>
          <w:szCs w:val="32"/>
          <w:lang w:val="en-US" w:eastAsia="zh-CN"/>
        </w:rPr>
        <w:t>,</w:t>
      </w:r>
      <w:r>
        <w:rPr>
          <w:rFonts w:hint="eastAsia" w:ascii="仿宋_GB2312" w:hAnsi="仿宋_GB2312" w:eastAsia="仿宋_GB2312" w:cs="仿宋_GB2312"/>
          <w:b w:val="0"/>
          <w:snapToGrid w:val="0"/>
          <w:color w:val="auto"/>
          <w:kern w:val="0"/>
          <w:sz w:val="32"/>
          <w:szCs w:val="32"/>
          <w:lang w:eastAsia="zh-CN"/>
        </w:rPr>
        <w:t>坚决防止由于工作不细、管理不善引发聚集性疫情，确保群众健康平安。辖区居民对传染病的认识及科学防控能力得到提高。</w:t>
      </w:r>
    </w:p>
    <w:p w14:paraId="71F2DDE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3" w:firstLineChars="200"/>
        <w:jc w:val="left"/>
        <w:textAlignment w:val="baseline"/>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lang w:eastAsia="zh-CN"/>
        </w:rPr>
        <w:t>（</w:t>
      </w:r>
      <w:r>
        <w:rPr>
          <w:rFonts w:hint="eastAsia" w:ascii="仿宋_GB2312" w:hAnsi="仿宋_GB2312" w:eastAsia="仿宋_GB2312" w:cs="仿宋_GB2312"/>
          <w:b/>
          <w:bCs/>
          <w:snapToGrid w:val="0"/>
          <w:color w:val="auto"/>
          <w:kern w:val="0"/>
          <w:sz w:val="32"/>
          <w:szCs w:val="32"/>
          <w:lang w:val="en-US" w:eastAsia="zh-CN"/>
        </w:rPr>
        <w:t>4</w:t>
      </w:r>
      <w:r>
        <w:rPr>
          <w:rFonts w:hint="eastAsia" w:ascii="仿宋_GB2312" w:hAnsi="仿宋_GB2312" w:eastAsia="仿宋_GB2312" w:cs="仿宋_GB2312"/>
          <w:b/>
          <w:bCs/>
          <w:snapToGrid w:val="0"/>
          <w:color w:val="auto"/>
          <w:kern w:val="0"/>
          <w:sz w:val="32"/>
          <w:szCs w:val="32"/>
          <w:lang w:eastAsia="zh-CN"/>
        </w:rPr>
        <w:t>）</w:t>
      </w:r>
      <w:r>
        <w:rPr>
          <w:rFonts w:hint="eastAsia" w:ascii="仿宋_GB2312" w:hAnsi="仿宋_GB2312" w:eastAsia="仿宋_GB2312" w:cs="仿宋_GB2312"/>
          <w:b/>
          <w:bCs/>
          <w:snapToGrid w:val="0"/>
          <w:color w:val="auto"/>
          <w:kern w:val="0"/>
          <w:sz w:val="32"/>
          <w:szCs w:val="32"/>
        </w:rPr>
        <w:t>满意度指标</w:t>
      </w:r>
    </w:p>
    <w:p w14:paraId="519E6E8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left"/>
        <w:textAlignment w:val="baseline"/>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lang w:val="en-US" w:eastAsia="zh-CN"/>
        </w:rPr>
        <w:t>2023年</w:t>
      </w:r>
      <w:r>
        <w:rPr>
          <w:rFonts w:hint="eastAsia" w:ascii="仿宋_GB2312" w:hAnsi="仿宋_GB2312" w:eastAsia="仿宋_GB2312" w:cs="仿宋_GB2312"/>
          <w:b w:val="0"/>
          <w:snapToGrid w:val="0"/>
          <w:color w:val="auto"/>
          <w:kern w:val="0"/>
          <w:sz w:val="32"/>
          <w:szCs w:val="32"/>
        </w:rPr>
        <w:t>疫情防控</w:t>
      </w:r>
      <w:r>
        <w:rPr>
          <w:rFonts w:hint="eastAsia" w:ascii="仿宋_GB2312" w:hAnsi="仿宋_GB2312" w:eastAsia="仿宋_GB2312" w:cs="仿宋_GB2312"/>
          <w:b w:val="0"/>
          <w:snapToGrid w:val="0"/>
          <w:color w:val="auto"/>
          <w:kern w:val="0"/>
          <w:sz w:val="32"/>
          <w:szCs w:val="32"/>
          <w:lang w:eastAsia="zh-CN"/>
        </w:rPr>
        <w:t>预算</w:t>
      </w:r>
      <w:r>
        <w:rPr>
          <w:rFonts w:hint="eastAsia" w:ascii="仿宋_GB2312" w:hAnsi="仿宋_GB2312" w:eastAsia="仿宋_GB2312" w:cs="仿宋_GB2312"/>
          <w:b w:val="0"/>
          <w:snapToGrid w:val="0"/>
          <w:color w:val="auto"/>
          <w:kern w:val="0"/>
          <w:sz w:val="32"/>
          <w:szCs w:val="32"/>
        </w:rPr>
        <w:t>工作经费满意度指标分值为</w:t>
      </w:r>
      <w:r>
        <w:rPr>
          <w:rFonts w:hint="eastAsia" w:ascii="仿宋_GB2312" w:hAnsi="仿宋_GB2312" w:eastAsia="仿宋_GB2312" w:cs="仿宋_GB2312"/>
          <w:b w:val="0"/>
          <w:snapToGrid w:val="0"/>
          <w:color w:val="auto"/>
          <w:kern w:val="0"/>
          <w:sz w:val="32"/>
          <w:szCs w:val="32"/>
          <w:lang w:val="en-US" w:eastAsia="zh-CN"/>
        </w:rPr>
        <w:t>7</w:t>
      </w:r>
      <w:r>
        <w:rPr>
          <w:rFonts w:hint="eastAsia" w:ascii="仿宋_GB2312" w:hAnsi="仿宋_GB2312" w:eastAsia="仿宋_GB2312" w:cs="仿宋_GB2312"/>
          <w:b w:val="0"/>
          <w:snapToGrid w:val="0"/>
          <w:color w:val="auto"/>
          <w:kern w:val="0"/>
          <w:sz w:val="32"/>
          <w:szCs w:val="32"/>
        </w:rPr>
        <w:t>分，得</w:t>
      </w:r>
      <w:r>
        <w:rPr>
          <w:rFonts w:hint="eastAsia" w:ascii="仿宋_GB2312" w:hAnsi="仿宋_GB2312" w:eastAsia="仿宋_GB2312" w:cs="仿宋_GB2312"/>
          <w:b w:val="0"/>
          <w:snapToGrid w:val="0"/>
          <w:color w:val="auto"/>
          <w:kern w:val="0"/>
          <w:sz w:val="32"/>
          <w:szCs w:val="32"/>
          <w:lang w:val="en-US" w:eastAsia="zh-CN"/>
        </w:rPr>
        <w:t>7</w:t>
      </w:r>
      <w:r>
        <w:rPr>
          <w:rFonts w:hint="eastAsia" w:ascii="仿宋_GB2312" w:hAnsi="仿宋_GB2312" w:eastAsia="仿宋_GB2312" w:cs="仿宋_GB2312"/>
          <w:b w:val="0"/>
          <w:snapToGrid w:val="0"/>
          <w:color w:val="auto"/>
          <w:kern w:val="0"/>
          <w:sz w:val="32"/>
          <w:szCs w:val="32"/>
        </w:rPr>
        <w:t>分</w:t>
      </w:r>
      <w:r>
        <w:rPr>
          <w:rFonts w:hint="eastAsia" w:ascii="仿宋_GB2312" w:hAnsi="仿宋_GB2312" w:eastAsia="仿宋_GB2312" w:cs="仿宋_GB2312"/>
          <w:b w:val="0"/>
          <w:snapToGrid w:val="0"/>
          <w:color w:val="auto"/>
          <w:kern w:val="0"/>
          <w:sz w:val="32"/>
          <w:szCs w:val="32"/>
          <w:lang w:eastAsia="zh-CN"/>
        </w:rPr>
        <w:t>。疫情防控工作</w:t>
      </w:r>
      <w:r>
        <w:rPr>
          <w:rFonts w:hint="eastAsia" w:ascii="仿宋_GB2312" w:hAnsi="仿宋_GB2312" w:eastAsia="仿宋_GB2312" w:cs="仿宋_GB2312"/>
          <w:b w:val="0"/>
          <w:snapToGrid w:val="0"/>
          <w:color w:val="auto"/>
          <w:kern w:val="0"/>
          <w:sz w:val="32"/>
          <w:szCs w:val="32"/>
        </w:rPr>
        <w:t>得到人民群众的广泛认可。</w:t>
      </w:r>
    </w:p>
    <w:p w14:paraId="43125D7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3" w:firstLineChars="200"/>
        <w:jc w:val="left"/>
        <w:textAlignment w:val="baseline"/>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lang w:val="en-US" w:eastAsia="zh-CN"/>
        </w:rPr>
        <w:t>4.</w:t>
      </w:r>
      <w:r>
        <w:rPr>
          <w:rFonts w:hint="eastAsia" w:ascii="仿宋_GB2312" w:hAnsi="仿宋_GB2312" w:eastAsia="仿宋_GB2312" w:cs="仿宋_GB2312"/>
          <w:b/>
          <w:bCs/>
          <w:snapToGrid w:val="0"/>
          <w:color w:val="auto"/>
          <w:kern w:val="0"/>
          <w:sz w:val="32"/>
          <w:szCs w:val="32"/>
        </w:rPr>
        <w:t>偏离绩效目标的原因及下一步改进措施</w:t>
      </w:r>
    </w:p>
    <w:p w14:paraId="16EC52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rPr>
        <w:t>项目实施全过程中未出现偏差。</w:t>
      </w:r>
    </w:p>
    <w:p w14:paraId="6988D3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color w:val="auto"/>
          <w:szCs w:val="32"/>
          <w:lang w:eastAsia="zh-CN"/>
        </w:rPr>
      </w:pPr>
      <w:r>
        <w:rPr>
          <w:rFonts w:hint="eastAsia" w:ascii="楷体" w:hAnsi="楷体" w:eastAsia="楷体" w:cs="楷体"/>
          <w:b/>
          <w:bCs/>
          <w:color w:val="auto"/>
          <w:szCs w:val="32"/>
          <w:lang w:eastAsia="zh-CN"/>
        </w:rPr>
        <w:t>（十八）医疗卫生项目前期费尾款费用</w:t>
      </w:r>
    </w:p>
    <w:p w14:paraId="4162BA6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1.项目支出预算执行情况</w:t>
      </w:r>
    </w:p>
    <w:p w14:paraId="22513ED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lang w:val="en-US" w:eastAsia="zh-CN"/>
        </w:rPr>
        <w:t>2023</w:t>
      </w:r>
      <w:r>
        <w:rPr>
          <w:rFonts w:hint="eastAsia" w:ascii="仿宋_GB2312" w:hAnsi="仿宋_GB2312" w:eastAsia="仿宋_GB2312" w:cs="仿宋_GB2312"/>
          <w:color w:val="auto"/>
        </w:rPr>
        <w:t>年医疗卫生项目前期费尾款费用全年预算数为</w:t>
      </w:r>
      <w:r>
        <w:rPr>
          <w:rFonts w:hint="eastAsia" w:ascii="仿宋_GB2312" w:hAnsi="仿宋_GB2312" w:eastAsia="仿宋_GB2312" w:cs="仿宋_GB2312"/>
          <w:color w:val="auto"/>
          <w:lang w:val="en-US" w:eastAsia="zh-CN"/>
        </w:rPr>
        <w:t>100</w:t>
      </w:r>
      <w:r>
        <w:rPr>
          <w:rFonts w:hint="eastAsia" w:ascii="仿宋_GB2312" w:hAnsi="仿宋_GB2312" w:eastAsia="仿宋_GB2312" w:cs="仿宋_GB2312"/>
          <w:color w:val="auto"/>
        </w:rPr>
        <w:t>万元，全部为财政拨款，全年执行数为</w:t>
      </w:r>
      <w:r>
        <w:rPr>
          <w:rFonts w:hint="eastAsia" w:ascii="仿宋_GB2312" w:hAnsi="仿宋_GB2312" w:eastAsia="仿宋_GB2312" w:cs="仿宋_GB2312"/>
          <w:color w:val="auto"/>
          <w:lang w:val="en-US" w:eastAsia="zh-CN"/>
        </w:rPr>
        <w:t>88.4</w:t>
      </w:r>
      <w:r>
        <w:rPr>
          <w:rFonts w:hint="eastAsia" w:ascii="仿宋_GB2312" w:hAnsi="仿宋_GB2312" w:eastAsia="仿宋_GB2312" w:cs="仿宋_GB2312"/>
          <w:color w:val="auto"/>
        </w:rPr>
        <w:t>万元</w:t>
      </w:r>
      <w:r>
        <w:rPr>
          <w:rFonts w:hint="eastAsia" w:ascii="仿宋_GB2312" w:hAnsi="仿宋_GB2312" w:eastAsia="仿宋_GB2312" w:cs="仿宋_GB2312"/>
          <w:color w:val="auto"/>
          <w:lang w:eastAsia="zh-CN"/>
        </w:rPr>
        <w:t>。</w:t>
      </w:r>
    </w:p>
    <w:p w14:paraId="17A1CD24">
      <w:pPr>
        <w:keepNext w:val="0"/>
        <w:keepLines w:val="0"/>
        <w:pageBreakBefore w:val="0"/>
        <w:widowControl/>
        <w:numPr>
          <w:ilvl w:val="3"/>
          <w:numId w:val="0"/>
        </w:numPr>
        <w:kinsoku w:val="0"/>
        <w:wordWrap/>
        <w:overflowPunct/>
        <w:topLinePunct w:val="0"/>
        <w:autoSpaceDE w:val="0"/>
        <w:autoSpaceDN w:val="0"/>
        <w:bidi w:val="0"/>
        <w:adjustRightInd w:val="0"/>
        <w:snapToGrid w:val="0"/>
        <w:spacing w:line="560" w:lineRule="exact"/>
        <w:ind w:left="0" w:leftChars="0" w:firstLine="643" w:firstLineChars="200"/>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2.总体绩效目标完成情况分析</w:t>
      </w:r>
    </w:p>
    <w:p w14:paraId="17DDF0AA">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（1）总体绩效目标</w:t>
      </w:r>
    </w:p>
    <w:p w14:paraId="064066CA">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做好本年度项目前期工作，保障项目后续工作顺利进行。清欠历年谋划项目前期费用。</w:t>
      </w:r>
    </w:p>
    <w:p w14:paraId="63EB22D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（2）完成情况分析</w:t>
      </w:r>
    </w:p>
    <w:p w14:paraId="384D9778">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付兰州新区科文旅集团项目前期费87.2万元，其中兰州新区中心血站项目节能评估报告技术服务合同0.3万元、兰州新区中心血站项目可行性研究报告技术服务合同4.8万元、兰州新区妇幼保健院项目可行性研究报告技术服务合同6.6万元、兰州新区妇幼保健院项目节能评估报告技术服务合同0.9万元、兰州新区第一人民医院医疗卫生机构建设项目可行性研究报告技术服务合同48万元、兰州新区第一人民医院医疗卫生机构建设项目节能评估报告技术服务合同14.6万元、兰州新区第一人民医院医疗卫生机构建设项目社会稳定性风险评估报告费用6万元、兰州新区妇幼保健院项目社会稳定性风险评估报告费用3万元、兰州新区中心血站项目社会稳定性风险评估报告费用3万元。支付甘肃一建秦川人民医院建设项目技术服务费用1.2万元。</w:t>
      </w:r>
    </w:p>
    <w:p w14:paraId="3C68F359">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3.各项指标完成情况分析</w:t>
      </w:r>
    </w:p>
    <w:p w14:paraId="59330DA5">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（1）预算资金执行率</w:t>
      </w:r>
    </w:p>
    <w:p w14:paraId="5C873452">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color w:val="auto"/>
        </w:rPr>
        <w:t>20</w:t>
      </w:r>
      <w:r>
        <w:rPr>
          <w:rFonts w:hint="eastAsia" w:ascii="仿宋_GB2312" w:hAnsi="仿宋_GB2312" w:eastAsia="仿宋_GB2312" w:cs="仿宋_GB2312"/>
          <w:color w:val="auto"/>
          <w:lang w:val="en-US" w:eastAsia="zh-CN"/>
        </w:rPr>
        <w:t>23</w:t>
      </w:r>
      <w:r>
        <w:rPr>
          <w:rFonts w:hint="eastAsia" w:ascii="仿宋_GB2312" w:hAnsi="仿宋_GB2312" w:eastAsia="仿宋_GB2312" w:cs="仿宋_GB2312"/>
          <w:color w:val="auto"/>
        </w:rPr>
        <w:t>年度项目全年预算数为</w:t>
      </w:r>
      <w:r>
        <w:rPr>
          <w:rFonts w:hint="eastAsia" w:ascii="仿宋_GB2312" w:hAnsi="仿宋_GB2312" w:eastAsia="仿宋_GB2312" w:cs="仿宋_GB2312"/>
          <w:color w:val="auto"/>
          <w:lang w:val="en-US" w:eastAsia="zh-CN"/>
        </w:rPr>
        <w:t>100</w:t>
      </w:r>
      <w:r>
        <w:rPr>
          <w:rFonts w:hint="eastAsia" w:ascii="仿宋_GB2312" w:hAnsi="仿宋_GB2312" w:eastAsia="仿宋_GB2312" w:cs="仿宋_GB2312"/>
          <w:color w:val="auto"/>
        </w:rPr>
        <w:t>万元，执行数为</w:t>
      </w:r>
      <w:r>
        <w:rPr>
          <w:rFonts w:hint="eastAsia" w:ascii="仿宋_GB2312" w:hAnsi="仿宋_GB2312" w:eastAsia="仿宋_GB2312" w:cs="仿宋_GB2312"/>
          <w:color w:val="auto"/>
          <w:lang w:val="en-US" w:eastAsia="zh-CN"/>
        </w:rPr>
        <w:t>88.4</w:t>
      </w:r>
      <w:r>
        <w:rPr>
          <w:rFonts w:hint="eastAsia" w:ascii="仿宋_GB2312" w:hAnsi="仿宋_GB2312" w:eastAsia="仿宋_GB2312" w:cs="仿宋_GB2312"/>
          <w:color w:val="auto"/>
        </w:rPr>
        <w:t>万元，预算执行率为</w:t>
      </w:r>
      <w:r>
        <w:rPr>
          <w:rFonts w:hint="eastAsia" w:ascii="仿宋_GB2312" w:hAnsi="仿宋_GB2312" w:eastAsia="仿宋_GB2312" w:cs="仿宋_GB2312"/>
          <w:color w:val="auto"/>
          <w:lang w:val="en-US" w:eastAsia="zh-CN"/>
        </w:rPr>
        <w:t>88.4</w:t>
      </w:r>
      <w:r>
        <w:rPr>
          <w:rFonts w:hint="eastAsia" w:ascii="仿宋_GB2312" w:hAnsi="仿宋_GB2312" w:eastAsia="仿宋_GB2312" w:cs="仿宋_GB2312"/>
          <w:color w:val="auto"/>
        </w:rPr>
        <w:t>%，按比例，该指标得</w:t>
      </w:r>
      <w:r>
        <w:rPr>
          <w:rFonts w:hint="eastAsia" w:ascii="仿宋_GB2312" w:hAnsi="仿宋_GB2312" w:eastAsia="仿宋_GB2312" w:cs="仿宋_GB2312"/>
          <w:color w:val="auto"/>
          <w:lang w:val="en-US" w:eastAsia="zh-CN"/>
        </w:rPr>
        <w:t>8.84</w:t>
      </w:r>
      <w:r>
        <w:rPr>
          <w:rFonts w:hint="eastAsia" w:ascii="仿宋_GB2312" w:hAnsi="仿宋_GB2312" w:eastAsia="仿宋_GB2312" w:cs="仿宋_GB2312"/>
          <w:color w:val="auto"/>
        </w:rPr>
        <w:t>分。</w:t>
      </w:r>
    </w:p>
    <w:p w14:paraId="4D155111">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（2）产出指标</w:t>
      </w:r>
    </w:p>
    <w:p w14:paraId="679901B9">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产出指标分值为</w:t>
      </w:r>
      <w:r>
        <w:rPr>
          <w:rFonts w:hint="eastAsia" w:ascii="仿宋_GB2312" w:hAnsi="仿宋_GB2312" w:eastAsia="仿宋_GB2312" w:cs="仿宋_GB2312"/>
          <w:color w:val="auto"/>
          <w:lang w:val="en-US" w:eastAsia="zh-CN"/>
        </w:rPr>
        <w:t>60</w:t>
      </w:r>
      <w:r>
        <w:rPr>
          <w:rFonts w:hint="eastAsia" w:ascii="仿宋_GB2312" w:hAnsi="仿宋_GB2312" w:eastAsia="仿宋_GB2312" w:cs="仿宋_GB2312"/>
          <w:color w:val="auto"/>
        </w:rPr>
        <w:t>分，得</w:t>
      </w:r>
      <w:r>
        <w:rPr>
          <w:rFonts w:hint="eastAsia" w:ascii="仿宋_GB2312" w:hAnsi="仿宋_GB2312" w:eastAsia="仿宋_GB2312" w:cs="仿宋_GB2312"/>
          <w:color w:val="auto"/>
          <w:lang w:val="en-US" w:eastAsia="zh-CN"/>
        </w:rPr>
        <w:t>55</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支付</w:t>
      </w:r>
      <w:r>
        <w:rPr>
          <w:rFonts w:hint="eastAsia" w:ascii="仿宋_GB2312" w:eastAsia="仿宋_GB2312"/>
          <w:b w:val="0"/>
          <w:bCs w:val="0"/>
          <w:color w:val="auto"/>
          <w:sz w:val="32"/>
          <w:szCs w:val="32"/>
          <w:lang w:val="zh-CN" w:eastAsia="zh-CN"/>
        </w:rPr>
        <w:t>项目前期费共计</w:t>
      </w:r>
      <w:r>
        <w:rPr>
          <w:rFonts w:hint="eastAsia" w:ascii="仿宋_GB2312" w:eastAsia="仿宋_GB2312"/>
          <w:bCs/>
          <w:color w:val="auto"/>
          <w:sz w:val="30"/>
          <w:szCs w:val="30"/>
          <w:lang w:val="en-US" w:eastAsia="zh-CN"/>
        </w:rPr>
        <w:t>88.4万元，剩余11.6万元未完成支付。</w:t>
      </w:r>
    </w:p>
    <w:p w14:paraId="58A10A9F">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（3）效益指标</w:t>
      </w:r>
    </w:p>
    <w:p w14:paraId="2EF707E7">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效益指标分值为30分，得30分。</w:t>
      </w:r>
      <w:r>
        <w:rPr>
          <w:rFonts w:hint="eastAsia" w:ascii="仿宋_GB2312" w:hAnsi="仿宋_GB2312" w:eastAsia="仿宋_GB2312" w:cs="仿宋_GB2312"/>
          <w:color w:val="auto"/>
          <w:lang w:eastAsia="zh-CN"/>
        </w:rPr>
        <w:t>支付</w:t>
      </w:r>
      <w:r>
        <w:rPr>
          <w:rFonts w:hint="eastAsia" w:ascii="仿宋_GB2312" w:eastAsia="仿宋_GB2312"/>
          <w:b w:val="0"/>
          <w:bCs w:val="0"/>
          <w:color w:val="auto"/>
          <w:sz w:val="32"/>
          <w:szCs w:val="32"/>
          <w:lang w:val="zh-CN" w:eastAsia="zh-CN"/>
        </w:rPr>
        <w:t>项目前期费共计</w:t>
      </w:r>
      <w:r>
        <w:rPr>
          <w:rFonts w:hint="eastAsia" w:ascii="仿宋_GB2312" w:eastAsia="仿宋_GB2312"/>
          <w:bCs/>
          <w:color w:val="auto"/>
          <w:sz w:val="30"/>
          <w:szCs w:val="30"/>
          <w:lang w:val="en-US" w:eastAsia="zh-CN"/>
        </w:rPr>
        <w:t>88.4万元，剩余11.6万元未完成支付。</w:t>
      </w:r>
    </w:p>
    <w:p w14:paraId="0AB4E0F4">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（4）满意度指标</w:t>
      </w:r>
    </w:p>
    <w:p w14:paraId="7DBDD95D">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满意度指标分值为</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0分，得</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0分。辖区居民就医满意度</w:t>
      </w:r>
      <w:r>
        <w:rPr>
          <w:rFonts w:hint="eastAsia" w:ascii="仿宋_GB2312" w:hAnsi="仿宋_GB2312" w:eastAsia="仿宋_GB2312" w:cs="仿宋_GB2312"/>
          <w:color w:val="auto"/>
          <w:lang w:eastAsia="zh-CN"/>
        </w:rPr>
        <w:t>达到</w:t>
      </w:r>
      <w:r>
        <w:rPr>
          <w:rFonts w:hint="eastAsia" w:ascii="仿宋_GB2312" w:hAnsi="仿宋_GB2312" w:eastAsia="仿宋_GB2312" w:cs="仿宋_GB2312"/>
          <w:color w:val="auto"/>
        </w:rPr>
        <w:t>90%。</w:t>
      </w:r>
    </w:p>
    <w:p w14:paraId="1E5509F0">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偏离绩效目标的原因及下一步改进措施</w:t>
      </w:r>
    </w:p>
    <w:p w14:paraId="15618BD2">
      <w:pPr>
        <w:pStyle w:val="2"/>
        <w:numPr>
          <w:ilvl w:val="0"/>
          <w:numId w:val="0"/>
        </w:numPr>
        <w:ind w:firstLine="640" w:firstLineChars="200"/>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rPr>
        <w:t>预算执行中11.6万元的执行计划已提交财政局，但因财政资金紧张，此项费用未完成支付，造成与年初预算目标偏差。</w:t>
      </w:r>
    </w:p>
    <w:p w14:paraId="31EE3E35">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firstLineChars="200"/>
        <w:textAlignment w:val="baseline"/>
        <w:outlineLvl w:val="2"/>
        <w:rPr>
          <w:rFonts w:hint="eastAsia" w:ascii="楷体" w:hAnsi="楷体" w:eastAsia="楷体" w:cs="楷体"/>
          <w:b/>
          <w:bCs/>
          <w:color w:val="auto"/>
          <w:szCs w:val="32"/>
          <w:lang w:eastAsia="zh-CN"/>
        </w:rPr>
      </w:pPr>
      <w:r>
        <w:rPr>
          <w:rFonts w:hint="eastAsia" w:ascii="楷体" w:hAnsi="楷体" w:eastAsia="楷体" w:cs="楷体"/>
          <w:b/>
          <w:bCs/>
          <w:color w:val="auto"/>
          <w:szCs w:val="32"/>
        </w:rPr>
        <w:t>（</w:t>
      </w:r>
      <w:r>
        <w:rPr>
          <w:rFonts w:hint="eastAsia" w:ascii="楷体" w:hAnsi="楷体" w:eastAsia="楷体" w:cs="楷体"/>
          <w:b/>
          <w:bCs/>
          <w:color w:val="auto"/>
          <w:szCs w:val="32"/>
          <w:lang w:eastAsia="zh-CN"/>
        </w:rPr>
        <w:t>十九</w:t>
      </w:r>
      <w:r>
        <w:rPr>
          <w:rFonts w:hint="eastAsia" w:ascii="楷体" w:hAnsi="楷体" w:eastAsia="楷体" w:cs="楷体"/>
          <w:b/>
          <w:bCs/>
          <w:color w:val="auto"/>
          <w:szCs w:val="32"/>
        </w:rPr>
        <w:t>）</w:t>
      </w:r>
      <w:r>
        <w:rPr>
          <w:rFonts w:hint="eastAsia" w:ascii="楷体" w:hAnsi="楷体" w:eastAsia="楷体" w:cs="楷体"/>
          <w:b/>
          <w:bCs/>
          <w:color w:val="auto"/>
          <w:szCs w:val="32"/>
          <w:lang w:eastAsia="zh-CN"/>
        </w:rPr>
        <w:t>基层医疗机构改扩建项目</w:t>
      </w:r>
    </w:p>
    <w:p w14:paraId="73E9C10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1.项目支出预算执行情况</w:t>
      </w:r>
    </w:p>
    <w:p w14:paraId="696EE177">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lang w:val="en-US" w:eastAsia="zh-CN"/>
        </w:rPr>
        <w:t>2023</w:t>
      </w:r>
      <w:r>
        <w:rPr>
          <w:rFonts w:hint="eastAsia" w:ascii="仿宋_GB2312" w:hAnsi="仿宋_GB2312" w:eastAsia="仿宋_GB2312" w:cs="仿宋_GB2312"/>
          <w:color w:val="auto"/>
        </w:rPr>
        <w:t>年基层医疗机构改扩建项目全年预算数为</w:t>
      </w:r>
      <w:r>
        <w:rPr>
          <w:rFonts w:hint="eastAsia" w:ascii="仿宋_GB2312" w:hAnsi="仿宋_GB2312" w:eastAsia="仿宋_GB2312" w:cs="仿宋_GB2312"/>
          <w:color w:val="auto"/>
          <w:lang w:val="en-US" w:eastAsia="zh-CN"/>
        </w:rPr>
        <w:t>800</w:t>
      </w:r>
      <w:r>
        <w:rPr>
          <w:rFonts w:hint="eastAsia" w:ascii="仿宋_GB2312" w:hAnsi="仿宋_GB2312" w:eastAsia="仿宋_GB2312" w:cs="仿宋_GB2312"/>
          <w:color w:val="auto"/>
        </w:rPr>
        <w:t>万元，全部为财政拨款，全年执行数为</w:t>
      </w:r>
      <w:r>
        <w:rPr>
          <w:rFonts w:hint="eastAsia" w:ascii="仿宋_GB2312" w:hAnsi="仿宋_GB2312" w:eastAsia="仿宋_GB2312" w:cs="仿宋_GB2312"/>
          <w:color w:val="auto"/>
          <w:lang w:val="en-US" w:eastAsia="zh-CN"/>
        </w:rPr>
        <w:t>800</w:t>
      </w:r>
      <w:r>
        <w:rPr>
          <w:rFonts w:hint="eastAsia" w:ascii="仿宋_GB2312" w:hAnsi="仿宋_GB2312" w:eastAsia="仿宋_GB2312" w:cs="仿宋_GB2312"/>
          <w:color w:val="auto"/>
        </w:rPr>
        <w:t>万元</w:t>
      </w:r>
      <w:r>
        <w:rPr>
          <w:rFonts w:hint="eastAsia" w:ascii="仿宋_GB2312" w:hAnsi="仿宋_GB2312" w:eastAsia="仿宋_GB2312" w:cs="仿宋_GB2312"/>
          <w:color w:val="auto"/>
          <w:lang w:eastAsia="zh-CN"/>
        </w:rPr>
        <w:t>。</w:t>
      </w:r>
    </w:p>
    <w:p w14:paraId="777EA2AA">
      <w:pPr>
        <w:keepNext w:val="0"/>
        <w:keepLines w:val="0"/>
        <w:pageBreakBefore w:val="0"/>
        <w:widowControl/>
        <w:numPr>
          <w:ilvl w:val="3"/>
          <w:numId w:val="0"/>
        </w:numPr>
        <w:kinsoku w:val="0"/>
        <w:wordWrap/>
        <w:overflowPunct/>
        <w:topLinePunct w:val="0"/>
        <w:autoSpaceDE w:val="0"/>
        <w:autoSpaceDN w:val="0"/>
        <w:bidi w:val="0"/>
        <w:adjustRightInd w:val="0"/>
        <w:snapToGrid w:val="0"/>
        <w:spacing w:line="560" w:lineRule="exact"/>
        <w:ind w:left="0" w:leftChars="0" w:firstLine="643" w:firstLineChars="200"/>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2.总体绩效目标完成情况分析</w:t>
      </w:r>
    </w:p>
    <w:p w14:paraId="3CB458ED">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（1）总体绩效目标</w:t>
      </w:r>
    </w:p>
    <w:p w14:paraId="70F1ADB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val="0"/>
          <w:bCs w:val="0"/>
          <w:color w:val="auto"/>
        </w:rPr>
      </w:pPr>
      <w:r>
        <w:rPr>
          <w:rFonts w:hint="eastAsia" w:ascii="仿宋_GB2312" w:hAnsi="仿宋_GB2312" w:eastAsia="仿宋_GB2312" w:cs="仿宋_GB2312"/>
          <w:b w:val="0"/>
          <w:bCs w:val="0"/>
          <w:color w:val="auto"/>
        </w:rPr>
        <w:t>完成改造装修施工、购置设施设备并正常投入使用。支付秦川中心卫生院（小横路社区卫生服务中心）业务用房改造项目尾款。</w:t>
      </w:r>
    </w:p>
    <w:p w14:paraId="7F1A31F8">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（2）完成情况分析</w:t>
      </w:r>
    </w:p>
    <w:p w14:paraId="5BFCF0C0">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小横路社区卫生服务中心业务用房改造及装饰装修工程建设费用90.703464万元；下达</w:t>
      </w:r>
      <w:r>
        <w:rPr>
          <w:rFonts w:hint="eastAsia" w:ascii="仿宋_GB2312" w:hAnsi="仿宋_GB2312" w:eastAsia="仿宋_GB2312" w:cs="仿宋_GB2312"/>
          <w:sz w:val="32"/>
          <w:szCs w:val="32"/>
          <w:lang w:eastAsia="zh-CN"/>
        </w:rPr>
        <w:t>秦川中心卫生院</w:t>
      </w:r>
      <w:r>
        <w:rPr>
          <w:rFonts w:hint="eastAsia" w:ascii="仿宋_GB2312" w:hAnsi="仿宋_GB2312" w:eastAsia="仿宋_GB2312" w:cs="仿宋_GB2312"/>
          <w:sz w:val="32"/>
          <w:szCs w:val="32"/>
          <w:lang w:val="en-US" w:eastAsia="zh-CN"/>
        </w:rPr>
        <w:t>49.7万元用于</w:t>
      </w:r>
      <w:r>
        <w:rPr>
          <w:rFonts w:hint="eastAsia" w:ascii="仿宋_GB2312" w:hAnsi="仿宋_GB2312" w:eastAsia="仿宋_GB2312" w:cs="仿宋_GB2312"/>
          <w:sz w:val="32"/>
          <w:szCs w:val="32"/>
          <w:lang w:eastAsia="zh-CN"/>
        </w:rPr>
        <w:t>兰州新区秦川中心卫生院（小横路社区卫生服务中心）业务用房改造项目建设</w:t>
      </w:r>
      <w:r>
        <w:rPr>
          <w:rFonts w:hint="eastAsia" w:ascii="仿宋_GB2312" w:hAnsi="仿宋_GB2312" w:eastAsia="仿宋_GB2312" w:cs="仿宋_GB2312"/>
          <w:sz w:val="32"/>
          <w:szCs w:val="32"/>
          <w:lang w:val="en-US" w:eastAsia="zh-CN"/>
        </w:rPr>
        <w:t>，瑞岭雅苑社区卫生服务中心80万元用于瑞岭名郡社区卫生服务站装修改造及设备购置，新安社区卫生服务中心60万元用于瑞岭锦绣社区卫生服务站装修改造及设备购置，栖霞社区卫生服务中心180万元用于栖霞社区卫生服务中心、瑞岭馨苑社区卫生服务站装修改造及设备购置，上川卫生院112万元用于上川镇卫生院提升改造项目，西岔中心卫生院</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205.59万元用于新康村社区卫生服务中心医疗设备及办公用品购置，新安社区卫生服务中心22万元用于恒裕湖畔社区卫生服务站项目建设</w:t>
      </w:r>
    </w:p>
    <w:p w14:paraId="775D06CA">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3.各项指标完成情况分析</w:t>
      </w:r>
    </w:p>
    <w:p w14:paraId="30F5C7A3">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（1）预算资金执行率</w:t>
      </w:r>
    </w:p>
    <w:p w14:paraId="785F8D5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color w:val="auto"/>
        </w:rPr>
        <w:t>20</w:t>
      </w:r>
      <w:r>
        <w:rPr>
          <w:rFonts w:hint="eastAsia" w:ascii="仿宋_GB2312" w:hAnsi="仿宋_GB2312" w:eastAsia="仿宋_GB2312" w:cs="仿宋_GB2312"/>
          <w:color w:val="auto"/>
          <w:lang w:val="en-US" w:eastAsia="zh-CN"/>
        </w:rPr>
        <w:t>23</w:t>
      </w:r>
      <w:r>
        <w:rPr>
          <w:rFonts w:hint="eastAsia" w:ascii="仿宋_GB2312" w:hAnsi="仿宋_GB2312" w:eastAsia="仿宋_GB2312" w:cs="仿宋_GB2312"/>
          <w:color w:val="auto"/>
        </w:rPr>
        <w:t>年度项目全年预算数为</w:t>
      </w:r>
      <w:r>
        <w:rPr>
          <w:rFonts w:hint="eastAsia" w:ascii="仿宋_GB2312" w:hAnsi="仿宋_GB2312" w:eastAsia="仿宋_GB2312" w:cs="仿宋_GB2312"/>
          <w:color w:val="auto"/>
          <w:lang w:val="en-US" w:eastAsia="zh-CN"/>
        </w:rPr>
        <w:t>800</w:t>
      </w:r>
      <w:r>
        <w:rPr>
          <w:rFonts w:hint="eastAsia" w:ascii="仿宋_GB2312" w:hAnsi="仿宋_GB2312" w:eastAsia="仿宋_GB2312" w:cs="仿宋_GB2312"/>
          <w:color w:val="auto"/>
        </w:rPr>
        <w:t>万元，执行数为</w:t>
      </w:r>
      <w:r>
        <w:rPr>
          <w:rFonts w:hint="eastAsia" w:ascii="仿宋_GB2312" w:hAnsi="仿宋_GB2312" w:eastAsia="仿宋_GB2312" w:cs="仿宋_GB2312"/>
          <w:color w:val="auto"/>
          <w:lang w:val="en-US" w:eastAsia="zh-CN"/>
        </w:rPr>
        <w:t>800</w:t>
      </w:r>
      <w:r>
        <w:rPr>
          <w:rFonts w:hint="eastAsia" w:ascii="仿宋_GB2312" w:hAnsi="仿宋_GB2312" w:eastAsia="仿宋_GB2312" w:cs="仿宋_GB2312"/>
          <w:color w:val="auto"/>
        </w:rPr>
        <w:t>万元，预算执行率为</w:t>
      </w:r>
      <w:r>
        <w:rPr>
          <w:rFonts w:hint="eastAsia" w:ascii="仿宋_GB2312" w:hAnsi="仿宋_GB2312" w:eastAsia="仿宋_GB2312" w:cs="仿宋_GB2312"/>
          <w:color w:val="auto"/>
          <w:lang w:val="en-US" w:eastAsia="zh-CN"/>
        </w:rPr>
        <w:t>100</w:t>
      </w:r>
      <w:r>
        <w:rPr>
          <w:rFonts w:hint="eastAsia" w:ascii="仿宋_GB2312" w:hAnsi="仿宋_GB2312" w:eastAsia="仿宋_GB2312" w:cs="仿宋_GB2312"/>
          <w:color w:val="auto"/>
        </w:rPr>
        <w:t>%，按比例，该指标得</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分。</w:t>
      </w:r>
    </w:p>
    <w:p w14:paraId="31CDD49E">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（2）产出指标</w:t>
      </w:r>
    </w:p>
    <w:p w14:paraId="356BF1A7">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产出指标分值为</w:t>
      </w:r>
      <w:r>
        <w:rPr>
          <w:rFonts w:hint="eastAsia" w:ascii="仿宋_GB2312" w:hAnsi="仿宋_GB2312" w:eastAsia="仿宋_GB2312" w:cs="仿宋_GB2312"/>
          <w:color w:val="auto"/>
          <w:lang w:val="en-US" w:eastAsia="zh-CN"/>
        </w:rPr>
        <w:t>60</w:t>
      </w:r>
      <w:r>
        <w:rPr>
          <w:rFonts w:hint="eastAsia" w:ascii="仿宋_GB2312" w:hAnsi="仿宋_GB2312" w:eastAsia="仿宋_GB2312" w:cs="仿宋_GB2312"/>
          <w:color w:val="auto"/>
        </w:rPr>
        <w:t>分，得</w:t>
      </w:r>
      <w:r>
        <w:rPr>
          <w:rFonts w:hint="eastAsia" w:ascii="仿宋_GB2312" w:hAnsi="仿宋_GB2312" w:eastAsia="仿宋_GB2312" w:cs="仿宋_GB2312"/>
          <w:color w:val="auto"/>
          <w:lang w:val="en-US" w:eastAsia="zh-CN"/>
        </w:rPr>
        <w:t>60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支付项目建设及设备购置费用</w:t>
      </w:r>
      <w:r>
        <w:rPr>
          <w:rFonts w:hint="eastAsia" w:ascii="仿宋_GB2312" w:hAnsi="仿宋_GB2312" w:eastAsia="仿宋_GB2312" w:cs="仿宋_GB2312"/>
          <w:color w:val="auto"/>
          <w:lang w:val="en-US" w:eastAsia="zh-CN"/>
        </w:rPr>
        <w:t>800万元，建成恒裕湖畔社区卫生服务站、上川镇卫生院提升改造项目。</w:t>
      </w:r>
    </w:p>
    <w:p w14:paraId="4D8C244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（3）效益指标</w:t>
      </w:r>
    </w:p>
    <w:p w14:paraId="7FEBF44B">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效益指标分值为30分，得30分。</w:t>
      </w:r>
      <w:r>
        <w:rPr>
          <w:rFonts w:hint="eastAsia" w:ascii="仿宋_GB2312" w:hAnsi="仿宋_GB2312" w:eastAsia="仿宋_GB2312" w:cs="仿宋_GB2312"/>
          <w:color w:val="auto"/>
          <w:lang w:val="en-US" w:eastAsia="zh-CN"/>
        </w:rPr>
        <w:t>建成恒裕湖畔社区卫生服务站、上川镇卫生院提升改造项目并投入运行。</w:t>
      </w:r>
    </w:p>
    <w:p w14:paraId="48E85397">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（4）满意度指标</w:t>
      </w:r>
    </w:p>
    <w:p w14:paraId="14B4C1EF">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textAlignment w:val="baseline"/>
        <w:rPr>
          <w:rFonts w:hint="eastAsia" w:ascii="仿宋_GB2312" w:hAnsi="仿宋_GB2312" w:eastAsia="仿宋_GB2312" w:cs="仿宋_GB2312"/>
          <w:color w:val="auto"/>
        </w:rPr>
      </w:pPr>
      <w:r>
        <w:rPr>
          <w:rFonts w:hint="eastAsia" w:ascii="仿宋_GB2312" w:hAnsi="仿宋_GB2312" w:eastAsia="仿宋_GB2312" w:cs="仿宋_GB2312"/>
          <w:color w:val="auto"/>
        </w:rPr>
        <w:t>满意度指标分值为</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0分，得</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0分。辖区居民就医满意度</w:t>
      </w:r>
      <w:r>
        <w:rPr>
          <w:rFonts w:hint="eastAsia" w:ascii="仿宋_GB2312" w:hAnsi="仿宋_GB2312" w:eastAsia="仿宋_GB2312" w:cs="仿宋_GB2312"/>
          <w:color w:val="auto"/>
          <w:lang w:eastAsia="zh-CN"/>
        </w:rPr>
        <w:t>达到</w:t>
      </w:r>
      <w:r>
        <w:rPr>
          <w:rFonts w:hint="eastAsia" w:ascii="仿宋_GB2312" w:hAnsi="仿宋_GB2312" w:eastAsia="仿宋_GB2312" w:cs="仿宋_GB2312"/>
          <w:color w:val="auto"/>
        </w:rPr>
        <w:t>90%。</w:t>
      </w:r>
    </w:p>
    <w:p w14:paraId="37DA716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rPr>
          <w:rFonts w:hint="eastAsia" w:ascii="仿宋_GB2312" w:hAnsi="仿宋_GB2312" w:eastAsia="仿宋_GB2312" w:cs="仿宋_GB2312"/>
          <w:b/>
          <w:bCs/>
          <w:color w:val="auto"/>
        </w:rPr>
      </w:pPr>
      <w:r>
        <w:rPr>
          <w:rFonts w:hint="eastAsia" w:ascii="仿宋_GB2312" w:hAnsi="仿宋_GB2312" w:eastAsia="仿宋_GB2312" w:cs="仿宋_GB2312"/>
          <w:b/>
          <w:bCs/>
          <w:color w:val="auto"/>
          <w:lang w:val="en-US" w:eastAsia="zh-CN"/>
        </w:rPr>
        <w:t>5.</w:t>
      </w:r>
      <w:r>
        <w:rPr>
          <w:rFonts w:hint="eastAsia" w:ascii="仿宋_GB2312" w:hAnsi="仿宋_GB2312" w:eastAsia="仿宋_GB2312" w:cs="仿宋_GB2312"/>
          <w:b/>
          <w:bCs/>
          <w:color w:val="auto"/>
        </w:rPr>
        <w:t>偏离绩效目标的原因及下一步改进措施</w:t>
      </w:r>
    </w:p>
    <w:p w14:paraId="32059A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rPr>
        <w:t>项目实施全过程中未出现偏差。</w:t>
      </w:r>
    </w:p>
    <w:p w14:paraId="18DB56D8">
      <w:pPr>
        <w:ind w:firstLine="643"/>
        <w:outlineLvl w:val="2"/>
        <w:rPr>
          <w:rFonts w:ascii="楷体" w:hAnsi="楷体" w:eastAsia="楷体" w:cs="楷体"/>
          <w:b/>
          <w:bCs/>
          <w:szCs w:val="32"/>
          <w:highlight w:val="none"/>
        </w:rPr>
      </w:pP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二十</w:t>
      </w:r>
      <w:r>
        <w:rPr>
          <w:rFonts w:hint="eastAsia" w:ascii="楷体" w:hAnsi="楷体" w:eastAsia="楷体" w:cs="楷体"/>
          <w:b/>
          <w:bCs/>
          <w:szCs w:val="32"/>
          <w:highlight w:val="none"/>
        </w:rPr>
        <w:t>）引进人才待遇经费（</w:t>
      </w:r>
      <w:r>
        <w:rPr>
          <w:rFonts w:hint="eastAsia" w:ascii="楷体" w:hAnsi="楷体" w:eastAsia="楷体" w:cs="楷体"/>
          <w:b/>
          <w:bCs/>
          <w:szCs w:val="32"/>
          <w:highlight w:val="none"/>
          <w:lang w:eastAsia="zh-CN"/>
        </w:rPr>
        <w:t>工作</w:t>
      </w:r>
      <w:r>
        <w:rPr>
          <w:rFonts w:hint="eastAsia" w:ascii="楷体" w:hAnsi="楷体" w:eastAsia="楷体" w:cs="楷体"/>
          <w:b/>
          <w:bCs/>
          <w:szCs w:val="32"/>
          <w:highlight w:val="none"/>
        </w:rPr>
        <w:t>补助）</w:t>
      </w:r>
    </w:p>
    <w:p w14:paraId="2A7952A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ascii="Helvetica" w:hAnsi="Helvetica" w:eastAsia="Helvetica" w:cs="Helvetica"/>
          <w:i w:val="0"/>
          <w:caps w:val="0"/>
          <w:color w:val="auto"/>
          <w:spacing w:val="0"/>
          <w:sz w:val="32"/>
          <w:szCs w:val="32"/>
        </w:rPr>
      </w:pPr>
      <w:r>
        <w:rPr>
          <w:rFonts w:ascii="黑体" w:hAnsi="宋体" w:eastAsia="黑体" w:cs="黑体"/>
          <w:i w:val="0"/>
          <w:caps w:val="0"/>
          <w:color w:val="auto"/>
          <w:spacing w:val="0"/>
          <w:sz w:val="32"/>
          <w:szCs w:val="32"/>
          <w:shd w:val="clear" w:color="auto" w:fill="FFFFFF"/>
        </w:rPr>
        <w:t>一、项目基本情况</w:t>
      </w:r>
    </w:p>
    <w:p w14:paraId="01A392A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ascii="楷体" w:hAnsi="楷体" w:eastAsia="楷体" w:cs="楷体"/>
          <w:i w:val="0"/>
          <w:caps w:val="0"/>
          <w:color w:val="auto"/>
          <w:spacing w:val="0"/>
          <w:sz w:val="32"/>
          <w:szCs w:val="32"/>
          <w:shd w:val="clear" w:color="auto" w:fill="FFFFFF"/>
        </w:rPr>
      </w:pPr>
      <w:r>
        <w:rPr>
          <w:rFonts w:ascii="楷体" w:hAnsi="楷体" w:eastAsia="楷体" w:cs="楷体"/>
          <w:i w:val="0"/>
          <w:caps w:val="0"/>
          <w:color w:val="auto"/>
          <w:spacing w:val="0"/>
          <w:sz w:val="32"/>
          <w:szCs w:val="32"/>
          <w:shd w:val="clear" w:color="auto" w:fill="FFFFFF"/>
        </w:rPr>
        <w:t>（一）</w:t>
      </w:r>
      <w:r>
        <w:rPr>
          <w:rFonts w:hint="eastAsia" w:ascii="楷体" w:hAnsi="楷体" w:eastAsia="楷体" w:cs="楷体"/>
          <w:i w:val="0"/>
          <w:caps w:val="0"/>
          <w:color w:val="auto"/>
          <w:spacing w:val="0"/>
          <w:sz w:val="32"/>
          <w:szCs w:val="32"/>
          <w:shd w:val="clear" w:color="auto" w:fill="FFFFFF"/>
          <w:lang w:eastAsia="zh-CN"/>
        </w:rPr>
        <w:t>项目</w:t>
      </w:r>
      <w:r>
        <w:rPr>
          <w:rFonts w:ascii="楷体" w:hAnsi="楷体" w:eastAsia="楷体" w:cs="楷体"/>
          <w:i w:val="0"/>
          <w:caps w:val="0"/>
          <w:color w:val="auto"/>
          <w:spacing w:val="0"/>
          <w:sz w:val="32"/>
          <w:szCs w:val="32"/>
          <w:shd w:val="clear" w:color="auto" w:fill="FFFFFF"/>
        </w:rPr>
        <w:t>背景</w:t>
      </w:r>
    </w:p>
    <w:p w14:paraId="4F76476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全面深化医疗卫生体制改革，建立现代医院管理制度，构建符合兰州新区实际工作需要的医疗卫生人才队伍体系，打造一个以人才为核心，以机构为主体，以需求为导向，以医、教、研、防深度融合的大健康、大医疗创新体系，鼓励形成有新区特色的人才招聘、使用、待遇、培养、评价、绩效、职称管理等方面的办医模式。</w:t>
      </w:r>
    </w:p>
    <w:p w14:paraId="1644066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eastAsia="zh-CN"/>
        </w:rPr>
      </w:pP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二</w:t>
      </w: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项目内容</w:t>
      </w:r>
    </w:p>
    <w:p w14:paraId="2878169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eastAsia="仿宋_GB2312" w:cs="Times New Roman"/>
          <w:b w:val="0"/>
          <w:bCs w:val="0"/>
          <w:color w:val="auto"/>
          <w:sz w:val="32"/>
          <w:szCs w:val="32"/>
          <w:lang w:eastAsia="zh-CN"/>
        </w:rPr>
        <w:t>根据兰州新区卫计和食品药品监督局关于印发《加强医疗卫生人才队伍建设管理的实施意见》的通知（新卫发〔2018〕398号）。</w:t>
      </w:r>
      <w:r>
        <w:rPr>
          <w:rFonts w:hint="eastAsia" w:ascii="仿宋_GB2312" w:hAnsi="仿宋_GB2312" w:eastAsia="仿宋_GB2312" w:cs="仿宋_GB2312"/>
          <w:b w:val="0"/>
          <w:bCs w:val="0"/>
          <w:color w:val="auto"/>
          <w:sz w:val="32"/>
          <w:szCs w:val="32"/>
          <w:lang w:val="en-US" w:eastAsia="zh-CN"/>
        </w:rPr>
        <w:t>2017-2021年引进人员享受工作补贴15人，正高级每人每月3000元，副高级每人每月2000元。</w:t>
      </w:r>
    </w:p>
    <w:p w14:paraId="0C31F6A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正高级职称2人，每人每月3000元；副高级职称13人，每人每月2000元。全年共计38.4万元。</w:t>
      </w:r>
    </w:p>
    <w:p w14:paraId="37BAF10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楷体" w:hAnsi="楷体" w:eastAsia="楷体" w:cs="楷体"/>
          <w:i w:val="0"/>
          <w:caps w:val="0"/>
          <w:color w:val="auto"/>
          <w:spacing w:val="0"/>
          <w:sz w:val="32"/>
          <w:szCs w:val="32"/>
          <w:shd w:val="clear" w:color="auto" w:fill="FFFFFF"/>
          <w:lang w:eastAsia="zh-CN"/>
        </w:rPr>
      </w:pP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三</w:t>
      </w: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绩效目标</w:t>
      </w:r>
    </w:p>
    <w:p w14:paraId="295E7A7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总体目标：</w:t>
      </w:r>
      <w:r>
        <w:rPr>
          <w:rFonts w:hint="eastAsia" w:ascii="仿宋_GB2312" w:hAnsi="仿宋_GB2312" w:eastAsia="仿宋_GB2312" w:cs="仿宋_GB2312"/>
          <w:b w:val="0"/>
          <w:bCs w:val="0"/>
          <w:color w:val="auto"/>
          <w:sz w:val="32"/>
          <w:szCs w:val="32"/>
          <w:lang w:val="en-US" w:eastAsia="zh-CN"/>
        </w:rPr>
        <w:t>落实人才引进待遇，确保医疗卫生人才引的来、留的住，降低人才流失率，持续加强医疗卫生人才队伍建设，提升医疗服务能力、水平，切实为新区老百姓提供优质的医疗服务。</w:t>
      </w:r>
    </w:p>
    <w:p w14:paraId="153FF9C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eastAsia="zh-CN"/>
        </w:rPr>
      </w:pP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四</w:t>
      </w: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项目预算情况</w:t>
      </w:r>
    </w:p>
    <w:p w14:paraId="5105A01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该项目年初预算38.4万元，全部为新区预算资金。</w:t>
      </w:r>
    </w:p>
    <w:p w14:paraId="32D2D05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楷体" w:hAnsi="楷体" w:eastAsia="楷体" w:cs="楷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二、监控结论及分析</w:t>
      </w:r>
    </w:p>
    <w:p w14:paraId="64AAE39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default"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eastAsia="zh-CN"/>
        </w:rPr>
        <w:t>（一）项目管理情况</w:t>
      </w:r>
    </w:p>
    <w:p w14:paraId="02C0D65D">
      <w:pPr>
        <w:keepNext w:val="0"/>
        <w:keepLines w:val="0"/>
        <w:pageBreakBefore w:val="0"/>
        <w:widowControl w:val="0"/>
        <w:kinsoku/>
        <w:wordWrap/>
        <w:overflowPunct/>
        <w:topLinePunct w:val="0"/>
        <w:autoSpaceDE/>
        <w:autoSpaceDN/>
        <w:bidi w:val="0"/>
        <w:adjustRightInd/>
        <w:snapToGrid/>
        <w:spacing w:afterAutospacing="0" w:line="540" w:lineRule="exact"/>
        <w:ind w:firstLine="640" w:firstLineChars="200"/>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在年度预算管理过程中，进一步强化资金的分配、使用、管理等关键环节的事前防范、事中控制、事后监督，努力提高项目资金配置效率。在制度建设方面，紧扣制度建设重点，围绕预算编制、预算执行、支付管理、监督保障等方面，结合机构独立设置、独立运转和部门自身建设，狠抓内部管理、不断建立完善了各项规章制度，建立用制度管人、管事、管财的长效机制，并在实际工作中不断健全完善管理办法和内控制度，认真贯彻执行，确保资金使用的安全、合规。在预算执行管理方面，切实履行预算管理职责，加强预算执行的监督管理，维护预算的严肃性。按照财政预算执行进度要求，定期通报预算执行进度情况，分析解决预算执行中存在的问题和困难，根据预算项目用途，确保专款专用，加快预算执行进度。</w:t>
      </w:r>
    </w:p>
    <w:p w14:paraId="3787F67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eastAsia="zh-CN"/>
        </w:rPr>
      </w:pPr>
      <w:r>
        <w:rPr>
          <w:rFonts w:hint="eastAsia" w:ascii="楷体" w:hAnsi="楷体" w:eastAsia="楷体" w:cs="楷体"/>
          <w:i w:val="0"/>
          <w:caps w:val="0"/>
          <w:color w:val="auto"/>
          <w:spacing w:val="0"/>
          <w:sz w:val="32"/>
          <w:szCs w:val="32"/>
          <w:shd w:val="clear" w:color="auto" w:fill="FFFFFF"/>
          <w:lang w:eastAsia="zh-CN"/>
        </w:rPr>
        <w:t>（二）预算执行情况</w:t>
      </w:r>
    </w:p>
    <w:p w14:paraId="6D78C564">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兰州新区202</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lang w:eastAsia="zh-CN"/>
        </w:rPr>
        <w:t>年引进人才待遇经费项目全年预算数为</w:t>
      </w:r>
      <w:r>
        <w:rPr>
          <w:rFonts w:hint="eastAsia" w:ascii="仿宋_GB2312" w:hAnsi="仿宋_GB2312" w:eastAsia="仿宋_GB2312" w:cs="仿宋_GB2312"/>
          <w:b w:val="0"/>
          <w:bCs w:val="0"/>
          <w:color w:val="auto"/>
          <w:sz w:val="32"/>
          <w:szCs w:val="32"/>
          <w:lang w:val="en-US" w:eastAsia="zh-CN"/>
        </w:rPr>
        <w:t>38.5</w:t>
      </w:r>
      <w:r>
        <w:rPr>
          <w:rFonts w:hint="eastAsia" w:ascii="仿宋_GB2312" w:hAnsi="仿宋_GB2312" w:eastAsia="仿宋_GB2312" w:cs="仿宋_GB2312"/>
          <w:b w:val="0"/>
          <w:bCs w:val="0"/>
          <w:color w:val="auto"/>
          <w:sz w:val="32"/>
          <w:szCs w:val="32"/>
          <w:lang w:eastAsia="zh-CN"/>
        </w:rPr>
        <w:t>万元，全部为财政拨款，全年执行数为</w:t>
      </w:r>
      <w:r>
        <w:rPr>
          <w:rFonts w:hint="eastAsia" w:ascii="仿宋_GB2312" w:hAnsi="仿宋_GB2312" w:eastAsia="仿宋_GB2312" w:cs="仿宋_GB2312"/>
          <w:b w:val="0"/>
          <w:bCs w:val="0"/>
          <w:color w:val="auto"/>
          <w:sz w:val="32"/>
          <w:szCs w:val="32"/>
          <w:lang w:val="en-US" w:eastAsia="zh-CN"/>
        </w:rPr>
        <w:t>38.5</w:t>
      </w:r>
      <w:r>
        <w:rPr>
          <w:rFonts w:hint="eastAsia" w:ascii="仿宋_GB2312" w:hAnsi="仿宋_GB2312" w:eastAsia="仿宋_GB2312" w:cs="仿宋_GB2312"/>
          <w:b w:val="0"/>
          <w:bCs w:val="0"/>
          <w:color w:val="auto"/>
          <w:sz w:val="32"/>
          <w:szCs w:val="32"/>
          <w:lang w:eastAsia="zh-CN"/>
        </w:rPr>
        <w:t>万元。</w:t>
      </w:r>
    </w:p>
    <w:p w14:paraId="44AD696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hint="eastAsia" w:ascii="楷体" w:hAnsi="楷体" w:eastAsia="楷体" w:cs="楷体"/>
          <w:i w:val="0"/>
          <w:caps w:val="0"/>
          <w:color w:val="auto"/>
          <w:spacing w:val="0"/>
          <w:sz w:val="32"/>
          <w:szCs w:val="32"/>
          <w:shd w:val="clear" w:color="auto" w:fill="FFFFFF"/>
          <w:lang w:eastAsia="zh-CN"/>
        </w:rPr>
      </w:pPr>
      <w:r>
        <w:rPr>
          <w:rFonts w:hint="eastAsia" w:ascii="楷体" w:hAnsi="楷体" w:eastAsia="楷体" w:cs="楷体"/>
          <w:i w:val="0"/>
          <w:caps w:val="0"/>
          <w:color w:val="auto"/>
          <w:spacing w:val="0"/>
          <w:sz w:val="32"/>
          <w:szCs w:val="32"/>
          <w:shd w:val="clear" w:color="auto" w:fill="FFFFFF"/>
          <w:lang w:eastAsia="zh-CN"/>
        </w:rPr>
        <w:t>（三）绩效目标完成情况</w:t>
      </w:r>
    </w:p>
    <w:p w14:paraId="685036D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1.产出指标完成情况</w:t>
      </w:r>
    </w:p>
    <w:p w14:paraId="0F8D516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（1）数量指标</w:t>
      </w:r>
    </w:p>
    <w:p w14:paraId="40BE6F2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2017-2021年引进人员享受工作补贴16人，正高级职称2人，每人每月3000元；副高级职称13人，每人每月2000元。全年共计38.5万元。</w:t>
      </w:r>
    </w:p>
    <w:p w14:paraId="4E8B351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（2）质量指标</w:t>
      </w:r>
    </w:p>
    <w:p w14:paraId="38E3872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hint="default" w:ascii="仿宋_GB2312" w:hAnsi="宋体" w:eastAsia="仿宋_GB2312" w:cs="仿宋_GB2312"/>
          <w:i w:val="0"/>
          <w:caps w:val="0"/>
          <w:color w:val="auto"/>
          <w:spacing w:val="0"/>
          <w:kern w:val="0"/>
          <w:sz w:val="32"/>
          <w:szCs w:val="32"/>
          <w:shd w:val="clear" w:color="auto" w:fill="FFFFFF"/>
          <w:lang w:val="en-US" w:eastAsia="zh-CN" w:bidi="ar"/>
        </w:rPr>
      </w:pPr>
      <w:r>
        <w:rPr>
          <w:rFonts w:hint="eastAsia" w:ascii="仿宋_GB2312" w:hAnsi="宋体" w:eastAsia="仿宋_GB2312" w:cs="仿宋_GB2312"/>
          <w:i w:val="0"/>
          <w:caps w:val="0"/>
          <w:color w:val="auto"/>
          <w:spacing w:val="0"/>
          <w:kern w:val="0"/>
          <w:sz w:val="32"/>
          <w:szCs w:val="32"/>
          <w:shd w:val="clear" w:color="auto" w:fill="FFFFFF"/>
          <w:lang w:val="en-US" w:eastAsia="zh-CN" w:bidi="ar"/>
        </w:rPr>
        <w:t>足额下拨工作补贴。</w:t>
      </w:r>
    </w:p>
    <w:p w14:paraId="5049F58B">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rightChars="0" w:firstLine="640" w:firstLineChars="20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（3）时效指标</w:t>
      </w:r>
    </w:p>
    <w:p w14:paraId="20DE5CA6">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rightChars="0" w:firstLine="640" w:firstLineChars="20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及时下拨工作补贴。</w:t>
      </w:r>
    </w:p>
    <w:p w14:paraId="617ECA1B">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rightChars="0" w:firstLine="640" w:firstLineChars="20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（4）成本指标</w:t>
      </w:r>
    </w:p>
    <w:p w14:paraId="401B4DFE">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tabs>
          <w:tab w:val="left" w:pos="1303"/>
        </w:tabs>
        <w:wordWrap/>
        <w:overflowPunct/>
        <w:topLinePunct w:val="0"/>
        <w:bidi w:val="0"/>
        <w:spacing w:before="0" w:beforeAutospacing="0" w:after="0" w:afterAutospacing="0" w:line="540" w:lineRule="exact"/>
        <w:ind w:right="0" w:rightChars="0" w:firstLine="640" w:firstLineChars="20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成本控制率≤100%。</w:t>
      </w:r>
    </w:p>
    <w:p w14:paraId="0CDACB62">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736" w:leftChars="0" w:right="0" w:rightChars="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2.效益指标完成情况分析</w:t>
      </w:r>
    </w:p>
    <w:p w14:paraId="2435C630">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736" w:leftChars="0" w:right="0" w:rightChars="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（1）社会效益</w:t>
      </w:r>
    </w:p>
    <w:p w14:paraId="2A9ACE43">
      <w:pPr>
        <w:pageBreakBefore w:val="0"/>
        <w:wordWrap/>
        <w:overflowPunct/>
        <w:topLinePunct w:val="0"/>
        <w:bidi w:val="0"/>
        <w:spacing w:line="54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通过人才工作补贴发放，落实人才引进政策，有效吸引了一批高质量人才、降低人才流失，有效提升卫生健康系统服务能力。</w:t>
      </w:r>
    </w:p>
    <w:p w14:paraId="1706AEF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（2）可持续影响</w:t>
      </w:r>
    </w:p>
    <w:p w14:paraId="5935A0E7">
      <w:pPr>
        <w:pStyle w:val="40"/>
        <w:keepNext w:val="0"/>
        <w:keepLines w:val="0"/>
        <w:pageBreakBefore w:val="0"/>
        <w:wordWrap/>
        <w:overflowPunct/>
        <w:topLinePunct w:val="0"/>
        <w:bidi w:val="0"/>
        <w:spacing w:line="540" w:lineRule="exact"/>
        <w:ind w:left="0" w:leftChars="0" w:firstLine="640" w:firstLineChars="200"/>
        <w:rPr>
          <w:rFonts w:hint="eastAsia" w:ascii="仿宋_GB2312" w:hAnsi="仿宋_GB2312" w:eastAsia="仿宋_GB2312" w:cs="仿宋_GB2312"/>
          <w:outline w:val="0"/>
          <w:color w:val="auto"/>
          <w:kern w:val="2"/>
          <w:sz w:val="32"/>
          <w:szCs w:val="32"/>
          <w:lang w:val="en-US" w:eastAsia="zh-CN" w:bidi="ar-SA"/>
        </w:rPr>
      </w:pPr>
      <w:r>
        <w:rPr>
          <w:rFonts w:hint="eastAsia" w:ascii="仿宋_GB2312" w:hAnsi="仿宋_GB2312" w:eastAsia="仿宋_GB2312" w:cs="仿宋_GB2312"/>
          <w:outline w:val="0"/>
          <w:color w:val="auto"/>
          <w:kern w:val="2"/>
          <w:sz w:val="32"/>
          <w:szCs w:val="32"/>
          <w:lang w:val="en-US" w:eastAsia="zh-CN" w:bidi="ar-SA"/>
        </w:rPr>
        <w:t>持续加强医疗卫生人才队伍建设，提升医疗服务能力、水平，切实为新区老百姓提供优质的医疗服务。 </w:t>
      </w:r>
    </w:p>
    <w:p w14:paraId="55349567">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rightChars="0" w:firstLine="640" w:firstLineChars="20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3.满意度指标完成情况分析</w:t>
      </w:r>
    </w:p>
    <w:p w14:paraId="0F9928DD">
      <w:pPr>
        <w:pageBreakBefore w:val="0"/>
        <w:wordWrap/>
        <w:overflowPunct/>
        <w:topLinePunct w:val="0"/>
        <w:bidi w:val="0"/>
        <w:spacing w:line="54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落实人才引进政策，降低人才流失，引进人才满意度100%。</w:t>
      </w:r>
    </w:p>
    <w:p w14:paraId="0D73531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三、偏离绩效目标的原因及下一步改进措施</w:t>
      </w:r>
    </w:p>
    <w:p w14:paraId="7F3F60C3">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rPr>
      </w:pPr>
      <w:r>
        <w:rPr>
          <w:rFonts w:hint="eastAsia" w:ascii="仿宋_GB2312" w:hAnsi="仿宋_GB2312" w:eastAsia="仿宋_GB2312" w:cs="Times New Roman"/>
          <w:color w:val="auto"/>
          <w:sz w:val="32"/>
        </w:rPr>
        <w:t>项目实施全过程中未出现偏差。</w:t>
      </w:r>
    </w:p>
    <w:p w14:paraId="13CC9C4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四、绩效自评结果拟应用和公开情况</w:t>
      </w:r>
    </w:p>
    <w:p w14:paraId="60876D1A">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4FE6536F">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2.针对绩效自评中存在的问题，及时调整和优化后续项目和以后年度预算支出的方向和结构，合理配置资源，加强财务管理。</w:t>
      </w:r>
    </w:p>
    <w:p w14:paraId="6370FFB8">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宋体" w:eastAsia="黑体" w:cs="黑体"/>
          <w:i w:val="0"/>
          <w:caps w:val="0"/>
          <w:color w:val="auto"/>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631B461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五、其他需要说明的问题</w:t>
      </w:r>
    </w:p>
    <w:p w14:paraId="6892D82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无。</w:t>
      </w:r>
    </w:p>
    <w:p w14:paraId="4D03219B">
      <w:pPr>
        <w:ind w:left="0" w:leftChars="0" w:firstLine="321" w:firstLineChars="100"/>
        <w:outlineLvl w:val="2"/>
        <w:rPr>
          <w:rFonts w:ascii="楷体" w:hAnsi="楷体" w:eastAsia="楷体" w:cs="楷体"/>
          <w:b/>
          <w:bCs/>
          <w:szCs w:val="32"/>
          <w:highlight w:val="none"/>
        </w:rPr>
      </w:pP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二十一</w:t>
      </w:r>
      <w:r>
        <w:rPr>
          <w:rFonts w:hint="eastAsia" w:ascii="楷体" w:hAnsi="楷体" w:eastAsia="楷体" w:cs="楷体"/>
          <w:b/>
          <w:bCs/>
          <w:szCs w:val="32"/>
          <w:highlight w:val="none"/>
        </w:rPr>
        <w:t>）引进人才待遇经费（</w:t>
      </w:r>
      <w:r>
        <w:rPr>
          <w:rFonts w:hint="eastAsia" w:ascii="楷体" w:hAnsi="楷体" w:eastAsia="楷体" w:cs="楷体"/>
          <w:b/>
          <w:bCs/>
          <w:szCs w:val="32"/>
          <w:highlight w:val="none"/>
          <w:lang w:eastAsia="zh-CN"/>
        </w:rPr>
        <w:t>工作</w:t>
      </w:r>
      <w:r>
        <w:rPr>
          <w:rFonts w:hint="eastAsia" w:ascii="楷体" w:hAnsi="楷体" w:eastAsia="楷体" w:cs="楷体"/>
          <w:b/>
          <w:bCs/>
          <w:szCs w:val="32"/>
          <w:highlight w:val="none"/>
        </w:rPr>
        <w:t>补助）</w:t>
      </w:r>
    </w:p>
    <w:p w14:paraId="3EA6722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ascii="Helvetica" w:hAnsi="Helvetica" w:eastAsia="Helvetica" w:cs="Helvetica"/>
          <w:i w:val="0"/>
          <w:caps w:val="0"/>
          <w:color w:val="auto"/>
          <w:spacing w:val="0"/>
          <w:sz w:val="32"/>
          <w:szCs w:val="32"/>
        </w:rPr>
      </w:pPr>
      <w:r>
        <w:rPr>
          <w:rFonts w:ascii="黑体" w:hAnsi="宋体" w:eastAsia="黑体" w:cs="黑体"/>
          <w:i w:val="0"/>
          <w:caps w:val="0"/>
          <w:color w:val="auto"/>
          <w:spacing w:val="0"/>
          <w:sz w:val="32"/>
          <w:szCs w:val="32"/>
          <w:shd w:val="clear" w:color="auto" w:fill="FFFFFF"/>
        </w:rPr>
        <w:t>一、项目基本情况</w:t>
      </w:r>
    </w:p>
    <w:p w14:paraId="282EC70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ascii="楷体" w:hAnsi="楷体" w:eastAsia="楷体" w:cs="楷体"/>
          <w:i w:val="0"/>
          <w:caps w:val="0"/>
          <w:color w:val="auto"/>
          <w:spacing w:val="0"/>
          <w:sz w:val="32"/>
          <w:szCs w:val="32"/>
          <w:shd w:val="clear" w:color="auto" w:fill="FFFFFF"/>
        </w:rPr>
      </w:pPr>
      <w:r>
        <w:rPr>
          <w:rFonts w:ascii="楷体" w:hAnsi="楷体" w:eastAsia="楷体" w:cs="楷体"/>
          <w:i w:val="0"/>
          <w:caps w:val="0"/>
          <w:color w:val="auto"/>
          <w:spacing w:val="0"/>
          <w:sz w:val="32"/>
          <w:szCs w:val="32"/>
          <w:shd w:val="clear" w:color="auto" w:fill="FFFFFF"/>
        </w:rPr>
        <w:t>（一）</w:t>
      </w:r>
      <w:r>
        <w:rPr>
          <w:rFonts w:hint="eastAsia" w:ascii="楷体" w:hAnsi="楷体" w:eastAsia="楷体" w:cs="楷体"/>
          <w:i w:val="0"/>
          <w:caps w:val="0"/>
          <w:color w:val="auto"/>
          <w:spacing w:val="0"/>
          <w:sz w:val="32"/>
          <w:szCs w:val="32"/>
          <w:shd w:val="clear" w:color="auto" w:fill="FFFFFF"/>
          <w:lang w:eastAsia="zh-CN"/>
        </w:rPr>
        <w:t>项目</w:t>
      </w:r>
      <w:r>
        <w:rPr>
          <w:rFonts w:ascii="楷体" w:hAnsi="楷体" w:eastAsia="楷体" w:cs="楷体"/>
          <w:i w:val="0"/>
          <w:caps w:val="0"/>
          <w:color w:val="auto"/>
          <w:spacing w:val="0"/>
          <w:sz w:val="32"/>
          <w:szCs w:val="32"/>
          <w:shd w:val="clear" w:color="auto" w:fill="FFFFFF"/>
        </w:rPr>
        <w:t>背景</w:t>
      </w:r>
    </w:p>
    <w:p w14:paraId="4AD552D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根据甘肃省人力资源和社会保障厅《关于印发〈甘肃省人力资源和社会保障厅考试考务费管理细则〉的通知》（甘人社通〔2022〕100号）文件。</w:t>
      </w:r>
    </w:p>
    <w:p w14:paraId="1020B45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eastAsia="zh-CN"/>
        </w:rPr>
      </w:pP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二</w:t>
      </w: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项目内容</w:t>
      </w:r>
    </w:p>
    <w:p w14:paraId="606F985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eastAsia="仿宋_GB2312" w:cs="Times New Roman"/>
          <w:b w:val="0"/>
          <w:bCs w:val="0"/>
          <w:color w:val="auto"/>
          <w:sz w:val="32"/>
          <w:szCs w:val="32"/>
          <w:lang w:eastAsia="zh-CN"/>
        </w:rPr>
        <w:t>甘肃省人力资源和社会保障厅《关于印发〈甘肃省人力资源和社会保障厅考试考务费管理细则〉的通知》（甘人社通〔2022〕100号）文件“二、考务费及误餐、差旅补助发放。（二）监考人员劳务费。外租考场每场次考试时间3小时以内的（含3小时），每个考场支付监考人员监考费不超过600元，超过3小时4小时以内的（含4小时），每个考场支付监考人员监考费不超过700元，4个小时以上的，每个考场支付监考人员监考费不超过800元。（三）流动监考（督导、巡考）人员劳务费。法定公休日组织考试的，流动监考（督导、巡考）人员，当日工作时间在8小时以内的，按照500元/人·天的标准发放劳务费，超过8小时的，按600元/人·天的标准执行，考点主任在上述基础上增加200元；确因考试工作需要，在法定工作时间组织考试，上述人员超过正常工作时间的，每超过1小时补助50元，但最高不得超过200元。（四）试卷管理人员劳务费。法定公休日组织考试的，考务值班及试卷押运、分解、保管值班人员，当日工作时间在8小时以内的，按照700元/人·天的标准发放劳务费，超过8小时的，根据工作量适当增加劳务费，但最高不超过900元/人·天。却因考试工作需要，在法定工作时间组织考试，上述人员超过正常工作时间的，没超过1小时补助50元，但最高不得超过200元。（八）其他工作人员劳务费。在组织考试期间，从事辅助性工作的工作人员包括从事考试后勤保障的公安警卫、无线电检测、疫情防控、医务及考点其他非人力资源主管部门工作人员，当日工作时间在8小时以内的，按照400元/人·天的标准发放劳务费，超过8小时的，按500元/人·天的标准执行。考点后勤保障人员应限定在该考点考场数量的15%以内。（九）误餐费及交通补助。在不计发路途交通补助的市区组织的各类考试，每人每餐补助误餐费30元，由所在考点统一安排工作餐，费用由考试组织单位统一支付。</w:t>
      </w:r>
    </w:p>
    <w:p w14:paraId="6FF3089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eastAsia="zh-CN"/>
        </w:rPr>
      </w:pP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三</w:t>
      </w: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绩效目标</w:t>
      </w:r>
    </w:p>
    <w:p w14:paraId="022FDCF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3"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总体目标：</w:t>
      </w:r>
      <w:r>
        <w:rPr>
          <w:rFonts w:hint="eastAsia" w:ascii="仿宋_GB2312" w:hAnsi="仿宋_GB2312" w:eastAsia="仿宋_GB2312" w:cs="仿宋_GB2312"/>
          <w:b w:val="0"/>
          <w:bCs w:val="0"/>
          <w:color w:val="auto"/>
          <w:sz w:val="32"/>
          <w:szCs w:val="32"/>
          <w:lang w:val="en-US" w:eastAsia="zh-CN"/>
        </w:rPr>
        <w:t>保障兰州新区考点所有卫生专业技术资格考试考生顺利完成考试；持续推进卫生专业技术人才队伍建设；切实提升新区医疗卫生队伍整体素质和综合服务能力水平。</w:t>
      </w:r>
    </w:p>
    <w:p w14:paraId="522108E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eastAsia="zh-CN"/>
        </w:rPr>
      </w:pP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四</w:t>
      </w:r>
      <w:r>
        <w:rPr>
          <w:rFonts w:ascii="楷体" w:hAnsi="楷体" w:eastAsia="楷体" w:cs="楷体"/>
          <w:i w:val="0"/>
          <w:caps w:val="0"/>
          <w:color w:val="auto"/>
          <w:spacing w:val="0"/>
          <w:sz w:val="32"/>
          <w:szCs w:val="32"/>
          <w:shd w:val="clear" w:color="auto" w:fill="FFFFFF"/>
        </w:rPr>
        <w:t>）</w:t>
      </w:r>
      <w:r>
        <w:rPr>
          <w:rFonts w:hint="eastAsia" w:ascii="楷体" w:hAnsi="楷体" w:eastAsia="楷体" w:cs="楷体"/>
          <w:i w:val="0"/>
          <w:caps w:val="0"/>
          <w:color w:val="auto"/>
          <w:spacing w:val="0"/>
          <w:sz w:val="32"/>
          <w:szCs w:val="32"/>
          <w:shd w:val="clear" w:color="auto" w:fill="FFFFFF"/>
          <w:lang w:eastAsia="zh-CN"/>
        </w:rPr>
        <w:t>项目预算情况</w:t>
      </w:r>
    </w:p>
    <w:p w14:paraId="1BE80A4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该项目年初预算7万元，全部为新区预算资金。</w:t>
      </w:r>
    </w:p>
    <w:p w14:paraId="44EC281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楷体" w:hAnsi="楷体" w:eastAsia="楷体" w:cs="楷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二、监控结论及分析</w:t>
      </w:r>
    </w:p>
    <w:p w14:paraId="5E92E3E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default"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eastAsia="zh-CN"/>
        </w:rPr>
        <w:t>（一）项目管理情况</w:t>
      </w:r>
    </w:p>
    <w:p w14:paraId="6AFF5076">
      <w:pPr>
        <w:keepNext w:val="0"/>
        <w:keepLines w:val="0"/>
        <w:pageBreakBefore w:val="0"/>
        <w:widowControl w:val="0"/>
        <w:kinsoku/>
        <w:wordWrap/>
        <w:overflowPunct/>
        <w:topLinePunct w:val="0"/>
        <w:autoSpaceDE/>
        <w:autoSpaceDN/>
        <w:bidi w:val="0"/>
        <w:adjustRightInd/>
        <w:snapToGrid/>
        <w:spacing w:afterAutospacing="0" w:line="540" w:lineRule="exact"/>
        <w:ind w:firstLine="640" w:firstLineChars="200"/>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在年度预算管理过程中，进一步强化资金的分配、使用、管理等关键环节的事前防范、事中控制、事后监督，努力提高项目资金配置效率。在制度建设方面，紧扣制度建设重点，围绕预算编制、预算执行、支付管理、监督保障等方面，结合机构独立设置、独立运转和部门自身建设，狠抓内部管理、不断建立完善了各项规章制度，建立用制度管人、管事、管财的长效机制，并在实际工作中不断健全完善管理办法和内控制度，认真贯彻执行，确保资金使用的安全、合规。在预算执行管理方面，切实履行预算管理职责，加强预算执行的监督管理，维护预算的严肃性。按照财政预算执行进度要求，定期通报预算执行进度情况，分析解决预算执行中存在的问题和困难，根据预算项目用途，确保专款专用，加快预算执行进度。</w:t>
      </w:r>
    </w:p>
    <w:p w14:paraId="2D2B2E9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eastAsia="zh-CN"/>
        </w:rPr>
      </w:pPr>
      <w:r>
        <w:rPr>
          <w:rFonts w:hint="eastAsia" w:ascii="楷体" w:hAnsi="楷体" w:eastAsia="楷体" w:cs="楷体"/>
          <w:i w:val="0"/>
          <w:caps w:val="0"/>
          <w:color w:val="auto"/>
          <w:spacing w:val="0"/>
          <w:sz w:val="32"/>
          <w:szCs w:val="32"/>
          <w:shd w:val="clear" w:color="auto" w:fill="FFFFFF"/>
          <w:lang w:eastAsia="zh-CN"/>
        </w:rPr>
        <w:t>（二）预算执行情况</w:t>
      </w:r>
    </w:p>
    <w:p w14:paraId="6A26C215">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兰州新区202</w:t>
      </w:r>
      <w:r>
        <w:rPr>
          <w:rFonts w:hint="eastAsia" w:ascii="仿宋_GB2312" w:hAnsi="仿宋_GB2312" w:eastAsia="仿宋_GB2312" w:cs="仿宋_GB2312"/>
          <w:b w:val="0"/>
          <w:bCs w:val="0"/>
          <w:color w:val="auto"/>
          <w:sz w:val="32"/>
          <w:szCs w:val="32"/>
          <w:lang w:val="en-US" w:eastAsia="zh-CN"/>
        </w:rPr>
        <w:t>3</w:t>
      </w:r>
      <w:r>
        <w:rPr>
          <w:rFonts w:hint="eastAsia" w:ascii="仿宋_GB2312" w:eastAsia="仿宋_GB2312" w:cs="Times New Roman"/>
          <w:color w:val="auto"/>
          <w:sz w:val="32"/>
          <w:szCs w:val="32"/>
          <w:lang w:val="en-US" w:eastAsia="zh-CN"/>
        </w:rPr>
        <w:t>年护士执业资格、卫生专业技术资格等考试考务工作费用经</w:t>
      </w:r>
      <w:r>
        <w:rPr>
          <w:rFonts w:hint="eastAsia" w:ascii="仿宋_GB2312" w:hAnsi="仿宋_GB2312" w:eastAsia="仿宋_GB2312" w:cs="仿宋_GB2312"/>
          <w:b w:val="0"/>
          <w:bCs w:val="0"/>
          <w:color w:val="auto"/>
          <w:sz w:val="32"/>
          <w:szCs w:val="32"/>
          <w:lang w:eastAsia="zh-CN"/>
        </w:rPr>
        <w:t>费项目全年预算数为</w:t>
      </w:r>
      <w:r>
        <w:rPr>
          <w:rFonts w:hint="eastAsia" w:ascii="仿宋_GB2312" w:hAnsi="仿宋_GB2312" w:eastAsia="仿宋_GB2312" w:cs="仿宋_GB2312"/>
          <w:b w:val="0"/>
          <w:bCs w:val="0"/>
          <w:color w:val="auto"/>
          <w:sz w:val="32"/>
          <w:szCs w:val="32"/>
          <w:lang w:val="en-US" w:eastAsia="zh-CN"/>
        </w:rPr>
        <w:t>7</w:t>
      </w:r>
      <w:r>
        <w:rPr>
          <w:rFonts w:hint="eastAsia" w:ascii="仿宋_GB2312" w:hAnsi="仿宋_GB2312" w:eastAsia="仿宋_GB2312" w:cs="仿宋_GB2312"/>
          <w:b w:val="0"/>
          <w:bCs w:val="0"/>
          <w:color w:val="auto"/>
          <w:sz w:val="32"/>
          <w:szCs w:val="32"/>
          <w:lang w:eastAsia="zh-CN"/>
        </w:rPr>
        <w:t>万元，全部为财政拨款，全年执行数为</w:t>
      </w:r>
      <w:r>
        <w:rPr>
          <w:rFonts w:hint="eastAsia" w:ascii="仿宋_GB2312" w:hAnsi="仿宋_GB2312" w:eastAsia="仿宋_GB2312" w:cs="仿宋_GB2312"/>
          <w:b w:val="0"/>
          <w:bCs w:val="0"/>
          <w:color w:val="auto"/>
          <w:sz w:val="32"/>
          <w:szCs w:val="32"/>
          <w:lang w:val="en-US" w:eastAsia="zh-CN"/>
        </w:rPr>
        <w:t>6.03</w:t>
      </w:r>
      <w:r>
        <w:rPr>
          <w:rFonts w:hint="eastAsia" w:ascii="仿宋_GB2312" w:hAnsi="仿宋_GB2312" w:eastAsia="仿宋_GB2312" w:cs="仿宋_GB2312"/>
          <w:b w:val="0"/>
          <w:bCs w:val="0"/>
          <w:color w:val="auto"/>
          <w:sz w:val="32"/>
          <w:szCs w:val="32"/>
          <w:lang w:eastAsia="zh-CN"/>
        </w:rPr>
        <w:t>万元，预算执行率为</w:t>
      </w:r>
      <w:r>
        <w:rPr>
          <w:rFonts w:hint="eastAsia" w:ascii="仿宋_GB2312" w:hAnsi="仿宋_GB2312" w:eastAsia="仿宋_GB2312" w:cs="仿宋_GB2312"/>
          <w:b w:val="0"/>
          <w:bCs w:val="0"/>
          <w:color w:val="auto"/>
          <w:sz w:val="32"/>
          <w:szCs w:val="32"/>
          <w:lang w:val="en-US" w:eastAsia="zh-CN"/>
        </w:rPr>
        <w:t>86.14%</w:t>
      </w:r>
      <w:r>
        <w:rPr>
          <w:rFonts w:hint="eastAsia" w:ascii="仿宋_GB2312" w:hAnsi="仿宋_GB2312" w:eastAsia="仿宋_GB2312" w:cs="仿宋_GB2312"/>
          <w:b w:val="0"/>
          <w:bCs w:val="0"/>
          <w:color w:val="auto"/>
          <w:sz w:val="32"/>
          <w:szCs w:val="32"/>
          <w:lang w:eastAsia="zh-CN"/>
        </w:rPr>
        <w:t>。</w:t>
      </w:r>
    </w:p>
    <w:p w14:paraId="686A412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hint="eastAsia" w:ascii="楷体" w:hAnsi="楷体" w:eastAsia="楷体" w:cs="楷体"/>
          <w:i w:val="0"/>
          <w:caps w:val="0"/>
          <w:color w:val="auto"/>
          <w:spacing w:val="0"/>
          <w:sz w:val="32"/>
          <w:szCs w:val="32"/>
          <w:shd w:val="clear" w:color="auto" w:fill="FFFFFF"/>
          <w:lang w:eastAsia="zh-CN"/>
        </w:rPr>
      </w:pPr>
      <w:r>
        <w:rPr>
          <w:rFonts w:hint="eastAsia" w:ascii="楷体" w:hAnsi="楷体" w:eastAsia="楷体" w:cs="楷体"/>
          <w:i w:val="0"/>
          <w:caps w:val="0"/>
          <w:color w:val="auto"/>
          <w:spacing w:val="0"/>
          <w:sz w:val="32"/>
          <w:szCs w:val="32"/>
          <w:shd w:val="clear" w:color="auto" w:fill="FFFFFF"/>
          <w:lang w:eastAsia="zh-CN"/>
        </w:rPr>
        <w:t>（三）绩效目标完成情况</w:t>
      </w:r>
    </w:p>
    <w:p w14:paraId="6B0708E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1.产出指标完成情况</w:t>
      </w:r>
    </w:p>
    <w:p w14:paraId="525537D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（1）数量指标</w:t>
      </w:r>
    </w:p>
    <w:p w14:paraId="2003B76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组织卫生专业技术资格、护士执业资格、卫生人才评价考试1次。</w:t>
      </w:r>
    </w:p>
    <w:p w14:paraId="3EB474E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（2）质量指标</w:t>
      </w:r>
    </w:p>
    <w:p w14:paraId="471C50D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default" w:ascii="仿宋_GB2312" w:hAnsi="宋体" w:eastAsia="仿宋_GB2312" w:cs="仿宋_GB2312"/>
          <w:i w:val="0"/>
          <w:caps w:val="0"/>
          <w:color w:val="auto"/>
          <w:spacing w:val="0"/>
          <w:kern w:val="0"/>
          <w:sz w:val="32"/>
          <w:szCs w:val="32"/>
          <w:shd w:val="clear" w:color="auto" w:fill="FFFFFF"/>
          <w:lang w:val="en-US" w:eastAsia="zh-CN" w:bidi="ar"/>
        </w:rPr>
      </w:pPr>
      <w:r>
        <w:rPr>
          <w:rFonts w:hint="eastAsia" w:ascii="仿宋_GB2312" w:hAnsi="宋体" w:eastAsia="仿宋_GB2312" w:cs="仿宋_GB2312"/>
          <w:i w:val="0"/>
          <w:caps w:val="0"/>
          <w:color w:val="auto"/>
          <w:spacing w:val="0"/>
          <w:kern w:val="0"/>
          <w:sz w:val="32"/>
          <w:szCs w:val="32"/>
          <w:shd w:val="clear" w:color="auto" w:fill="FFFFFF"/>
          <w:lang w:val="en-US" w:eastAsia="zh-CN" w:bidi="ar"/>
        </w:rPr>
        <w:t>足额支付考务人员费用。</w:t>
      </w:r>
    </w:p>
    <w:p w14:paraId="44761CF7">
      <w:pPr>
        <w:pStyle w:val="13"/>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时效指标</w:t>
      </w:r>
    </w:p>
    <w:p w14:paraId="39851059">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973" w:leftChars="304" w:right="0" w:rightChars="0" w:firstLine="0" w:firstLineChars="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仿宋_GB2312" w:hAnsi="仿宋_GB2312" w:eastAsia="仿宋_GB2312" w:cs="仿宋_GB2312"/>
          <w:color w:val="auto"/>
          <w:kern w:val="2"/>
          <w:sz w:val="32"/>
          <w:szCs w:val="32"/>
          <w:lang w:val="en-US" w:eastAsia="zh-CN" w:bidi="ar-SA"/>
        </w:rPr>
        <w:t>按照国家规定时间及时组织考试，及时支付考务人员费用。</w:t>
      </w:r>
      <w:r>
        <w:rPr>
          <w:rFonts w:hint="eastAsia" w:ascii="楷体" w:hAnsi="楷体" w:eastAsia="楷体" w:cs="楷体"/>
          <w:i w:val="0"/>
          <w:caps w:val="0"/>
          <w:color w:val="auto"/>
          <w:spacing w:val="0"/>
          <w:sz w:val="32"/>
          <w:szCs w:val="32"/>
          <w:shd w:val="clear" w:color="auto" w:fill="FFFFFF"/>
          <w:lang w:val="en-US" w:eastAsia="zh-CN"/>
        </w:rPr>
        <w:t>（4）成本指标</w:t>
      </w:r>
    </w:p>
    <w:p w14:paraId="08F3E372">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tabs>
          <w:tab w:val="left" w:pos="1303"/>
        </w:tabs>
        <w:wordWrap/>
        <w:overflowPunct/>
        <w:topLinePunct w:val="0"/>
        <w:bidi w:val="0"/>
        <w:spacing w:before="0" w:beforeAutospacing="0" w:after="0" w:afterAutospacing="0" w:line="540" w:lineRule="exact"/>
        <w:ind w:right="0" w:rightChars="0" w:firstLine="640" w:firstLineChars="20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成本控制率≤100%。</w:t>
      </w:r>
    </w:p>
    <w:p w14:paraId="67E7237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2.效益指标完成情况分析</w:t>
      </w:r>
    </w:p>
    <w:p w14:paraId="17DB07B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right="0" w:firstLine="640" w:firstLineChars="200"/>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（1）社会效益</w:t>
      </w:r>
    </w:p>
    <w:p w14:paraId="5FDDFD2B">
      <w:pPr>
        <w:pageBreakBefore w:val="0"/>
        <w:wordWrap/>
        <w:overflowPunct/>
        <w:topLinePunct w:val="0"/>
        <w:bidi w:val="0"/>
        <w:spacing w:line="54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方便新区医疗卫生人员考试。</w:t>
      </w:r>
    </w:p>
    <w:p w14:paraId="62B5C65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（2）可持续影响</w:t>
      </w:r>
    </w:p>
    <w:p w14:paraId="2AA7C18F">
      <w:pPr>
        <w:pStyle w:val="40"/>
        <w:keepNext w:val="0"/>
        <w:keepLines w:val="0"/>
        <w:pageBreakBefore w:val="0"/>
        <w:wordWrap/>
        <w:overflowPunct/>
        <w:topLinePunct w:val="0"/>
        <w:bidi w:val="0"/>
        <w:spacing w:line="540" w:lineRule="exact"/>
        <w:ind w:left="0" w:leftChars="0" w:firstLine="640" w:firstLineChars="200"/>
        <w:rPr>
          <w:rFonts w:hint="eastAsia" w:ascii="仿宋_GB2312" w:hAnsi="宋体" w:eastAsia="仿宋_GB2312" w:cs="仿宋_GB2312"/>
          <w:i w:val="0"/>
          <w:caps w:val="0"/>
          <w:outline w:val="0"/>
          <w:color w:val="auto"/>
          <w:spacing w:val="0"/>
          <w:kern w:val="0"/>
          <w:sz w:val="32"/>
          <w:szCs w:val="32"/>
          <w:shd w:val="clear" w:color="auto" w:fill="FFFFFF"/>
          <w:lang w:val="en-US" w:eastAsia="zh-CN" w:bidi="ar"/>
        </w:rPr>
      </w:pPr>
      <w:r>
        <w:rPr>
          <w:rFonts w:hint="eastAsia" w:ascii="仿宋_GB2312" w:hAnsi="宋体" w:eastAsia="仿宋_GB2312" w:cs="仿宋_GB2312"/>
          <w:i w:val="0"/>
          <w:caps w:val="0"/>
          <w:outline w:val="0"/>
          <w:color w:val="auto"/>
          <w:spacing w:val="0"/>
          <w:kern w:val="0"/>
          <w:sz w:val="32"/>
          <w:szCs w:val="32"/>
          <w:shd w:val="clear" w:color="auto" w:fill="FFFFFF"/>
          <w:lang w:val="en-US" w:eastAsia="zh-CN" w:bidi="ar"/>
        </w:rPr>
        <w:t>加强辖区医疗卫生人才队伍建设，持续提升辖区医疗卫生机构服务能力</w:t>
      </w:r>
      <w:r>
        <w:rPr>
          <w:rFonts w:ascii="仿宋_GB2312" w:hAnsi="宋体" w:eastAsia="仿宋_GB2312" w:cs="仿宋_GB2312"/>
          <w:i w:val="0"/>
          <w:caps w:val="0"/>
          <w:outline w:val="0"/>
          <w:color w:val="auto"/>
          <w:spacing w:val="0"/>
          <w:kern w:val="0"/>
          <w:sz w:val="32"/>
          <w:szCs w:val="32"/>
          <w:shd w:val="clear" w:color="auto" w:fill="FFFFFF"/>
          <w:lang w:val="en-US" w:eastAsia="zh-CN" w:bidi="ar"/>
        </w:rPr>
        <w:t>。 </w:t>
      </w:r>
    </w:p>
    <w:p w14:paraId="73638D4F">
      <w:pPr>
        <w:pStyle w:val="13"/>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736"/>
        <w:jc w:val="both"/>
        <w:rPr>
          <w:rFonts w:hint="eastAsia" w:ascii="楷体" w:hAnsi="楷体" w:eastAsia="楷体" w:cs="楷体"/>
          <w:i w:val="0"/>
          <w:caps w:val="0"/>
          <w:color w:val="auto"/>
          <w:spacing w:val="0"/>
          <w:sz w:val="32"/>
          <w:szCs w:val="32"/>
          <w:shd w:val="clear" w:color="auto" w:fill="FFFFFF"/>
          <w:lang w:val="en-US" w:eastAsia="zh-CN"/>
        </w:rPr>
      </w:pPr>
      <w:r>
        <w:rPr>
          <w:rFonts w:hint="eastAsia" w:ascii="楷体" w:hAnsi="楷体" w:eastAsia="楷体" w:cs="楷体"/>
          <w:i w:val="0"/>
          <w:caps w:val="0"/>
          <w:color w:val="auto"/>
          <w:spacing w:val="0"/>
          <w:sz w:val="32"/>
          <w:szCs w:val="32"/>
          <w:shd w:val="clear" w:color="auto" w:fill="FFFFFF"/>
          <w:lang w:val="en-US" w:eastAsia="zh-CN"/>
        </w:rPr>
        <w:t>满意度指标完成情况分析</w:t>
      </w:r>
    </w:p>
    <w:p w14:paraId="28ED2C3C">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楷体" w:hAnsi="楷体" w:eastAsia="楷体" w:cs="楷体"/>
          <w:i w:val="0"/>
          <w:caps w:val="0"/>
          <w:color w:val="auto"/>
          <w:spacing w:val="0"/>
          <w:sz w:val="32"/>
          <w:szCs w:val="32"/>
          <w:shd w:val="clear" w:color="auto" w:fill="FFFFFF"/>
          <w:lang w:val="en-US" w:eastAsia="zh-CN"/>
        </w:rPr>
      </w:pPr>
      <w:r>
        <w:rPr>
          <w:rFonts w:hint="eastAsia" w:ascii="仿宋_GB2312" w:hAnsi="仿宋_GB2312" w:eastAsia="仿宋_GB2312"/>
          <w:color w:val="auto"/>
          <w:sz w:val="32"/>
        </w:rPr>
        <w:t>考生</w:t>
      </w:r>
      <w:r>
        <w:rPr>
          <w:rFonts w:hint="eastAsia" w:ascii="仿宋_GB2312" w:hAnsi="仿宋_GB2312" w:eastAsia="仿宋_GB2312"/>
          <w:color w:val="auto"/>
          <w:sz w:val="32"/>
          <w:lang w:eastAsia="zh-CN"/>
        </w:rPr>
        <w:t>和考务人员满意度</w:t>
      </w:r>
      <w:r>
        <w:rPr>
          <w:rFonts w:hint="eastAsia" w:ascii="仿宋_GB2312" w:hAnsi="仿宋_GB2312" w:eastAsia="仿宋_GB2312"/>
          <w:color w:val="auto"/>
          <w:sz w:val="32"/>
          <w:lang w:val="en-US" w:eastAsia="zh-CN"/>
        </w:rPr>
        <w:t>100%</w:t>
      </w:r>
      <w:r>
        <w:rPr>
          <w:rFonts w:hint="eastAsia" w:ascii="仿宋_GB2312" w:hAnsi="仿宋_GB2312" w:eastAsia="仿宋_GB2312"/>
          <w:color w:val="auto"/>
          <w:sz w:val="32"/>
        </w:rPr>
        <w:t>。</w:t>
      </w:r>
    </w:p>
    <w:p w14:paraId="3AE5F0A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三、偏离绩效目标的原因及下一步改进措施</w:t>
      </w:r>
    </w:p>
    <w:p w14:paraId="03EB8888">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rPr>
      </w:pPr>
      <w:r>
        <w:rPr>
          <w:rFonts w:hint="eastAsia" w:ascii="仿宋_GB2312" w:hAnsi="仿宋_GB2312" w:eastAsia="仿宋_GB2312" w:cs="Times New Roman"/>
          <w:color w:val="auto"/>
          <w:sz w:val="32"/>
        </w:rPr>
        <w:t>项目实施全过程中未出现偏差。</w:t>
      </w:r>
    </w:p>
    <w:p w14:paraId="350DCEA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四、绩效自评结果拟应用和公开情况</w:t>
      </w:r>
    </w:p>
    <w:p w14:paraId="6C107C4A">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6EC371EB">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2.针对绩效自评中存在的问题，及时调整和优化后续项目和以后年度预算支出的方向和结构，合理配置资源，加强财务管理。</w:t>
      </w:r>
    </w:p>
    <w:p w14:paraId="707ECA9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宋体" w:eastAsia="黑体" w:cs="黑体"/>
          <w:i w:val="0"/>
          <w:caps w:val="0"/>
          <w:color w:val="auto"/>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5FBEB97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五、其他需要说明的问题</w:t>
      </w:r>
    </w:p>
    <w:p w14:paraId="7C1DD9C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无。</w:t>
      </w:r>
    </w:p>
    <w:p w14:paraId="76D03DF0">
      <w:pPr>
        <w:ind w:left="0" w:leftChars="0" w:firstLine="321" w:firstLineChars="100"/>
        <w:outlineLvl w:val="2"/>
        <w:rPr>
          <w:rFonts w:ascii="楷体" w:hAnsi="楷体" w:eastAsia="楷体" w:cs="楷体"/>
          <w:b/>
          <w:bCs/>
          <w:szCs w:val="32"/>
          <w:highlight w:val="none"/>
        </w:rPr>
      </w:pP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二十二</w:t>
      </w: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2020年采购核酸检测设备质保金</w:t>
      </w:r>
    </w:p>
    <w:p w14:paraId="5D5B76DF">
      <w:pPr>
        <w:spacing w:line="500" w:lineRule="exact"/>
        <w:ind w:firstLine="640" w:firstLineChars="200"/>
        <w:outlineLvl w:val="0"/>
        <w:rPr>
          <w:rFonts w:hint="eastAsia" w:ascii="黑体" w:hAnsi="黑体" w:eastAsia="黑体" w:cs="黑体"/>
          <w:sz w:val="32"/>
          <w:szCs w:val="32"/>
        </w:rPr>
      </w:pPr>
      <w:r>
        <w:rPr>
          <w:rFonts w:hint="eastAsia" w:ascii="黑体" w:hAnsi="黑体" w:eastAsia="黑体" w:cs="黑体"/>
          <w:sz w:val="32"/>
          <w:szCs w:val="32"/>
        </w:rPr>
        <w:t>一、项目基本情况</w:t>
      </w:r>
    </w:p>
    <w:p w14:paraId="5442EADE">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1、项目背景。</w:t>
      </w:r>
    </w:p>
    <w:p w14:paraId="1390469D">
      <w:pPr>
        <w:keepNext w:val="0"/>
        <w:keepLines w:val="0"/>
        <w:widowControl/>
        <w:suppressLineNumbers w:val="0"/>
        <w:ind w:firstLine="640" w:firstLineChars="200"/>
        <w:jc w:val="left"/>
        <w:rPr>
          <w:rFonts w:hint="eastAsia" w:ascii="仿宋_GB2312" w:hAnsi="Times New Roman" w:eastAsia="仿宋_GB2312" w:cs="Times New Roman"/>
          <w:sz w:val="32"/>
          <w:szCs w:val="32"/>
          <w:lang w:eastAsia="zh-CN"/>
        </w:rPr>
      </w:pPr>
      <w:r>
        <w:rPr>
          <w:rFonts w:hint="eastAsia" w:ascii="仿宋_GB2312" w:eastAsia="仿宋_GB2312"/>
          <w:sz w:val="32"/>
          <w:szCs w:val="32"/>
          <w:lang w:eastAsia="zh-CN"/>
        </w:rPr>
        <w:t xml:space="preserve"> 2020年8月11日省财政厅、省工信厅、省卫健委联合下发《关于下达支持应急物资保障体系建设补助资金预算的通知》（甘财建〔2020〕137号）和新区经发局《关于下达支持应急物资保障体系建设补助资金安排使用计划的请示》。</w:t>
      </w:r>
    </w:p>
    <w:p w14:paraId="32D6C67B">
      <w:pPr>
        <w:numPr>
          <w:ilvl w:val="0"/>
          <w:numId w:val="12"/>
        </w:num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项目内容。包括项目主要内容、实施方案等。</w:t>
      </w:r>
    </w:p>
    <w:p w14:paraId="1E292A30">
      <w:pPr>
        <w:keepNext w:val="0"/>
        <w:keepLines w:val="0"/>
        <w:widowControl/>
        <w:suppressLineNumbers w:val="0"/>
        <w:ind w:firstLine="643" w:firstLineChars="200"/>
        <w:jc w:val="left"/>
        <w:rPr>
          <w:rFonts w:hint="eastAsia" w:ascii="仿宋_GB2312" w:hAnsi="Times New Roman" w:eastAsia="仿宋_GB2312" w:cs="Times New Roman"/>
          <w:sz w:val="32"/>
          <w:szCs w:val="32"/>
          <w:lang w:eastAsia="zh-CN"/>
        </w:rPr>
      </w:pPr>
      <w:r>
        <w:rPr>
          <w:rFonts w:hint="eastAsia" w:ascii="仿宋_GB2312" w:eastAsia="仿宋_GB2312"/>
          <w:b/>
          <w:bCs/>
          <w:sz w:val="32"/>
          <w:szCs w:val="32"/>
          <w:lang w:eastAsia="zh-CN"/>
        </w:rPr>
        <w:t>主要内容：</w:t>
      </w:r>
      <w:r>
        <w:rPr>
          <w:rFonts w:hint="eastAsia" w:ascii="仿宋_GB2312" w:eastAsia="仿宋_GB2312"/>
          <w:sz w:val="32"/>
          <w:szCs w:val="32"/>
          <w:lang w:eastAsia="zh-CN"/>
        </w:rPr>
        <w:t>新冠肺炎疫情发生后，为快速提升兰州新区核酸检测能力，兰州新区卫生健康委紧急采购核酸检测设备，该设备合同额196.13万元，已支付合同额的95%为186.32万元（分别于2020年12月支付98.06万元、2021年1月支付88.26万元），剩余9.81万元为质保金，质保期2年,质保到期时间2022年12月，现将质保金9.81万元列入2023年预算，以支付设备到期质保金。</w:t>
      </w:r>
    </w:p>
    <w:p w14:paraId="33DAFD17">
      <w:pPr>
        <w:numPr>
          <w:ilvl w:val="0"/>
          <w:numId w:val="12"/>
        </w:numPr>
        <w:spacing w:line="500" w:lineRule="exact"/>
        <w:ind w:left="0" w:leftChars="0" w:firstLine="640" w:firstLineChars="200"/>
        <w:rPr>
          <w:rFonts w:hint="eastAsia" w:ascii="仿宋_GB2312" w:eastAsia="仿宋_GB2312"/>
          <w:sz w:val="32"/>
          <w:szCs w:val="32"/>
        </w:rPr>
      </w:pPr>
      <w:r>
        <w:rPr>
          <w:rFonts w:hint="eastAsia" w:ascii="仿宋_GB2312" w:eastAsia="仿宋_GB2312"/>
          <w:sz w:val="32"/>
          <w:szCs w:val="32"/>
        </w:rPr>
        <w:t>绩效目标。项目的年度目标和长期目标，以及阶段性绩效目标分解情况等。</w:t>
      </w:r>
    </w:p>
    <w:p w14:paraId="5F352B8D">
      <w:pPr>
        <w:numPr>
          <w:ilvl w:val="0"/>
          <w:numId w:val="0"/>
        </w:num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年度目标：</w:t>
      </w:r>
      <w:r>
        <w:rPr>
          <w:rFonts w:hint="eastAsia" w:ascii="仿宋_GB2312" w:hAnsi="Times New Roman" w:eastAsia="仿宋_GB2312" w:cs="Times New Roman"/>
          <w:sz w:val="32"/>
          <w:szCs w:val="32"/>
          <w:lang w:eastAsia="zh-CN"/>
        </w:rPr>
        <w:t>提升核酸检测能力。</w:t>
      </w:r>
    </w:p>
    <w:p w14:paraId="15872565">
      <w:pPr>
        <w:numPr>
          <w:ilvl w:val="0"/>
          <w:numId w:val="0"/>
        </w:numPr>
        <w:spacing w:line="500" w:lineRule="exact"/>
        <w:ind w:firstLine="643" w:firstLineChars="200"/>
        <w:rPr>
          <w:rFonts w:hint="default" w:ascii="仿宋_GB2312" w:eastAsia="仿宋_GB2312"/>
          <w:sz w:val="32"/>
          <w:szCs w:val="32"/>
          <w:lang w:val="en-US" w:eastAsia="zh-CN"/>
        </w:rPr>
      </w:pPr>
      <w:r>
        <w:rPr>
          <w:rFonts w:hint="eastAsia" w:ascii="仿宋_GB2312" w:eastAsia="仿宋_GB2312"/>
          <w:b/>
          <w:bCs/>
          <w:sz w:val="32"/>
          <w:szCs w:val="32"/>
          <w:lang w:eastAsia="zh-CN"/>
        </w:rPr>
        <w:t>长期目标：</w:t>
      </w:r>
      <w:r>
        <w:rPr>
          <w:rFonts w:hint="eastAsia" w:ascii="仿宋_GB2312" w:eastAsia="仿宋_GB2312"/>
          <w:sz w:val="32"/>
          <w:szCs w:val="32"/>
        </w:rPr>
        <w:t>提升</w:t>
      </w:r>
      <w:r>
        <w:rPr>
          <w:rFonts w:hint="eastAsia" w:ascii="仿宋_GB2312" w:eastAsia="仿宋_GB2312"/>
          <w:sz w:val="32"/>
          <w:szCs w:val="32"/>
          <w:lang w:eastAsia="zh-CN"/>
        </w:rPr>
        <w:t>新区</w:t>
      </w:r>
      <w:r>
        <w:rPr>
          <w:rFonts w:hint="eastAsia" w:ascii="仿宋_GB2312" w:eastAsia="仿宋_GB2312"/>
          <w:sz w:val="32"/>
          <w:szCs w:val="32"/>
        </w:rPr>
        <w:t>传染病防控能力</w:t>
      </w:r>
      <w:r>
        <w:rPr>
          <w:rFonts w:hint="eastAsia" w:ascii="仿宋_GB2312" w:eastAsia="仿宋_GB2312"/>
          <w:sz w:val="32"/>
          <w:szCs w:val="32"/>
          <w:lang w:eastAsia="zh-CN"/>
        </w:rPr>
        <w:t>。</w:t>
      </w:r>
    </w:p>
    <w:p w14:paraId="0855053B">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二</w:t>
      </w:r>
      <w:r>
        <w:rPr>
          <w:rFonts w:hint="eastAsia" w:ascii="黑体" w:hAnsi="黑体" w:eastAsia="黑体" w:cs="黑体"/>
          <w:color w:val="000000"/>
          <w:spacing w:val="0"/>
          <w:w w:val="100"/>
          <w:position w:val="0"/>
          <w:sz w:val="32"/>
          <w:szCs w:val="32"/>
        </w:rPr>
        <w:t>、项目绩效自评开展情况</w:t>
      </w:r>
    </w:p>
    <w:p w14:paraId="5DAD2AC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color w:val="000000"/>
          <w:spacing w:val="0"/>
          <w:w w:val="100"/>
          <w:position w:val="0"/>
          <w:sz w:val="32"/>
          <w:szCs w:val="32"/>
          <w:lang w:eastAsia="zh-CN"/>
        </w:rPr>
        <w:t>及时支付质保金。</w:t>
      </w:r>
    </w:p>
    <w:p w14:paraId="66BEFB10">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仿宋_GB2312" w:eastAsia="仿宋_GB2312"/>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w:t>
      </w:r>
      <w:r>
        <w:rPr>
          <w:rFonts w:hint="eastAsia" w:ascii="黑体" w:hAnsi="黑体" w:eastAsia="黑体" w:cs="黑体"/>
          <w:color w:val="000000"/>
          <w:spacing w:val="0"/>
          <w:w w:val="100"/>
          <w:position w:val="0"/>
          <w:sz w:val="32"/>
          <w:szCs w:val="32"/>
        </w:rPr>
        <w:t>绩效目标完成情况分析</w:t>
      </w:r>
    </w:p>
    <w:p w14:paraId="3582530B">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1、项目管理情况。</w:t>
      </w:r>
      <w:r>
        <w:rPr>
          <w:rFonts w:hint="eastAsia" w:ascii="仿宋_GB2312" w:eastAsia="仿宋_GB2312"/>
          <w:sz w:val="32"/>
          <w:szCs w:val="32"/>
          <w:lang w:eastAsia="zh-CN"/>
        </w:rPr>
        <w:t>按照实际情况开展项目。</w:t>
      </w:r>
    </w:p>
    <w:p w14:paraId="70D03B1D">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2、预算执行情况。包括预算安排情况、预算资金到位情况、项目实际支出情况等。</w:t>
      </w:r>
    </w:p>
    <w:p w14:paraId="2C7C8A94">
      <w:pPr>
        <w:spacing w:line="500" w:lineRule="exact"/>
        <w:ind w:firstLine="643" w:firstLineChars="200"/>
        <w:rPr>
          <w:rFonts w:hint="default" w:ascii="仿宋_GB2312" w:hAnsi="Times New Roman" w:eastAsia="仿宋_GB2312" w:cs="Times New Roman"/>
          <w:sz w:val="32"/>
          <w:szCs w:val="32"/>
          <w:lang w:val="en-US" w:eastAsia="zh-CN"/>
        </w:rPr>
      </w:pPr>
      <w:r>
        <w:rPr>
          <w:rFonts w:hint="eastAsia" w:ascii="仿宋_GB2312" w:eastAsia="仿宋_GB2312"/>
          <w:b/>
          <w:bCs/>
          <w:sz w:val="32"/>
          <w:szCs w:val="32"/>
          <w:lang w:eastAsia="zh-CN"/>
        </w:rPr>
        <w:t>预算安排：</w:t>
      </w:r>
      <w:r>
        <w:rPr>
          <w:rFonts w:hint="eastAsia" w:ascii="仿宋_GB2312" w:hAnsi="Times New Roman" w:eastAsia="仿宋_GB2312" w:cs="Times New Roman"/>
          <w:sz w:val="32"/>
          <w:szCs w:val="32"/>
          <w:lang w:eastAsia="zh-CN"/>
        </w:rPr>
        <w:t>按照需支付质保金金额预算。</w:t>
      </w:r>
    </w:p>
    <w:p w14:paraId="283FA99B">
      <w:pPr>
        <w:spacing w:line="50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预算资金到位情况：</w:t>
      </w:r>
      <w:r>
        <w:rPr>
          <w:rFonts w:hint="eastAsia" w:ascii="仿宋_GB2312" w:eastAsia="仿宋_GB2312"/>
          <w:sz w:val="32"/>
          <w:szCs w:val="32"/>
          <w:lang w:eastAsia="zh-CN"/>
        </w:rPr>
        <w:t>全部到位</w:t>
      </w:r>
    </w:p>
    <w:p w14:paraId="2E133894">
      <w:pPr>
        <w:numPr>
          <w:ilvl w:val="0"/>
          <w:numId w:val="0"/>
        </w:numPr>
        <w:spacing w:line="500" w:lineRule="exact"/>
        <w:rPr>
          <w:rFonts w:hint="default" w:ascii="仿宋_GB2312" w:eastAsia="仿宋_GB2312"/>
          <w:sz w:val="32"/>
          <w:szCs w:val="32"/>
          <w:lang w:val="en-US" w:eastAsia="zh-CN"/>
        </w:rPr>
      </w:pPr>
      <w:r>
        <w:rPr>
          <w:rFonts w:hint="eastAsia" w:ascii="仿宋_GB2312" w:eastAsia="仿宋_GB2312"/>
          <w:b/>
          <w:bCs/>
          <w:sz w:val="32"/>
          <w:szCs w:val="32"/>
          <w:lang w:eastAsia="zh-CN"/>
        </w:rPr>
        <w:t>项目实际支出：</w:t>
      </w:r>
      <w:r>
        <w:rPr>
          <w:rFonts w:hint="eastAsia" w:ascii="仿宋_GB2312" w:hAnsi="Times New Roman" w:eastAsia="仿宋_GB2312" w:cs="Times New Roman"/>
          <w:sz w:val="32"/>
          <w:szCs w:val="32"/>
          <w:lang w:eastAsia="zh-CN"/>
        </w:rPr>
        <w:t>按照合同要求，及时支付质保金。</w:t>
      </w:r>
    </w:p>
    <w:p w14:paraId="4DFA5EA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三、偏离绩效目标的原因及下一步改进措施</w:t>
      </w:r>
    </w:p>
    <w:p w14:paraId="7AB7B380">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rPr>
      </w:pPr>
      <w:r>
        <w:rPr>
          <w:rFonts w:hint="eastAsia" w:ascii="仿宋_GB2312" w:hAnsi="仿宋_GB2312" w:eastAsia="仿宋_GB2312" w:cs="Times New Roman"/>
          <w:color w:val="auto"/>
          <w:sz w:val="32"/>
        </w:rPr>
        <w:t>项目实施全过程中未出现偏差。</w:t>
      </w:r>
    </w:p>
    <w:p w14:paraId="3DC7C1F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四、绩效自评结果拟应用和公开情况</w:t>
      </w:r>
    </w:p>
    <w:p w14:paraId="4A5D18A9">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1EB4F721">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2.针对绩效自评中存在的问题，及时调整和优化后续项目和以后年度预算支出的方向和结构，合理配置资源，加强财务管理。</w:t>
      </w:r>
    </w:p>
    <w:p w14:paraId="07CA6077">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宋体" w:eastAsia="黑体" w:cs="黑体"/>
          <w:i w:val="0"/>
          <w:caps w:val="0"/>
          <w:color w:val="auto"/>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6CF38E9A">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五、其他需要说明的问题</w:t>
      </w:r>
    </w:p>
    <w:p w14:paraId="70C3B59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无。</w:t>
      </w:r>
    </w:p>
    <w:p w14:paraId="38BCFDCA">
      <w:pPr>
        <w:ind w:left="0" w:leftChars="0" w:firstLine="321" w:firstLineChars="100"/>
        <w:outlineLvl w:val="2"/>
        <w:rPr>
          <w:rFonts w:ascii="楷体" w:hAnsi="楷体" w:eastAsia="楷体" w:cs="楷体"/>
          <w:b/>
          <w:bCs/>
          <w:szCs w:val="32"/>
          <w:highlight w:val="none"/>
        </w:rPr>
      </w:pP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二十三</w:t>
      </w: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医养结合工作经费</w:t>
      </w:r>
    </w:p>
    <w:p w14:paraId="6EC28225">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一、项目基本情况</w:t>
      </w:r>
    </w:p>
    <w:p w14:paraId="3A215B60">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（一）项目背景</w:t>
      </w:r>
    </w:p>
    <w:p w14:paraId="31C000A7">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根据国家卫健委等十一部门《关于进一步推进医养结合发展的指导意见》（国卫老龄发〔2022〕25号）要求，有条件的社区卫生服务机构、乡镇卫生院或社区养老服务机构、特困人员供养服务机构（敬老院）利用现有资源，内部改扩建一批社区（乡镇）医养结合服务设施，重点为失能、慢性病、高龄、残疾等行动不便或确有困难的老年人提供医养结合服务。支持老年医学科和安宁疗护科发展，支持医疗资源丰富地区的二级及以下医疗卫生机构转型，开展康复、护理以及医养结合服务。推动建设老年友善医疗卫生机构，方便老年人看病就医。</w:t>
      </w:r>
    </w:p>
    <w:p w14:paraId="49646EBA">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（二）项目内容</w:t>
      </w:r>
    </w:p>
    <w:p w14:paraId="5649CF73">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为辖区常住老年人提供健康服务，</w:t>
      </w:r>
      <w:r>
        <w:rPr>
          <w:rFonts w:hint="eastAsia" w:ascii="仿宋_GB2312" w:eastAsia="仿宋_GB2312"/>
          <w:sz w:val="32"/>
          <w:szCs w:val="32"/>
        </w:rPr>
        <w:t>重点为失能、慢性病、高龄、残疾等行动不便或确有困难的老年人提供医养结合服务。支持老年医学科和安宁疗护科发展，推动建设老年友善医疗卫生机构</w:t>
      </w:r>
      <w:r>
        <w:rPr>
          <w:rFonts w:hint="eastAsia" w:ascii="仿宋_GB2312" w:eastAsia="仿宋_GB2312"/>
          <w:sz w:val="32"/>
          <w:szCs w:val="32"/>
          <w:lang w:eastAsia="zh-CN"/>
        </w:rPr>
        <w:t>。</w:t>
      </w:r>
    </w:p>
    <w:p w14:paraId="0BAC8C1C">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w:t>
      </w:r>
    </w:p>
    <w:p w14:paraId="2C33296D">
      <w:pPr>
        <w:spacing w:line="560" w:lineRule="exact"/>
        <w:ind w:firstLine="643" w:firstLineChars="200"/>
        <w:rPr>
          <w:rFonts w:hint="eastAsia" w:ascii="仿宋_GB2312" w:hAnsi="Verdana" w:eastAsia="仿宋_GB2312" w:cs="宋体"/>
          <w:color w:val="000000"/>
          <w:kern w:val="0"/>
          <w:sz w:val="32"/>
          <w:szCs w:val="32"/>
          <w:lang w:bidi="ar"/>
        </w:rPr>
      </w:pPr>
      <w:r>
        <w:rPr>
          <w:rFonts w:hint="eastAsia" w:ascii="仿宋_GB2312" w:eastAsia="仿宋_GB2312"/>
          <w:b/>
          <w:bCs/>
          <w:sz w:val="32"/>
          <w:szCs w:val="32"/>
        </w:rPr>
        <w:t>总体目标：</w:t>
      </w:r>
      <w:r>
        <w:rPr>
          <w:rFonts w:hint="eastAsia" w:ascii="仿宋_GB2312" w:eastAsia="仿宋_GB2312"/>
          <w:sz w:val="32"/>
          <w:szCs w:val="32"/>
        </w:rPr>
        <w:t>重点为失能、慢性病、高龄、残疾等行动不便或确有困难的老年人提供医养结合服务。支持老年医学科和安宁疗护科发展，支持医疗资源丰富地区的二级及以下医疗卫生机构转型，开展康复、护理以及医养结合服务。推动建设老年友善医疗卫生机构，方便老年人看病就医。</w:t>
      </w:r>
    </w:p>
    <w:p w14:paraId="47C39C13">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rPr>
        <w:t>阶段性目标：</w:t>
      </w:r>
      <w:r>
        <w:rPr>
          <w:rFonts w:hint="eastAsia" w:ascii="仿宋_GB2312" w:eastAsia="仿宋_GB2312"/>
          <w:sz w:val="32"/>
          <w:szCs w:val="32"/>
        </w:rPr>
        <w:t>每年为65岁以上老年人提供医养结合服务及免费体检，减免诊查费用，免费为失能、高龄及行动不便老年人提供上门服务。</w:t>
      </w:r>
    </w:p>
    <w:p w14:paraId="54A7C22C">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（四）项目预算情况</w:t>
      </w:r>
    </w:p>
    <w:p w14:paraId="7229FF82">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eastAsia="仿宋_GB2312"/>
          <w:sz w:val="32"/>
          <w:szCs w:val="32"/>
          <w:lang w:val="en-US" w:eastAsia="zh-CN"/>
        </w:rPr>
        <w:t>10</w:t>
      </w:r>
      <w:r>
        <w:rPr>
          <w:rFonts w:hint="eastAsia" w:ascii="仿宋_GB2312" w:eastAsia="仿宋_GB2312"/>
          <w:sz w:val="32"/>
          <w:szCs w:val="32"/>
        </w:rPr>
        <w:t>万元，全部为新区配套资金。</w:t>
      </w:r>
    </w:p>
    <w:p w14:paraId="43A92E88">
      <w:pPr>
        <w:spacing w:line="5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二、监控结论及分析</w:t>
      </w:r>
    </w:p>
    <w:p w14:paraId="349FAAAF">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（一）项目管理情况</w:t>
      </w:r>
    </w:p>
    <w:p w14:paraId="3697BC8A">
      <w:pPr>
        <w:spacing w:line="500" w:lineRule="exact"/>
        <w:ind w:firstLine="640" w:firstLineChars="200"/>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一是开展老年友善医疗机构创建。围绕老年友善文化、老年友善管理、老年友善服务、老年友善环境等方面积极推进老年友善医疗机构建设工作。新区8家基层医疗机构和1家二级综合医院创建成功。二是积极推进安宁疗护试点工作。栖霞社区卫生服务中心与新区福利院毗邻建设，在服务对象政策享受、试点项目实施、安宁疗护开展等方面具有独特优势，确定栖霞社区卫生服务中心为试点单位开展新区安宁疗护服务试点工作。兰州新区本级财政预算资金10万元已拨付试点单位，支持安宁疗护试点机构建设，2023年7月12日收治了首位安宁疗护患者，新区卫生健康系统在安宁疗护服务新实践中迈出了关键的一步，兰州新区在养老服务体系建设方面打通了全生命周期健康服务最后一公里，被甘肃电视台、新区报等媒体报道。三是探索开启医养结合新模式。新区第一人民医院开辟了养老院老年人就医“绿色通道”，新区社会福利院同新区第一人民医院签订了医疗服务协议，为养老院老年人就医、体检等提供便利，实现了集中供养老年人方便快捷就医。创新新区社会福利院与栖霞社区卫生服务中心医养共建模式，签订“医养结合服务合作协议”，实现了新区福利院老年人常见病、慢性病就近就便就医，进一步推进了医养结合发展。新区各公立医疗机构对老年人优先就诊、化验、检查、交费、取药，免费提供担架和轮椅等助老服务器具，对需要住院的老年人优先安排床位，确保老年人能够得到及时有效的医疗救治。各类公立医疗机构对60岁以上老年人开展门诊服务时减免普通门诊诊查费2元，副主任医师以上专家诊查费减免1元，进一步减轻老年人就医负担。医养结合服务成效显著。四是开展老年人综合能力评估。共对11201名老年人开展综合评估（包括日常生活活动能力、精神状态、社会参与能力、感知觉与沟通能力）。为1096名失能老年人开展上门评估服务。为855名失能老年人开展上门康复、护理指导、心理支持服务。为22352名老年人建立居民健康档案，签约老年人数20476人，签约覆盖率98%；共为18561名老年人开展上门巡诊、健康检查、保健咨询等服务。</w:t>
      </w:r>
    </w:p>
    <w:p w14:paraId="3F555BF3">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（二）预算执行情况。</w:t>
      </w:r>
    </w:p>
    <w:p w14:paraId="5335CF10">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该项目年初预算</w:t>
      </w:r>
      <w:r>
        <w:rPr>
          <w:rFonts w:hint="eastAsia" w:ascii="仿宋_GB2312" w:eastAsia="仿宋_GB2312"/>
          <w:sz w:val="32"/>
          <w:szCs w:val="32"/>
          <w:lang w:val="en-US" w:eastAsia="zh-CN"/>
        </w:rPr>
        <w:t>1</w:t>
      </w:r>
      <w:r>
        <w:rPr>
          <w:rFonts w:hint="eastAsia" w:ascii="仿宋_GB2312" w:eastAsia="仿宋_GB2312"/>
          <w:sz w:val="32"/>
          <w:szCs w:val="32"/>
        </w:rPr>
        <w:t>0万元，</w:t>
      </w:r>
      <w:r>
        <w:rPr>
          <w:rFonts w:hint="eastAsia" w:ascii="仿宋_GB2312" w:eastAsia="仿宋_GB2312"/>
          <w:sz w:val="32"/>
          <w:szCs w:val="32"/>
          <w:lang w:val="en-US" w:eastAsia="zh-CN"/>
        </w:rPr>
        <w:t>已全部拨付至基层医疗机构</w:t>
      </w:r>
      <w:r>
        <w:rPr>
          <w:rFonts w:hint="eastAsia" w:ascii="仿宋_GB2312" w:eastAsia="仿宋_GB2312"/>
          <w:sz w:val="32"/>
          <w:szCs w:val="32"/>
        </w:rPr>
        <w:t>。</w:t>
      </w:r>
    </w:p>
    <w:p w14:paraId="628B3AD8">
      <w:pPr>
        <w:spacing w:line="500" w:lineRule="exact"/>
        <w:ind w:firstLine="640" w:firstLineChars="200"/>
        <w:rPr>
          <w:rFonts w:hint="eastAsia" w:ascii="楷体_GB2312" w:eastAsia="楷体_GB2312"/>
          <w:sz w:val="32"/>
          <w:szCs w:val="32"/>
        </w:rPr>
      </w:pPr>
      <w:r>
        <w:rPr>
          <w:rFonts w:hint="eastAsia" w:ascii="楷体_GB2312" w:eastAsia="楷体_GB2312"/>
          <w:sz w:val="32"/>
          <w:szCs w:val="32"/>
        </w:rPr>
        <w:t>（三）绩效目标完成情况</w:t>
      </w:r>
    </w:p>
    <w:p w14:paraId="1566CCAD">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1.产出指标完成情况分析。</w:t>
      </w:r>
    </w:p>
    <w:p w14:paraId="419918C8">
      <w:pPr>
        <w:spacing w:line="600" w:lineRule="exact"/>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7月12日，栖霞社区卫生服务中心收治了首位安宁疗护患者，这意味着新区卫生健康系统在安宁疗护服务新实践中迈出了关键一步，同时</w:t>
      </w:r>
      <w:r>
        <w:rPr>
          <w:rFonts w:hint="eastAsia" w:ascii="仿宋_GB2312" w:hAnsi="仿宋_GB2312" w:cs="仿宋_GB2312"/>
          <w:b w:val="0"/>
          <w:bCs w:val="0"/>
          <w:color w:val="auto"/>
          <w:kern w:val="2"/>
          <w:sz w:val="32"/>
          <w:szCs w:val="32"/>
          <w:lang w:val="en-US" w:eastAsia="zh-CN" w:bidi="ar-SA"/>
        </w:rPr>
        <w:t>也</w:t>
      </w:r>
      <w:r>
        <w:rPr>
          <w:rFonts w:hint="eastAsia" w:ascii="仿宋_GB2312" w:hAnsi="仿宋_GB2312" w:eastAsia="仿宋_GB2312" w:cs="仿宋_GB2312"/>
          <w:b w:val="0"/>
          <w:bCs w:val="0"/>
          <w:color w:val="auto"/>
          <w:kern w:val="2"/>
          <w:sz w:val="32"/>
          <w:szCs w:val="32"/>
          <w:lang w:val="en-US" w:eastAsia="zh-CN" w:bidi="ar-SA"/>
        </w:rPr>
        <w:t>标志着兰州新区在养老服务体系建设方面打通了全生命周期健康服务最后一公里。</w:t>
      </w:r>
    </w:p>
    <w:p w14:paraId="51FE465F">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2.效益指标完成情况分析</w:t>
      </w:r>
    </w:p>
    <w:p w14:paraId="24B2411E">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着力构建多层次多元化的医养结合服务供给体系，更好地满足差异化、个性化的养老需求，创建老有所养、老有所医、老有所乐、老有所为的全新的、积极的、健康的社会化养老新模式。</w:t>
      </w:r>
    </w:p>
    <w:p w14:paraId="5FE4988C">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3.满意度指标完成情况分析</w:t>
      </w:r>
    </w:p>
    <w:p w14:paraId="3307EC34">
      <w:pPr>
        <w:spacing w:line="500" w:lineRule="exact"/>
        <w:ind w:firstLine="640" w:firstLineChars="200"/>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由社区卫生服务中心为每位服务对象建立健康档案，专业医护人员定期上门提供健康体检、健康教育、家庭医生签约等服务，保障特殊困难老年人居家健康服务需求。由签约医师团队对签约老年人开展个体化健康评估，实施针对性健康管理，依托社区卫生服务中心平台，为有需求的老年人提供必要的上门健康服务，为慢性病老年人提供长处方、延伸处方等便捷用药服务，为临终患者提供安宁疗护服务。</w:t>
      </w:r>
      <w:r>
        <w:rPr>
          <w:rFonts w:hint="eastAsia" w:ascii="仿宋_GB2312" w:hAnsi="仿宋_GB2312" w:eastAsia="仿宋_GB2312" w:cs="仿宋_GB2312"/>
          <w:sz w:val="32"/>
          <w:szCs w:val="32"/>
          <w:lang w:eastAsia="zh-CN"/>
        </w:rPr>
        <w:t>不断提升新区老年人的幸福感、获得感。</w:t>
      </w:r>
    </w:p>
    <w:p w14:paraId="7DE9F404">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三、偏离绩效目标的原因及下一步改进措施</w:t>
      </w:r>
    </w:p>
    <w:p w14:paraId="10E5CE3B">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rPr>
      </w:pPr>
      <w:r>
        <w:rPr>
          <w:rFonts w:hint="eastAsia" w:ascii="仿宋_GB2312" w:hAnsi="仿宋_GB2312" w:eastAsia="仿宋_GB2312" w:cs="Times New Roman"/>
          <w:color w:val="auto"/>
          <w:sz w:val="32"/>
        </w:rPr>
        <w:t>项目实施全过程中未出现偏差。</w:t>
      </w:r>
    </w:p>
    <w:p w14:paraId="0380B77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四、绩效自评结果拟应用和公开情况</w:t>
      </w:r>
    </w:p>
    <w:p w14:paraId="3B56DE33">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1.按照“谁主管、谁使用、谁公开”的原则，部门预算项目绩效自评报告、自评表将在相关门户网站进行公开。</w:t>
      </w:r>
    </w:p>
    <w:p w14:paraId="0217AC5B">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Times New Roman"/>
          <w:color w:val="auto"/>
          <w:sz w:val="32"/>
          <w:lang w:val="en-US" w:eastAsia="zh-CN"/>
        </w:rPr>
      </w:pPr>
      <w:r>
        <w:rPr>
          <w:rFonts w:hint="eastAsia" w:ascii="仿宋_GB2312" w:hAnsi="仿宋_GB2312" w:eastAsia="仿宋_GB2312" w:cs="Times New Roman"/>
          <w:color w:val="auto"/>
          <w:sz w:val="32"/>
          <w:lang w:val="en-US" w:eastAsia="zh-CN"/>
        </w:rPr>
        <w:t>2.针对绩效自评中存在的问题，及时调整和优化后续项目和以后年度预算支出的方向和结构，合理配置资源，加强财务管理。</w:t>
      </w:r>
    </w:p>
    <w:p w14:paraId="71C80C4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宋体" w:eastAsia="黑体" w:cs="黑体"/>
          <w:i w:val="0"/>
          <w:caps w:val="0"/>
          <w:color w:val="auto"/>
          <w:spacing w:val="0"/>
          <w:sz w:val="32"/>
          <w:szCs w:val="32"/>
          <w:shd w:val="clear" w:color="auto" w:fill="FFFFFF"/>
          <w:lang w:eastAsia="zh-CN"/>
        </w:rPr>
      </w:pPr>
      <w:r>
        <w:rPr>
          <w:rFonts w:hint="eastAsia" w:ascii="仿宋_GB2312" w:hAnsi="仿宋_GB2312" w:eastAsia="仿宋_GB2312" w:cs="Times New Roman"/>
          <w:color w:val="auto"/>
          <w:sz w:val="32"/>
          <w:lang w:val="en-US" w:eastAsia="zh-CN"/>
        </w:rPr>
        <w:t>3.建立激励与约束机制，强化评价结果在项目申报和预算编制中的有效应用。</w:t>
      </w:r>
    </w:p>
    <w:p w14:paraId="3F56D96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540" w:lineRule="exact"/>
        <w:ind w:left="0" w:right="0" w:firstLine="640" w:firstLineChars="200"/>
        <w:jc w:val="both"/>
        <w:rPr>
          <w:rFonts w:hint="eastAsia" w:ascii="黑体" w:hAnsi="宋体" w:eastAsia="黑体" w:cs="黑体"/>
          <w:i w:val="0"/>
          <w:caps w:val="0"/>
          <w:color w:val="auto"/>
          <w:spacing w:val="0"/>
          <w:sz w:val="32"/>
          <w:szCs w:val="32"/>
          <w:shd w:val="clear" w:color="auto" w:fill="FFFFFF"/>
          <w:lang w:eastAsia="zh-CN"/>
        </w:rPr>
      </w:pPr>
      <w:r>
        <w:rPr>
          <w:rFonts w:hint="eastAsia" w:ascii="黑体" w:hAnsi="宋体" w:eastAsia="黑体" w:cs="黑体"/>
          <w:i w:val="0"/>
          <w:caps w:val="0"/>
          <w:color w:val="auto"/>
          <w:spacing w:val="0"/>
          <w:sz w:val="32"/>
          <w:szCs w:val="32"/>
          <w:shd w:val="clear" w:color="auto" w:fill="FFFFFF"/>
          <w:lang w:eastAsia="zh-CN"/>
        </w:rPr>
        <w:t>五、其他需要说明的问题</w:t>
      </w:r>
    </w:p>
    <w:p w14:paraId="4A13697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无。</w:t>
      </w:r>
    </w:p>
    <w:p w14:paraId="54C6D438">
      <w:pPr>
        <w:ind w:firstLine="0" w:firstLineChars="0"/>
        <w:outlineLvl w:val="1"/>
        <w:rPr>
          <w:rFonts w:ascii="黑体" w:hAnsi="黑体" w:eastAsia="黑体" w:cs="黑体"/>
          <w:b/>
          <w:bCs/>
          <w:szCs w:val="32"/>
        </w:rPr>
      </w:pPr>
      <w:r>
        <w:rPr>
          <w:rFonts w:hint="eastAsia" w:ascii="黑体" w:hAnsi="黑体" w:eastAsia="黑体" w:cs="黑体"/>
          <w:b/>
          <w:bCs/>
          <w:szCs w:val="32"/>
        </w:rPr>
        <w:t>五、部门管理的省、市对新区转移支付绩效自评情况分析</w:t>
      </w:r>
    </w:p>
    <w:p w14:paraId="5C548921">
      <w:r>
        <w:rPr>
          <w:rFonts w:hint="eastAsia"/>
        </w:rPr>
        <w:t>202</w:t>
      </w:r>
      <w:r>
        <w:rPr>
          <w:rFonts w:hint="eastAsia"/>
          <w:lang w:val="en-US" w:eastAsia="zh-CN"/>
        </w:rPr>
        <w:t>3</w:t>
      </w:r>
      <w:r>
        <w:rPr>
          <w:rFonts w:hint="eastAsia"/>
        </w:rPr>
        <w:t>年，本部门负责开展中央转移支付预算支出项目共</w:t>
      </w:r>
      <w:r>
        <w:rPr>
          <w:rFonts w:hint="eastAsia"/>
          <w:lang w:val="en-US" w:eastAsia="zh-CN"/>
        </w:rPr>
        <w:t>5</w:t>
      </w:r>
      <w:r>
        <w:rPr>
          <w:rFonts w:hint="eastAsia"/>
        </w:rPr>
        <w:t>个，分别是：基本公共卫生服务补助资金项目、基本药物制度补助项目、</w:t>
      </w:r>
      <w:r>
        <w:rPr>
          <w:rFonts w:hint="eastAsia"/>
          <w:lang w:eastAsia="zh-CN"/>
        </w:rPr>
        <w:t>中医药事业传承与发展部分项目</w:t>
      </w:r>
      <w:r>
        <w:rPr>
          <w:rFonts w:hint="eastAsia"/>
        </w:rPr>
        <w:t>、重大传染病防控经费项目</w:t>
      </w:r>
      <w:r>
        <w:rPr>
          <w:rFonts w:hint="eastAsia"/>
          <w:lang w:eastAsia="zh-CN"/>
        </w:rPr>
        <w:t>、疫情防控专项资金</w:t>
      </w:r>
      <w:r>
        <w:rPr>
          <w:rFonts w:hint="eastAsia"/>
        </w:rPr>
        <w:t>。</w:t>
      </w:r>
    </w:p>
    <w:p w14:paraId="17C1AB4A">
      <w:pPr>
        <w:ind w:left="0" w:leftChars="0" w:firstLine="320" w:firstLineChars="100"/>
        <w:outlineLvl w:val="2"/>
        <w:rPr>
          <w:rFonts w:hint="eastAsia"/>
        </w:rPr>
      </w:pPr>
      <w:r>
        <w:rPr>
          <w:rFonts w:hint="eastAsia"/>
        </w:rPr>
        <w:t>通过本次自评，有</w:t>
      </w:r>
      <w:r>
        <w:rPr>
          <w:rFonts w:hint="eastAsia"/>
          <w:lang w:val="en-US" w:eastAsia="zh-CN"/>
        </w:rPr>
        <w:t>5</w:t>
      </w:r>
      <w:r>
        <w:rPr>
          <w:rFonts w:hint="eastAsia"/>
        </w:rPr>
        <w:t>个项目结果为“优”，具体如下：</w:t>
      </w:r>
    </w:p>
    <w:p w14:paraId="2F4A2E67">
      <w:pPr>
        <w:ind w:firstLine="643"/>
        <w:outlineLvl w:val="2"/>
        <w:rPr>
          <w:rFonts w:hint="eastAsia" w:ascii="楷体" w:hAnsi="楷体" w:eastAsia="楷体" w:cs="楷体"/>
          <w:b/>
          <w:bCs/>
          <w:szCs w:val="32"/>
          <w:lang w:eastAsia="zh-CN"/>
        </w:rPr>
      </w:pPr>
      <w:r>
        <w:rPr>
          <w:rFonts w:hint="eastAsia" w:ascii="楷体" w:hAnsi="楷体" w:eastAsia="楷体" w:cs="楷体"/>
          <w:b/>
          <w:bCs/>
          <w:szCs w:val="32"/>
        </w:rPr>
        <w:t>（</w:t>
      </w:r>
      <w:r>
        <w:rPr>
          <w:rFonts w:hint="eastAsia" w:ascii="楷体" w:hAnsi="楷体" w:eastAsia="楷体" w:cs="楷体"/>
          <w:b/>
          <w:bCs/>
          <w:szCs w:val="32"/>
          <w:lang w:eastAsia="zh-CN"/>
        </w:rPr>
        <w:t>一</w:t>
      </w:r>
      <w:r>
        <w:rPr>
          <w:rFonts w:hint="eastAsia" w:ascii="楷体" w:hAnsi="楷体" w:eastAsia="楷体" w:cs="楷体"/>
          <w:b/>
          <w:bCs/>
          <w:szCs w:val="32"/>
        </w:rPr>
        <w:t>）</w:t>
      </w:r>
      <w:r>
        <w:rPr>
          <w:rFonts w:hint="eastAsia" w:ascii="楷体" w:hAnsi="楷体" w:eastAsia="楷体" w:cs="楷体"/>
          <w:b/>
          <w:bCs/>
          <w:szCs w:val="32"/>
          <w:lang w:eastAsia="zh-CN"/>
        </w:rPr>
        <w:t>基本公共卫生项目经费</w:t>
      </w:r>
    </w:p>
    <w:p w14:paraId="117A4133">
      <w:pPr>
        <w:spacing w:line="600" w:lineRule="exact"/>
        <w:ind w:firstLine="640" w:firstLineChars="200"/>
        <w:rPr>
          <w:rFonts w:hint="eastAsia"/>
          <w:sz w:val="32"/>
          <w:szCs w:val="32"/>
          <w:lang w:eastAsia="zh-CN"/>
        </w:rPr>
      </w:pPr>
      <w:r>
        <w:rPr>
          <w:rFonts w:hint="eastAsia" w:ascii="黑体" w:hAnsi="黑体" w:eastAsia="黑体" w:cs="黑体"/>
          <w:sz w:val="32"/>
          <w:szCs w:val="32"/>
        </w:rPr>
        <w:t>一、项目基本情况</w:t>
      </w:r>
    </w:p>
    <w:p w14:paraId="10591AD2">
      <w:pPr>
        <w:spacing w:line="600" w:lineRule="exact"/>
        <w:ind w:firstLine="640" w:firstLineChars="200"/>
        <w:rPr>
          <w:rFonts w:ascii="仿宋_GB2312" w:eastAsia="仿宋_GB2312"/>
          <w:sz w:val="32"/>
          <w:szCs w:val="32"/>
        </w:rPr>
      </w:pPr>
      <w:r>
        <w:rPr>
          <w:rFonts w:hint="eastAsia"/>
          <w:sz w:val="32"/>
          <w:szCs w:val="32"/>
          <w:lang w:eastAsia="zh-CN"/>
        </w:rPr>
        <w:t>（一）</w:t>
      </w:r>
      <w:r>
        <w:rPr>
          <w:rFonts w:hint="eastAsia" w:ascii="仿宋_GB2312" w:eastAsia="仿宋_GB2312"/>
          <w:sz w:val="32"/>
          <w:szCs w:val="32"/>
        </w:rPr>
        <w:t>项目概况。</w:t>
      </w:r>
    </w:p>
    <w:p w14:paraId="6DA4B5BB">
      <w:pPr>
        <w:spacing w:line="600" w:lineRule="exact"/>
        <w:ind w:firstLine="640" w:firstLineChars="200"/>
        <w:rPr>
          <w:rFonts w:ascii="仿宋_GB2312" w:eastAsia="仿宋_GB2312"/>
          <w:sz w:val="32"/>
          <w:szCs w:val="32"/>
        </w:rPr>
      </w:pPr>
      <w:r>
        <w:rPr>
          <w:rFonts w:hint="eastAsia" w:ascii="仿宋_GB2312" w:eastAsia="仿宋_GB2312"/>
          <w:sz w:val="32"/>
          <w:szCs w:val="32"/>
        </w:rPr>
        <w:t>兰州新区现托管</w:t>
      </w:r>
      <w:r>
        <w:rPr>
          <w:rFonts w:hint="eastAsia" w:ascii="仿宋_GB2312" w:eastAsia="仿宋_GB2312"/>
          <w:sz w:val="32"/>
          <w:szCs w:val="32"/>
          <w:lang w:val="en-US" w:eastAsia="zh-CN"/>
        </w:rPr>
        <w:t>4</w:t>
      </w:r>
      <w:r>
        <w:rPr>
          <w:rFonts w:hint="eastAsia" w:ascii="仿宋_GB2312" w:eastAsia="仿宋_GB2312"/>
          <w:sz w:val="32"/>
          <w:szCs w:val="32"/>
        </w:rPr>
        <w:t>个乡镇，</w:t>
      </w:r>
      <w:r>
        <w:rPr>
          <w:rFonts w:hint="eastAsia" w:ascii="仿宋_GB2312" w:eastAsia="仿宋_GB2312"/>
          <w:sz w:val="32"/>
          <w:szCs w:val="32"/>
          <w:lang w:val="en-US" w:eastAsia="zh-CN"/>
        </w:rPr>
        <w:t>69</w:t>
      </w:r>
      <w:r>
        <w:rPr>
          <w:rFonts w:hint="eastAsia" w:ascii="仿宋_GB2312" w:eastAsia="仿宋_GB2312"/>
          <w:sz w:val="32"/>
          <w:szCs w:val="32"/>
        </w:rPr>
        <w:t>个行政村。 202</w:t>
      </w:r>
      <w:r>
        <w:rPr>
          <w:rFonts w:hint="eastAsia" w:ascii="仿宋_GB2312" w:eastAsia="仿宋_GB2312"/>
          <w:sz w:val="32"/>
          <w:szCs w:val="32"/>
          <w:lang w:val="en-US" w:eastAsia="zh-CN"/>
        </w:rPr>
        <w:t>3</w:t>
      </w:r>
      <w:r>
        <w:rPr>
          <w:rFonts w:hint="eastAsia" w:ascii="仿宋_GB2312" w:eastAsia="仿宋_GB2312"/>
          <w:sz w:val="32"/>
          <w:szCs w:val="32"/>
        </w:rPr>
        <w:t>年基本公共卫生服务项目经费及时拨付，保障了新区各医疗机构基本公共卫生项目工作的开展和项目工作的日常正常运转，同时调动了乡村医生开展公共卫生服务的积极性，确保了新区基本公共卫生服务项目工作的顺利推进。</w:t>
      </w:r>
    </w:p>
    <w:p w14:paraId="0769E0E8">
      <w:pPr>
        <w:spacing w:line="60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年新区下拨基本公共卫生服务项目补助经费</w:t>
      </w:r>
      <w:r>
        <w:rPr>
          <w:rFonts w:hint="eastAsia" w:ascii="仿宋_GB2312" w:hAnsi="仿宋_GB2312" w:eastAsia="仿宋_GB2312" w:cs="仿宋_GB2312"/>
          <w:sz w:val="32"/>
          <w:szCs w:val="32"/>
          <w:lang w:val="en-US" w:eastAsia="zh-CN"/>
        </w:rPr>
        <w:t>2485.87</w:t>
      </w:r>
      <w:r>
        <w:rPr>
          <w:rFonts w:hint="eastAsia" w:ascii="仿宋_GB2312" w:eastAsia="仿宋_GB2312"/>
          <w:sz w:val="32"/>
          <w:szCs w:val="32"/>
        </w:rPr>
        <w:t>万元至各基层医疗卫生机构。</w:t>
      </w:r>
    </w:p>
    <w:p w14:paraId="3F5C916C">
      <w:pPr>
        <w:spacing w:line="600" w:lineRule="exact"/>
        <w:ind w:firstLine="640" w:firstLineChars="200"/>
        <w:rPr>
          <w:rFonts w:ascii="仿宋_GB2312" w:eastAsia="仿宋_GB2312"/>
          <w:sz w:val="32"/>
          <w:szCs w:val="32"/>
        </w:rPr>
      </w:pPr>
      <w:r>
        <w:rPr>
          <w:rFonts w:hint="eastAsia" w:ascii="仿宋_GB2312" w:eastAsia="仿宋_GB2312"/>
          <w:sz w:val="32"/>
          <w:szCs w:val="32"/>
        </w:rPr>
        <w:t>（二）项目绩效目标。</w:t>
      </w:r>
    </w:p>
    <w:p w14:paraId="09F65142">
      <w:pPr>
        <w:spacing w:line="600" w:lineRule="exact"/>
        <w:ind w:firstLine="640" w:firstLineChars="200"/>
        <w:rPr>
          <w:rFonts w:hint="eastAsia" w:ascii="黑体" w:hAnsi="黑体" w:eastAsia="黑体" w:cs="黑体"/>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年完成基本公共卫生服务项目工作目标，较好实施国家基本公共卫生服务项目和基本药品零差率制度，保障辖区内人民身体健康。</w:t>
      </w:r>
      <w:r>
        <w:rPr>
          <w:rFonts w:hint="eastAsia" w:ascii="仿宋_GB2312" w:eastAsia="仿宋_GB2312"/>
          <w:sz w:val="32"/>
          <w:szCs w:val="32"/>
        </w:rPr>
        <w:br w:type="textWrapping"/>
      </w:r>
      <w:r>
        <w:rPr>
          <w:rFonts w:hint="eastAsia" w:ascii="仿宋_GB2312" w:eastAsia="仿宋_GB2312"/>
          <w:sz w:val="32"/>
          <w:szCs w:val="32"/>
        </w:rPr>
        <w:t xml:space="preserve">  </w:t>
      </w:r>
      <w:r>
        <w:rPr>
          <w:rFonts w:hint="eastAsia" w:ascii="黑体" w:hAnsi="黑体" w:eastAsia="黑体" w:cs="黑体"/>
          <w:sz w:val="32"/>
          <w:szCs w:val="32"/>
        </w:rPr>
        <w:t xml:space="preserve">  二、项目实施及管理情况</w:t>
      </w:r>
    </w:p>
    <w:p w14:paraId="72F808F2">
      <w:pPr>
        <w:numPr>
          <w:ilvl w:val="0"/>
          <w:numId w:val="17"/>
        </w:num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抓实抓细基本</w:t>
      </w:r>
      <w:r>
        <w:rPr>
          <w:rFonts w:hint="eastAsia" w:ascii="楷体" w:hAnsi="楷体" w:eastAsia="楷体" w:cs="楷体"/>
          <w:sz w:val="32"/>
          <w:szCs w:val="32"/>
        </w:rPr>
        <w:t>公共卫生</w:t>
      </w:r>
      <w:r>
        <w:rPr>
          <w:rFonts w:hint="eastAsia" w:ascii="楷体" w:hAnsi="楷体" w:eastAsia="楷体" w:cs="楷体"/>
          <w:sz w:val="32"/>
          <w:szCs w:val="32"/>
          <w:lang w:eastAsia="zh-CN"/>
        </w:rPr>
        <w:t>项目工作</w:t>
      </w:r>
    </w:p>
    <w:p w14:paraId="3BFAC74B">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采取“请进来、走出去”方式融会贯通。坚持邀请省级考核组专家进行季度、半年、年度基本公共卫生服务项目和家庭医生签约服务考核评价，确保权威公正。根据工作进度结合年度排名实行末尾淘汰制，根据工作需要调整了部分基层医疗机构主要负责人，建议部分基层医疗机构对分管领导进行了调整。</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是新区基本公共卫生成为全省亮点和名片。连续接待国家卫健委公共卫生考核、优质服务基层行复核、经省卫生健康委推荐，8月7日健康报、中国新闻社甘肃分社、甘肃日报、每日甘肃网、省广播电视总台、视听甘肃、中国网甘肃频道记者团队对新区基本公卫工作进行了采访报道，深入西岔中心卫生院、雅苑社区卫生服务中心对智慧公卫系统开展采访，与村医代表进行访谈，通过入户走访、采访签约居民，全面宣传新区基本公共卫生工作。</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是慢性病综合防控示范区建设。组织兰大公卫学院团队开展慢性病社会影响因素调查，掌握新区重点慢性病状况及社会影响因素，工作成效显著。结合兰州新区18岁以上居民卫生服务实际情况，新区慢性病危险因素现场调查目标人口数在15万左右，抽样采用三阶段整群随机抽样的方法，抽样人数在2000-3000之间，占目标对象的1.33%—2.0%，实际完成全部调查内容人数为2674人，占目标对象1.8%。并积极与省卫健委疾控处、基层处对接降低了新区慢病考核指标。</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是组织开展2023年糖尿病高危人群健康教育与筛查能力提升项目。组织糖尿病高危人群现场筛查活动，进行糖尿病相关疾病知识宣教，提升基层医疗卫生人员糖尿病筛查服务能力，增强健康教育和慢病管理能力。进一步深化落实糖尿病“早发现，早诊断，早治疗”的防控措施，促进基层糖尿病健康知识传播，提升基层糖尿病知晓率。新区共承担筛查项目3800人，组织基层科多次在筛查现场了解进度情况，现场发现问题解决问题。因新区项目开展出色，获省卫生健康委推荐，新区代表甘肃接受国家卫生健康委能力建设和继续教育中心组织的媒体采访和项目调研，受到国家调研组高度肯定和赞扬。</w:t>
      </w:r>
    </w:p>
    <w:p w14:paraId="675C88FF">
      <w:p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）坚持夯实基层服务能力基础</w:t>
      </w:r>
    </w:p>
    <w:p w14:paraId="3C2BCAB6">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通过规范机构内部管理，改善硬件设施设备，加强临床专科建设，拓展医疗服务项目，提高医疗质量安全等举措，涌现了一批综合实力不断提升，并各具特色的基层医疗机构，新区基层医疗机构能力走在了全省前列。目前兰州新区乡镇卫生院（社区卫生服务中心）“国家优质服务基层行”基本标准达标率100%，推荐标准达标率57.14%，稳居全省第一。秦川中心卫生院成功创建为社区医院，并被确定为省级基层卫生人才培训基地（第一批）。3家基层医疗机构代表甘肃省接受国家“优质服务基层行”活动现场一致性评价，评价过程中均受到了国家专家组高度肯定。二是强化医共体建设，医防融合发展。通过紧密型县域医共体建设，由医共体牵头单位新区第一人民医院对成员单位开展组团式对口帮扶，实现县乡村一体化管理。各基层医院根据发展基础和群众需要，错位发展、分别打造2个特色科室，将基层特色科室作为牵头医院相关科室的延伸。向基层医疗机构下沉二级病种139种、药品246种。大病重病患者向区内回流、常见多发病向基层回流的趋势愈发明显，“基层首诊、双向转诊、急慢分治、上下联动”的分级诊疗和就医新格局基本实现。</w:t>
      </w:r>
    </w:p>
    <w:p w14:paraId="51B3DDFA">
      <w:pPr>
        <w:numPr>
          <w:ilvl w:val="0"/>
          <w:numId w:val="0"/>
        </w:num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（三）</w:t>
      </w:r>
      <w:r>
        <w:rPr>
          <w:rFonts w:hint="eastAsia" w:ascii="楷体" w:hAnsi="楷体" w:eastAsia="楷体" w:cs="楷体"/>
          <w:sz w:val="32"/>
          <w:szCs w:val="32"/>
        </w:rPr>
        <w:t>坚持以人为本持续完善乡村医生体系建设</w:t>
      </w:r>
    </w:p>
    <w:p w14:paraId="4AB70F9A">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强基固本服务人才，改革推动服务体系不断完善。全面提升乡镇卫生院防病治病和健康管理能力，鼓励拓展康复医疗、医养结合、安宁疗护等服务功能，为乡村医生拓展职业前景提供坚实后盾的“娘家人”，做好呵护成长的贴心人。树立“乡村医生就是人才”的观念，注重改善环境发现人才，发展壮大乡村医疗卫生队伍，充分认识到乡村和社区医生不仅仅是“健康守门人”角色，更是推动医防融合发展，深化家签服务内涵，让人民群众有更多获得感幸福感的“开拓者”。二是不拘一格人才，加强适宜人才培养和引进。近几年累计引进52名大学生（含定向生8名）补充乡村医生队伍，其中2023年通过大学生乡村医生专项计划，聘用27名大学生并免试申请乡村医生注册。先后引进具备例针刀医学诊疗技术、皇甫谧针灸术、中医皮肤病、中医康复、中医脾胃病等特长的人才为乡村医生，为其量身打造乡镇卫生院延伸至村级的医疗服务点。优秀的人才环境先后吸引县级医院、民营医院、个体诊所等不同来源的人才到新区村卫生室（社区卫生服务站）工作。三是落实乡村医生多渠道补偿政策。足额发放基本公共卫生服务项目补助、家庭医生签约补助、村医定额补助、基本药物制度补助，一般诊疗费和中医药适宜技术等收入由乡镇卫生院按照绩效考核结果按月发放。为所有村医购买企业职工养老保险、职工基本医疗保险离岗村医发放养老补助，鼓励有条件的基层医疗机构为村医缴纳五险一金、互助险等社会保险。新区财政为每一个村卫生室每年补贴运营经费1000元。各基层医疗机构通过发放统一工作服、家签服，享受单位食堂餐补，提供拎包入住过渡宿舍，租用新能源汽车，补贴电话费、网费等方式提供衣食住行用全面后勤保障。四是鼓励各基层医疗机构根据实际情况探索乡聘村用新机制，中川镇卫生院探索将通过职称考试尚未聘用的乡村医生发放职称补贴，新安社区卫生服务中心为女村医休产假期间每月发放1000元补助。实施基层卫生人员能力提升培训计划，鼓励乡村医生参加业务培训和继续教育。依托国培项目、甘肃省基层医疗卫生服务能力提升远程培训系统、新区医共体培训体系等线上线下平台，围绕基本医疗、急诊急救、基本公共卫生、中医适宜技术、健康帮扶政策等重点内容，多途径、多方式开展培训工作，48名村医完成五批次的国家培训项目。五是支持符合条件的乡村医生接受中、高等医学学历教育。推动乡村医生向执业（助理）医师转化，打造一支专业化、规范化乡村医生队伍。新区108名村医中(不含应届大学生)，执业（助理）医师85人，执业（助理）医师占比78.7%，排名全省第一。探索将取得执业医师资格，且群众反映好的乡村医生，通过新区公开招聘的形式选拔录用，先后有多名乡村医生考入乡镇卫生院（社区卫生服务中心）。</w:t>
      </w:r>
    </w:p>
    <w:p w14:paraId="60828F6D">
      <w:pPr>
        <w:numPr>
          <w:ilvl w:val="0"/>
          <w:numId w:val="18"/>
        </w:num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全面推进“明星粉丝”家庭医生签约“三清一满意”行动</w:t>
      </w:r>
    </w:p>
    <w:p w14:paraId="43FD74D6">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三清一满意”专项行动探索符合新区特色的明星粉丝家签模式，强化签约服务内涵，深度推动医防融合。一是探索建立具有新区特色的明星粉丝家签模式。过去村医作为家庭医生签约主体，虽然和群众更熟悉，但服务能力相对较弱，上下协调手段相对单一。为克服这一痛难点，兰州新区成立以卫生院（社区卫生服务中心）临床医生为团队长的医防融合家签团队吸纳公卫专干、村医为成员，团队分片包干，每签约一人新区财政给予团队5元补贴。卫生院（社区卫生服务中心）根据考核成绩打包拨付相关经费给团队，团队长负责内部协调及绩效二次考核，充分调动团队积极性，促进团队紧密协作，目标统一。在此基础上进一步探索新区明星粉丝家签模式，推出一批业务能力高、责任心强、与群众联系密切的“明星”医生，吸引群众“粉丝”与之签约，成立医防融合明星家签团队80个。开展“明星家庭医生”评比活动，以赛促干，引导团队良性竞争，相互借鉴，共同进步。二是全面推行信息化，签约服务更加高效。依托信息化手段，通过新区智慧公卫系统“互联网﹢”家庭医生签约服务信息平台，签约医生可通过手机APP端口直接完成各类签约数据的采集与录入，自动生成签约台账并支持导出打印，实现了签约流程集成化。系统内置工作地点实时定位、佐证资料实时传输等制约性技术手段，并自动存储签约医生开展签约服务的工作时间、服务内容等痕迹资料，实现了绩效评价可追溯。强化与人口计生系统、his系统、电子档案系统、慢病系统等平台动态对接，做好签约居民动态信息变更与居民电子健康档案的归总。提供个性化的健康干预，前移健康管理关口。三是专项行动精准摸排，精细服务。借助信息化手段与入户摸排相结合，联合公共卫生委员会，开展家签“三清一满意”（服务数据清、重点人群清、病情近况清，不断提升群众满意度）专项行动。第一轮地毯式全域排摸，做到底数清楚。第二轮盯住糖尿病、高血压等慢性病及其他患病人群，做到重点突出。第三轮将团队专科医生与摸排出的重点签约对象通过电话、微信等方式紧密绑定，建立重点人群数据库，全部由家签团队通过主动追踪做到“一对一”个性化签约服务，根据家签对象病情变化实行精准分级分类管理，实现“全专联合”，根据家签对象病情变化实行精准分级分类管理。累计面对面排摸73426户次341586人次，完成家庭医生签约建档289190人，签约率达到96.4%。累计摸排新增高血压患者5162人，管理率提升19.06%；新增糖尿病患者1531人，管理率提升14.68%；新增严重精神障碍患者132人，管理率提升9.8%；摸排其他疾病 2215人，其中：心脑血管疾病655人，慢性疼痛疾病 393人，肿瘤365人，肺系疾病 343人，消化道疾病242人，传染病82人。根据摸排结果进行个性化追踪服务，对需要住院的通过新区医共体途径积极送人就医，累计上转1145人次、下转1091人次，“基层首诊、双向转诊、急慢分治、上下联动”的分级诊疗和就医新格局初步形成，群众对健康服务满意度明显提升，非常认可。</w:t>
      </w:r>
    </w:p>
    <w:p w14:paraId="18D811C6">
      <w:pPr>
        <w:numPr>
          <w:ilvl w:val="0"/>
          <w:numId w:val="18"/>
        </w:numPr>
        <w:spacing w:line="600" w:lineRule="exact"/>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创新宣传方式，提升群众参与度</w:t>
      </w:r>
    </w:p>
    <w:p w14:paraId="186083C3">
      <w:pPr>
        <w:numPr>
          <w:ilvl w:val="0"/>
          <w:numId w:val="0"/>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专业宣传广告公司合作，组织2023年基本公共卫生服务项目暨家庭医生签约服务宣传活动。新区卫生健康委利用每一个节假日、中国传统节日等，组织各基层医疗机构进行精准宣传。组织新区基层医疗机构50余人赴新区最专业文化传媒公司学习专业化、视频化、网络化宣传报道知识，并快速学以致用，近期拍摄的基层公卫系列科普视频点击量均过千次。新区基层健康工作在新区卫生健康委微信公众号发表宣传信息100余篇，被甘肃电视台、甘肃日报、甘肃经济日报、新区发布、新区报等省市级媒体宣传报道50余篇，被人民卫生出版社等国家级媒体采纳或宣传报道5次。在国家卫健委基层司指导，中华医学会全科分会等三部门举办的“家医岗位练兵暨风采展示活动”中，家医健康文艺风采作品全国共15部作品入选，由新区选送的作品《我是一名战士》（作者王俊成）入选，家医职业风采全国共50部作品入选，新区选送的《秦川卫生院宣传片》（作者段颖婷）、《中川卫生院宣传片》（作者赖兰花）2部作品入选，以上作品于2023年2月17日在山东省临沂市集中展示演出，《我是一名战士》最后荣获全国岗位练兵暨风采展示总决赛投票第三名。另有《战疫的奉献》被中国社区卫生协会展播。新区的基层卫生健康宣传工作采取贴近老百姓喜闻乐见的形式，不断走深走实，进一步提升了群众的知晓率、认同感和满意度。</w:t>
      </w:r>
    </w:p>
    <w:p w14:paraId="14265B38">
      <w:pPr>
        <w:numPr>
          <w:ilvl w:val="0"/>
          <w:numId w:val="18"/>
        </w:numPr>
        <w:spacing w:line="600" w:lineRule="exact"/>
        <w:ind w:left="0" w:leftChars="0" w:firstLine="640" w:firstLineChars="200"/>
        <w:rPr>
          <w:rFonts w:hint="eastAsia" w:ascii="楷体" w:hAnsi="楷体" w:eastAsia="楷体" w:cs="楷体"/>
          <w:sz w:val="32"/>
          <w:szCs w:val="32"/>
        </w:rPr>
      </w:pPr>
      <w:r>
        <w:rPr>
          <w:rFonts w:hint="eastAsia" w:ascii="楷体" w:hAnsi="楷体" w:eastAsia="楷体" w:cs="楷体"/>
          <w:sz w:val="32"/>
          <w:szCs w:val="32"/>
        </w:rPr>
        <w:t>不断优化妇幼健康服务流程，提升服务能能力</w:t>
      </w:r>
    </w:p>
    <w:p w14:paraId="200F402C">
      <w:pPr>
        <w:numPr>
          <w:ilvl w:val="0"/>
          <w:numId w:val="0"/>
        </w:numPr>
        <w:spacing w:line="60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rPr>
        <w:t>一是巩固强化母婴安全制度落实成效。切实维护妇女儿童健康权益，制定《兰州新区母婴安全行动提升计划实施方案》，以预防和减少孕产妇和婴儿死亡为核心，以落实母婴安全保障制度为重点，进一步完善危重孕产妇和新生儿救治体系，提高各级医疗机构妇幼健康服务能力，提升妇幼健康服务水平。进一步做好重大妇幼项目，降低出生缺陷发生风险，提高出生人口素质，切实提高妇女儿童健康水平。二是加强督导培训。每季度举办妇幼健康工作例会暨妇幼健康工作培训会，对妇幼健康工作进行总结，就母婴安全保障工作、0-6岁儿童眼保健工作、妇幼健康信息管理及妇幼重大项目工作进行培训，安排下一步重点工作。全面加强妇幼保健服务能力建设，促进妇幼健康服务工作有序开展，对新区7家基层医疗机构及2家助产机构的妇幼保健工作进行现场督导和培训，逐一下发督导意见，规范妇幼健康服务项目管理，提高孕产妇和儿童健康管理服务水平。邀请国家名中医郭晓颖主任团队在西岔中心卫生院开展儿童健康服务能力提升培训，共预约服务20余名6月至6岁之间儿童，参与培训医务人员50余名，示教过程作为系统内培训教材推广应用。邀请甘肃省妇产科首席专家、省妇幼妇产科何晓春主任、兰州大学第二医院妇产科吕银凤主任、省人民医院产科孙晓彤主任、儿科赛依帕主任组成专家评审组，对新生儿死亡及孕产妇危重症病例进行了评审。8月31日-9月1日邀请省妇幼保健院儿保科郭金仙主任、产科刘小晖主任、保健部黄奎奎和赵亚学主任，采取现场查看资料、个案追踪、访谈等形式，对孕产妇和儿童保健管理关键环节、高危人群管理工作、妇幼重大项目管理及实施、项目信息管理等进行现场检查和督导。9月8日-9日，兰州新区举办2023年兰州新区新生儿复苏项目培训暨县级师资认证班，此次培训班邀请了省内顶尖专家学者。兰大一院儿科主任李宇宁、兰大二院儿童医院副院长徐丁、甘肃省新生儿重症监护质控中心主任石静云、省人民医院新生儿科主任赛依帕、市妇幼保健院新生儿科主任周立、兰大一院新生儿科主任杨学梅、兰大二院新生儿科主任王凡分别进行授课。培训后开展了现场实操考核，市妇幼保健院新生儿科主任周立与省妇幼保健院新生儿科主任石静云对学员操作进行考核打分并做现场点评。三是全力以赴实施好“两癌”免费检查”为民办实事工作。加强与妇联、财政、党群等部门的沟通协调，多措并行，精准施策，压实责任，统筹推进。联合新区妇联、财政、党群等部门联合制定了《兰州新区2023年城乡妇女“两癌”免费检查工作实施方案》。在省妇联规定检查项目基础上，免费增加妇科超声检查项目，对妇女常见病、卵巢癌、子宫肌瘤、子宫内膜癌等疾病进行了有效筛查，新区财政在落实新区配套资金的基础上，检查资金由新区财政按照50元/人的标准全额配套。完善随访登记制度，保证资料的完整性，确保“两癌”检查数据真实无误。区2018年以来累计完成两癌筛查23441人（根据新区档案系统推算新区现有33-64岁妇女符合两癌筛查条件22486人），其中2018-2020年完成筛查18011人，2021年完成筛查1142人，2022年完成筛查1749人，2023年完成筛查2539人，每年均超额完成任务。截止2023年11月30日，今年共发现癌前病变5例，确诊宫颈癌5例。对“两癌”妇女进行了健康回访、用药指导，形成闭环管理。工作成效获2022年省政府督查组充分肯定，经验做法被甘肃电视台宣传报道。今年再次顺利完成省政府为民办实事督查组检查验收，并获督查组充分肯定和表扬。</w:t>
      </w:r>
    </w:p>
    <w:p w14:paraId="5EEA4ABA">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三、项目绩效自评开展情况</w:t>
      </w:r>
    </w:p>
    <w:p w14:paraId="243B0BAB">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2023年兰州新区</w:t>
      </w:r>
      <w:r>
        <w:rPr>
          <w:rFonts w:hint="eastAsia" w:ascii="仿宋_GB2312" w:hAnsi="仿宋_GB2312" w:eastAsia="仿宋_GB2312" w:cs="仿宋_GB2312"/>
          <w:sz w:val="32"/>
          <w:szCs w:val="32"/>
        </w:rPr>
        <w:t>基本公共卫生服务项目</w:t>
      </w:r>
      <w:r>
        <w:rPr>
          <w:rFonts w:hint="eastAsia" w:ascii="仿宋_GB2312" w:hAnsi="仿宋_GB2312" w:eastAsia="仿宋_GB2312" w:cs="仿宋_GB2312"/>
          <w:sz w:val="32"/>
          <w:szCs w:val="32"/>
          <w:lang w:eastAsia="zh-CN"/>
        </w:rPr>
        <w:t>绩效自评采取邀请省级专家组通过现场查阅资料、电话访谈等形式，对新区</w:t>
      </w:r>
      <w:r>
        <w:rPr>
          <w:rFonts w:hint="eastAsia" w:ascii="仿宋_GB2312" w:hAnsi="仿宋_GB2312" w:eastAsia="仿宋_GB2312" w:cs="仿宋_GB2312"/>
          <w:sz w:val="32"/>
          <w:szCs w:val="32"/>
          <w:lang w:val="en-US" w:eastAsia="zh-CN"/>
        </w:rPr>
        <w:t>7家基层医疗机构</w:t>
      </w:r>
      <w:r>
        <w:rPr>
          <w:rFonts w:hint="eastAsia" w:ascii="仿宋_GB2312" w:hAnsi="仿宋_GB2312" w:eastAsia="仿宋_GB2312" w:cs="仿宋_GB2312"/>
          <w:sz w:val="32"/>
          <w:szCs w:val="32"/>
          <w:lang w:eastAsia="zh-CN"/>
        </w:rPr>
        <w:t>项目组织管理、资金管理、项目执行、项目成效进行现场考核。对考核前两名及后两名单位进行奖惩，奖惩资金运用至</w:t>
      </w:r>
      <w:r>
        <w:rPr>
          <w:rFonts w:hint="eastAsia" w:ascii="仿宋_GB2312" w:hAnsi="仿宋_GB2312" w:eastAsia="仿宋_GB2312" w:cs="仿宋_GB2312"/>
          <w:sz w:val="32"/>
          <w:szCs w:val="32"/>
          <w:lang w:val="en-US" w:eastAsia="zh-CN"/>
        </w:rPr>
        <w:t>2024年度资金拨付中。</w:t>
      </w:r>
    </w:p>
    <w:p w14:paraId="0F068059">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四、绩效目标完成情况分析</w:t>
      </w:r>
    </w:p>
    <w:p w14:paraId="129D49F9">
      <w:pPr>
        <w:spacing w:line="600" w:lineRule="exact"/>
        <w:ind w:firstLine="640" w:firstLineChars="200"/>
        <w:rPr>
          <w:rFonts w:ascii="楷体_GB2312" w:hAnsi="黑体" w:eastAsia="楷体_GB2312" w:cs="黑体"/>
          <w:sz w:val="32"/>
          <w:szCs w:val="32"/>
        </w:rPr>
      </w:pPr>
      <w:r>
        <w:rPr>
          <w:rFonts w:hint="eastAsia" w:ascii="楷体_GB2312" w:hAnsi="黑体" w:eastAsia="楷体_GB2312" w:cs="黑体"/>
          <w:sz w:val="32"/>
          <w:szCs w:val="32"/>
        </w:rPr>
        <w:t>（一）产出指标完成情况分析。</w:t>
      </w:r>
    </w:p>
    <w:p w14:paraId="3AD9C78F">
      <w:pPr>
        <w:spacing w:line="600" w:lineRule="exact"/>
        <w:jc w:val="left"/>
        <w:rPr>
          <w:rFonts w:ascii="仿宋_GB2312" w:hAnsi="仿宋_GB2312" w:eastAsia="仿宋_GB2312" w:cs="仿宋_GB2312"/>
          <w:color w:val="171717" w:themeColor="background2" w:themeShade="1A"/>
          <w:sz w:val="32"/>
          <w:szCs w:val="32"/>
        </w:rPr>
      </w:pPr>
      <w:r>
        <w:rPr>
          <w:rFonts w:hint="eastAsia" w:ascii="仿宋_GB2312" w:hAnsi="仿宋_GB2312" w:eastAsia="仿宋_GB2312" w:cs="仿宋_GB2312"/>
          <w:bCs/>
          <w:sz w:val="32"/>
          <w:szCs w:val="32"/>
        </w:rPr>
        <w:t>（1）居民健康档案管理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截止年底，建立居民健康档案</w:t>
      </w:r>
      <w:r>
        <w:rPr>
          <w:rFonts w:hint="eastAsia" w:ascii="仿宋_GB2312" w:hAnsi="仿宋_GB2312" w:eastAsia="仿宋_GB2312" w:cs="仿宋_GB2312"/>
          <w:color w:val="000000"/>
          <w:sz w:val="32"/>
          <w:szCs w:val="32"/>
          <w:lang w:val="en-US" w:eastAsia="zh-CN"/>
        </w:rPr>
        <w:t>279221</w:t>
      </w:r>
      <w:r>
        <w:rPr>
          <w:rFonts w:hint="eastAsia" w:ascii="仿宋_GB2312" w:hAnsi="仿宋_GB2312" w:eastAsia="仿宋_GB2312" w:cs="仿宋_GB2312"/>
          <w:sz w:val="32"/>
          <w:szCs w:val="32"/>
        </w:rPr>
        <w:t>份，其中高血压管理档案</w:t>
      </w:r>
    </w:p>
    <w:p w14:paraId="2FEA8D60">
      <w:pPr>
        <w:spacing w:line="600" w:lineRule="exact"/>
        <w:jc w:val="left"/>
        <w:rPr>
          <w:rFonts w:ascii="仿宋_GB2312" w:hAnsi="仿宋_GB2312" w:eastAsia="仿宋_GB2312" w:cs="仿宋_GB2312"/>
          <w:color w:val="171717" w:themeColor="background2" w:themeShade="1A"/>
          <w:sz w:val="32"/>
          <w:szCs w:val="32"/>
        </w:rPr>
      </w:pPr>
      <w:r>
        <w:rPr>
          <w:rFonts w:hint="eastAsia" w:ascii="仿宋_GB2312" w:hAnsi="仿宋_GB2312" w:eastAsia="仿宋_GB2312" w:cs="仿宋_GB2312"/>
          <w:color w:val="000000"/>
          <w:sz w:val="32"/>
          <w:szCs w:val="32"/>
          <w:lang w:val="en-US" w:eastAsia="zh-CN"/>
        </w:rPr>
        <w:t>22603</w:t>
      </w:r>
      <w:r>
        <w:rPr>
          <w:rFonts w:hint="eastAsia" w:ascii="仿宋_GB2312" w:hAnsi="仿宋_GB2312" w:eastAsia="仿宋_GB2312" w:cs="仿宋_GB2312"/>
          <w:sz w:val="32"/>
          <w:szCs w:val="32"/>
        </w:rPr>
        <w:t>份，</w:t>
      </w:r>
      <w:r>
        <w:rPr>
          <w:rFonts w:hint="eastAsia" w:ascii="仿宋_GB2312" w:hAnsi="仿宋_GB2312" w:eastAsia="仿宋_GB2312" w:cs="仿宋_GB2312"/>
          <w:color w:val="171717" w:themeColor="background2" w:themeShade="1A"/>
          <w:sz w:val="32"/>
          <w:szCs w:val="32"/>
        </w:rPr>
        <w:t>糖尿病管理档案</w:t>
      </w:r>
      <w:r>
        <w:rPr>
          <w:rFonts w:hint="eastAsia" w:ascii="仿宋_GB2312" w:hAnsi="仿宋_GB2312" w:eastAsia="仿宋_GB2312" w:cs="仿宋_GB2312"/>
          <w:color w:val="000000"/>
          <w:sz w:val="32"/>
          <w:szCs w:val="32"/>
          <w:lang w:val="en-US" w:eastAsia="zh-CN"/>
        </w:rPr>
        <w:t>5045</w:t>
      </w:r>
      <w:r>
        <w:rPr>
          <w:rFonts w:hint="eastAsia" w:ascii="仿宋_GB2312" w:hAnsi="仿宋_GB2312" w:eastAsia="仿宋_GB2312" w:cs="仿宋_GB2312"/>
          <w:color w:val="171717" w:themeColor="background2" w:themeShade="1A"/>
          <w:sz w:val="32"/>
          <w:szCs w:val="32"/>
        </w:rPr>
        <w:t>份， 0-6岁</w:t>
      </w:r>
      <w:r>
        <w:rPr>
          <w:rFonts w:hint="eastAsia" w:ascii="仿宋_GB2312" w:hAnsi="仿宋_GB2312" w:eastAsia="仿宋_GB2312" w:cs="仿宋_GB2312"/>
          <w:sz w:val="32"/>
          <w:szCs w:val="32"/>
        </w:rPr>
        <w:t>儿童健康管理档案</w:t>
      </w:r>
      <w:r>
        <w:rPr>
          <w:rFonts w:hint="eastAsia" w:ascii="仿宋_GB2312" w:hAnsi="仿宋_GB2312" w:eastAsia="仿宋_GB2312" w:cs="仿宋_GB2312"/>
          <w:sz w:val="32"/>
          <w:szCs w:val="32"/>
          <w:lang w:val="en-US" w:eastAsia="zh-CN"/>
        </w:rPr>
        <w:t>17126</w:t>
      </w:r>
      <w:r>
        <w:rPr>
          <w:rFonts w:hint="eastAsia" w:ascii="仿宋_GB2312" w:hAnsi="仿宋_GB2312" w:eastAsia="仿宋_GB2312" w:cs="仿宋_GB2312"/>
          <w:sz w:val="32"/>
          <w:szCs w:val="32"/>
        </w:rPr>
        <w:t>份，孕产妇管理档案</w:t>
      </w:r>
      <w:r>
        <w:rPr>
          <w:rFonts w:hint="eastAsia" w:ascii="仿宋_GB2312" w:hAnsi="仿宋_GB2312" w:eastAsia="仿宋_GB2312" w:cs="仿宋_GB2312"/>
          <w:sz w:val="32"/>
          <w:szCs w:val="32"/>
          <w:lang w:val="en-US" w:eastAsia="zh-CN"/>
        </w:rPr>
        <w:t>2133</w:t>
      </w:r>
      <w:r>
        <w:rPr>
          <w:rFonts w:hint="eastAsia" w:ascii="仿宋_GB2312" w:hAnsi="仿宋_GB2312" w:eastAsia="仿宋_GB2312" w:cs="仿宋_GB2312"/>
          <w:sz w:val="32"/>
          <w:szCs w:val="32"/>
        </w:rPr>
        <w:t>份，严重精神障碍患者健康档案</w:t>
      </w:r>
      <w:r>
        <w:rPr>
          <w:rFonts w:hint="eastAsia" w:ascii="仿宋_GB2312" w:hAnsi="仿宋_GB2312" w:eastAsia="仿宋_GB2312" w:cs="仿宋_GB2312"/>
          <w:sz w:val="32"/>
          <w:szCs w:val="32"/>
          <w:lang w:val="en-US" w:eastAsia="zh-CN"/>
        </w:rPr>
        <w:t>1032</w:t>
      </w:r>
      <w:r>
        <w:rPr>
          <w:rFonts w:hint="eastAsia" w:ascii="仿宋_GB2312" w:hAnsi="仿宋_GB2312" w:eastAsia="仿宋_GB2312" w:cs="仿宋_GB2312"/>
          <w:sz w:val="32"/>
          <w:szCs w:val="32"/>
        </w:rPr>
        <w:t>份，老年人健康管理档案</w:t>
      </w:r>
      <w:r>
        <w:rPr>
          <w:rFonts w:hint="eastAsia" w:ascii="仿宋_GB2312" w:hAnsi="仿宋_GB2312" w:eastAsia="仿宋_GB2312" w:cs="仿宋_GB2312"/>
          <w:sz w:val="32"/>
          <w:szCs w:val="32"/>
          <w:lang w:val="en-US" w:eastAsia="zh-CN"/>
        </w:rPr>
        <w:t>20896</w:t>
      </w:r>
      <w:r>
        <w:rPr>
          <w:rFonts w:hint="eastAsia" w:ascii="仿宋_GB2312" w:hAnsi="仿宋_GB2312" w:eastAsia="仿宋_GB2312" w:cs="仿宋_GB2312"/>
          <w:sz w:val="32"/>
          <w:szCs w:val="32"/>
        </w:rPr>
        <w:t>份，体检</w:t>
      </w:r>
      <w:r>
        <w:rPr>
          <w:rFonts w:hint="eastAsia" w:ascii="仿宋_GB2312" w:hAnsi="仿宋_GB2312" w:eastAsia="仿宋_GB2312" w:cs="仿宋_GB2312"/>
          <w:sz w:val="32"/>
          <w:szCs w:val="32"/>
          <w:lang w:val="en-US" w:eastAsia="zh-CN"/>
        </w:rPr>
        <w:t>18561</w:t>
      </w:r>
      <w:r>
        <w:rPr>
          <w:rFonts w:hint="eastAsia" w:ascii="仿宋_GB2312" w:hAnsi="仿宋_GB2312" w:eastAsia="仿宋_GB2312" w:cs="仿宋_GB2312"/>
          <w:sz w:val="32"/>
          <w:szCs w:val="32"/>
        </w:rPr>
        <w:t>人次。</w:t>
      </w:r>
    </w:p>
    <w:p w14:paraId="32FB66EE">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（2）健康教育</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认真贯彻落实上级部门的各项健康教育项目工作。采取了发放宣传材料、开展健康宣教、设置宣传栏等各种宣传方式，针对重点人群、重点疾病和主要卫生问题和危险因素开展健康教育和健康促进活动。</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年共举办健康教育知识讲座</w:t>
      </w:r>
      <w:r>
        <w:rPr>
          <w:rFonts w:hint="eastAsia" w:ascii="仿宋_GB2312" w:hAnsi="仿宋_GB2312" w:eastAsia="仿宋_GB2312" w:cs="仿宋_GB2312"/>
          <w:color w:val="000000" w:themeColor="text1"/>
          <w:sz w:val="32"/>
          <w:szCs w:val="32"/>
          <w:lang w:val="en-US" w:eastAsia="zh-CN"/>
        </w:rPr>
        <w:t>241</w:t>
      </w:r>
      <w:r>
        <w:rPr>
          <w:rFonts w:hint="eastAsia" w:ascii="仿宋_GB2312" w:hAnsi="仿宋_GB2312" w:eastAsia="仿宋_GB2312" w:cs="仿宋_GB2312"/>
          <w:color w:val="000000" w:themeColor="text1"/>
          <w:sz w:val="32"/>
          <w:szCs w:val="32"/>
        </w:rPr>
        <w:t>次、健康咨询活动</w:t>
      </w:r>
      <w:r>
        <w:rPr>
          <w:rFonts w:hint="eastAsia" w:ascii="仿宋_GB2312" w:hAnsi="仿宋_GB2312" w:eastAsia="仿宋_GB2312" w:cs="仿宋_GB2312"/>
          <w:color w:val="000000" w:themeColor="text1"/>
          <w:sz w:val="32"/>
          <w:szCs w:val="32"/>
          <w:lang w:val="en-US" w:eastAsia="zh-CN"/>
        </w:rPr>
        <w:t>151</w:t>
      </w:r>
      <w:r>
        <w:rPr>
          <w:rFonts w:hint="eastAsia" w:ascii="仿宋_GB2312" w:hAnsi="仿宋_GB2312" w:eastAsia="仿宋_GB2312" w:cs="仿宋_GB2312"/>
          <w:color w:val="000000" w:themeColor="text1"/>
          <w:sz w:val="32"/>
          <w:szCs w:val="32"/>
        </w:rPr>
        <w:t>次，发放各类宣传材料</w:t>
      </w:r>
      <w:r>
        <w:rPr>
          <w:rFonts w:hint="eastAsia" w:ascii="仿宋_GB2312" w:hAnsi="仿宋_GB2312" w:eastAsia="仿宋_GB2312" w:cs="仿宋_GB2312"/>
          <w:color w:val="000000" w:themeColor="text1"/>
          <w:sz w:val="32"/>
          <w:szCs w:val="32"/>
          <w:lang w:val="en-US" w:eastAsia="zh-CN"/>
        </w:rPr>
        <w:t>265547</w:t>
      </w:r>
      <w:r>
        <w:rPr>
          <w:rFonts w:hint="eastAsia" w:ascii="仿宋_GB2312" w:hAnsi="仿宋_GB2312" w:eastAsia="仿宋_GB2312" w:cs="仿宋_GB2312"/>
          <w:color w:val="000000" w:themeColor="text1"/>
          <w:sz w:val="32"/>
          <w:szCs w:val="32"/>
        </w:rPr>
        <w:t>余份，更换宣传栏内容</w:t>
      </w:r>
      <w:r>
        <w:rPr>
          <w:rFonts w:hint="eastAsia" w:ascii="仿宋_GB2312" w:hAnsi="仿宋_GB2312" w:eastAsia="仿宋_GB2312" w:cs="仿宋_GB2312"/>
          <w:color w:val="000000" w:themeColor="text1"/>
          <w:sz w:val="32"/>
          <w:szCs w:val="32"/>
          <w:lang w:val="en-US" w:eastAsia="zh-CN"/>
        </w:rPr>
        <w:t>101</w:t>
      </w:r>
      <w:r>
        <w:rPr>
          <w:rFonts w:hint="eastAsia" w:ascii="仿宋_GB2312" w:hAnsi="仿宋_GB2312" w:eastAsia="仿宋_GB2312" w:cs="仿宋_GB2312"/>
          <w:color w:val="000000" w:themeColor="text1"/>
          <w:sz w:val="32"/>
          <w:szCs w:val="32"/>
        </w:rPr>
        <w:t>期次</w:t>
      </w:r>
      <w:r>
        <w:rPr>
          <w:rFonts w:hint="eastAsia" w:ascii="仿宋_GB2312" w:hAnsi="仿宋_GB2312" w:eastAsia="仿宋_GB2312" w:cs="仿宋_GB2312"/>
          <w:sz w:val="32"/>
          <w:szCs w:val="32"/>
        </w:rPr>
        <w:t xml:space="preserve">。通过各种媒介加大宣传力度，让居民通过多种途径接收健康知识信息。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（3）儿童健康管理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加强对辖区内0-6岁儿童管理工作，目前我辖区共有0-6岁儿</w:t>
      </w:r>
    </w:p>
    <w:p w14:paraId="64826293">
      <w:pPr>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童</w:t>
      </w:r>
      <w:r>
        <w:rPr>
          <w:rFonts w:hint="eastAsia" w:ascii="仿宋_GB2312" w:hAnsi="仿宋_GB2312" w:eastAsia="仿宋_GB2312" w:cs="仿宋_GB2312"/>
          <w:sz w:val="32"/>
          <w:szCs w:val="32"/>
          <w:lang w:val="en-US" w:eastAsia="zh-CN"/>
        </w:rPr>
        <w:t>17126</w:t>
      </w:r>
      <w:r>
        <w:rPr>
          <w:rFonts w:hint="eastAsia" w:ascii="仿宋_GB2312" w:hAnsi="仿宋_GB2312" w:eastAsia="仿宋_GB2312" w:cs="仿宋_GB2312"/>
          <w:sz w:val="32"/>
          <w:szCs w:val="32"/>
        </w:rPr>
        <w:t>人；对0-3岁儿童，利用儿童接种日在辖区对目标儿童进行规范体检，采取先体检后接种措施；与各幼儿园联系，对辖区所有幼儿园3-6岁儿童进行了免费体检。</w:t>
      </w:r>
    </w:p>
    <w:p w14:paraId="242D1E71">
      <w:pPr>
        <w:spacing w:line="600"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（4）孕产妇健康管理</w:t>
      </w:r>
    </w:p>
    <w:p w14:paraId="3AB60C7C">
      <w:pPr>
        <w:spacing w:line="600" w:lineRule="exact"/>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sz w:val="32"/>
          <w:szCs w:val="32"/>
        </w:rPr>
        <w:t>努力提高孕产妇管理工作，对辖区内孕产妇全部建立了母子保健服务手册，加大了宣传国家降消项目住院分娩好处以及多项免费检查政策，</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年共登记管理孕产妇</w:t>
      </w:r>
      <w:r>
        <w:rPr>
          <w:rFonts w:hint="eastAsia" w:ascii="仿宋_GB2312" w:hAnsi="仿宋_GB2312" w:eastAsia="仿宋_GB2312" w:cs="仿宋_GB2312"/>
          <w:color w:val="000000" w:themeColor="text1"/>
          <w:sz w:val="32"/>
          <w:szCs w:val="32"/>
          <w:lang w:val="en-US" w:eastAsia="zh-CN"/>
        </w:rPr>
        <w:t>2133</w:t>
      </w:r>
      <w:r>
        <w:rPr>
          <w:rFonts w:hint="eastAsia" w:ascii="仿宋_GB2312" w:hAnsi="仿宋_GB2312" w:eastAsia="仿宋_GB2312" w:cs="仿宋_GB2312"/>
          <w:color w:val="000000" w:themeColor="text1"/>
          <w:sz w:val="32"/>
          <w:szCs w:val="32"/>
        </w:rPr>
        <w:t>人，产后访视</w:t>
      </w:r>
      <w:r>
        <w:rPr>
          <w:rFonts w:hint="eastAsia" w:ascii="仿宋_GB2312" w:hAnsi="仿宋_GB2312" w:eastAsia="仿宋_GB2312" w:cs="仿宋_GB2312"/>
          <w:sz w:val="32"/>
          <w:szCs w:val="32"/>
          <w:lang w:val="en-US" w:eastAsia="zh-CN"/>
        </w:rPr>
        <w:t>2135</w:t>
      </w:r>
      <w:r>
        <w:rPr>
          <w:rFonts w:hint="eastAsia" w:ascii="仿宋_GB2312" w:hAnsi="仿宋_GB2312" w:eastAsia="仿宋_GB2312" w:cs="仿宋_GB2312"/>
          <w:color w:val="000000" w:themeColor="text1"/>
          <w:sz w:val="32"/>
          <w:szCs w:val="32"/>
        </w:rPr>
        <w:t>人。</w:t>
      </w:r>
    </w:p>
    <w:p w14:paraId="762C77C4">
      <w:pPr>
        <w:spacing w:line="600" w:lineRule="exact"/>
        <w:ind w:left="320" w:leftChars="100"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rPr>
        <w:t>（5）老年人健康管理</w:t>
      </w:r>
    </w:p>
    <w:p w14:paraId="22D1275F">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辖区65岁以上老年人建档</w:t>
      </w:r>
      <w:r>
        <w:rPr>
          <w:rFonts w:hint="eastAsia" w:ascii="仿宋_GB2312" w:hAnsi="仿宋_GB2312" w:eastAsia="仿宋_GB2312" w:cs="仿宋_GB2312"/>
          <w:sz w:val="32"/>
          <w:szCs w:val="32"/>
          <w:lang w:val="en-US" w:eastAsia="zh-CN"/>
        </w:rPr>
        <w:t>20896</w:t>
      </w:r>
      <w:r>
        <w:rPr>
          <w:rFonts w:hint="eastAsia" w:ascii="仿宋_GB2312" w:hAnsi="仿宋_GB2312" w:eastAsia="仿宋_GB2312" w:cs="仿宋_GB2312"/>
          <w:sz w:val="32"/>
          <w:szCs w:val="32"/>
        </w:rPr>
        <w:t>名，截止年底已体检</w:t>
      </w:r>
      <w:r>
        <w:rPr>
          <w:rFonts w:hint="eastAsia" w:ascii="仿宋_GB2312" w:hAnsi="仿宋_GB2312" w:eastAsia="仿宋_GB2312" w:cs="仿宋_GB2312"/>
          <w:color w:val="000000" w:themeColor="text1"/>
          <w:sz w:val="32"/>
          <w:szCs w:val="32"/>
          <w:lang w:val="en-US" w:eastAsia="zh-CN"/>
        </w:rPr>
        <w:t>18561</w:t>
      </w:r>
      <w:r>
        <w:rPr>
          <w:rFonts w:hint="eastAsia" w:ascii="仿宋_GB2312" w:hAnsi="仿宋_GB2312" w:eastAsia="仿宋_GB2312" w:cs="仿宋_GB2312"/>
          <w:sz w:val="32"/>
          <w:szCs w:val="32"/>
        </w:rPr>
        <w:t>人，同时建立花名册。采取了电话预约、门诊随访等方式相结合的义诊体检及健康指导，深受社区居民的欢迎。</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（6）慢性病管理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利用档案复核升级各村对辖区内35岁以上人群进行了血压和血糖筛查，其中：高血压</w:t>
      </w:r>
      <w:r>
        <w:rPr>
          <w:rFonts w:hint="eastAsia" w:ascii="仿宋_GB2312" w:hAnsi="仿宋_GB2312" w:eastAsia="仿宋_GB2312" w:cs="仿宋_GB2312"/>
          <w:sz w:val="32"/>
          <w:szCs w:val="32"/>
          <w:lang w:val="en-US" w:eastAsia="zh-CN"/>
        </w:rPr>
        <w:t>22603</w:t>
      </w:r>
      <w:r>
        <w:rPr>
          <w:rFonts w:hint="eastAsia" w:ascii="仿宋_GB2312" w:hAnsi="仿宋_GB2312" w:eastAsia="仿宋_GB2312" w:cs="仿宋_GB2312"/>
          <w:sz w:val="32"/>
          <w:szCs w:val="32"/>
        </w:rPr>
        <w:t>人，糖尿病</w:t>
      </w:r>
      <w:r>
        <w:rPr>
          <w:rFonts w:hint="eastAsia" w:ascii="仿宋_GB2312" w:hAnsi="仿宋_GB2312" w:eastAsia="仿宋_GB2312" w:cs="仿宋_GB2312"/>
          <w:sz w:val="32"/>
          <w:szCs w:val="32"/>
          <w:lang w:val="en-US" w:eastAsia="zh-CN"/>
        </w:rPr>
        <w:t>5045</w:t>
      </w:r>
      <w:r>
        <w:rPr>
          <w:rFonts w:hint="eastAsia" w:ascii="仿宋_GB2312" w:hAnsi="仿宋_GB2312" w:eastAsia="仿宋_GB2312" w:cs="仿宋_GB2312"/>
          <w:sz w:val="32"/>
          <w:szCs w:val="32"/>
        </w:rPr>
        <w:t>人，全部纳入慢性病管理，并将随访记录归档。</w:t>
      </w:r>
    </w:p>
    <w:p w14:paraId="0CE72EA6">
      <w:pPr>
        <w:spacing w:line="600" w:lineRule="exact"/>
        <w:ind w:left="320" w:leftChars="100"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rPr>
        <w:t>（7）严重精神障碍患者管理</w:t>
      </w:r>
    </w:p>
    <w:p w14:paraId="7A4F6ADF">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年底发现</w:t>
      </w:r>
      <w:r>
        <w:rPr>
          <w:rFonts w:hint="eastAsia" w:ascii="仿宋_GB2312" w:hAnsi="仿宋_GB2312" w:eastAsia="仿宋_GB2312" w:cs="仿宋_GB2312"/>
          <w:bCs/>
          <w:sz w:val="32"/>
          <w:szCs w:val="32"/>
        </w:rPr>
        <w:t>严重精神障碍患者</w:t>
      </w:r>
      <w:r>
        <w:rPr>
          <w:rFonts w:hint="eastAsia" w:ascii="仿宋_GB2312" w:hAnsi="仿宋_GB2312" w:eastAsia="仿宋_GB2312" w:cs="仿宋_GB2312"/>
          <w:sz w:val="32"/>
          <w:szCs w:val="32"/>
          <w:lang w:val="en-US" w:eastAsia="zh-CN"/>
        </w:rPr>
        <w:t>1032</w:t>
      </w:r>
      <w:r>
        <w:rPr>
          <w:rFonts w:hint="eastAsia" w:ascii="仿宋_GB2312" w:hAnsi="仿宋_GB2312" w:eastAsia="仿宋_GB2312" w:cs="仿宋_GB2312"/>
          <w:sz w:val="32"/>
          <w:szCs w:val="32"/>
        </w:rPr>
        <w:t>人，规范管理</w:t>
      </w:r>
      <w:r>
        <w:rPr>
          <w:rFonts w:hint="eastAsia" w:ascii="仿宋_GB2312" w:hAnsi="仿宋_GB2312" w:eastAsia="仿宋_GB2312" w:cs="仿宋_GB2312"/>
          <w:sz w:val="32"/>
          <w:szCs w:val="32"/>
          <w:lang w:val="en-US" w:eastAsia="zh-CN"/>
        </w:rPr>
        <w:t>1006</w:t>
      </w:r>
      <w:r>
        <w:rPr>
          <w:rFonts w:hint="eastAsia" w:ascii="仿宋_GB2312" w:hAnsi="仿宋_GB2312" w:eastAsia="仿宋_GB2312" w:cs="仿宋_GB2312"/>
          <w:sz w:val="32"/>
          <w:szCs w:val="32"/>
        </w:rPr>
        <w:t>人。</w:t>
      </w:r>
    </w:p>
    <w:p w14:paraId="79036707">
      <w:pPr>
        <w:spacing w:line="600" w:lineRule="exact"/>
        <w:ind w:left="320" w:leftChars="100"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rPr>
        <w:t>（8）肺结核患者管理</w:t>
      </w:r>
    </w:p>
    <w:p w14:paraId="398F809E">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各基层医疗机构公卫科会同村医对辖区结核病患者实施规范管理，按时进行服药督导，对新发现的结核病人及时上报，全年共确诊肺结核</w:t>
      </w: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例，已结案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人。</w:t>
      </w:r>
    </w:p>
    <w:p w14:paraId="131EB172">
      <w:pPr>
        <w:spacing w:line="600" w:lineRule="exact"/>
        <w:ind w:left="320" w:leftChars="100" w:firstLine="320" w:firstLineChars="1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（9）传染病及突发公共卫生事件报告和处理</w:t>
      </w:r>
    </w:p>
    <w:p w14:paraId="52EFEC98">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各基层医疗机构公卫科和各村卫生室认真贯彻执行《传染病防治法》、《突发公共卫生事件紧急条例》，对中心医务人员定期进行了传染病防治知识培训。拟定了《突发公共卫生》《传染病管理制度》、《门诊预检分诊制度》，设定专人负责传染病网络直报，坚持门诊登记和疫情自查制度，每月自查一次并进行疫情分析，无漏报、迟报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（10）卫生监督协管</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 xml:space="preserve">    按照新区卫生监督工作要求，对辖区公共场所进行巡查，对查处的无健康证和卫生许可证单位，督促其及时整改，较好的完成了卫生监督协管任务。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（11）中医药服务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全面按照中医药服务规范要求，落实基层医疗卫生机构对老年人中医体质辨识和儿童保健中医指导等健康管理服务，使中医药健康管理服务目标人群覆盖率达到70%以上。</w:t>
      </w:r>
    </w:p>
    <w:p w14:paraId="4E7A583F">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（二）效益指标完成情况分析</w:t>
      </w:r>
    </w:p>
    <w:p w14:paraId="2255E5EA">
      <w:pPr>
        <w:spacing w:line="600" w:lineRule="exact"/>
        <w:ind w:firstLine="640" w:firstLineChars="200"/>
        <w:rPr>
          <w:rFonts w:ascii="仿宋_GB2312" w:hAnsi="楷体" w:eastAsia="仿宋_GB2312" w:cs="楷体"/>
          <w:sz w:val="32"/>
          <w:szCs w:val="32"/>
        </w:rPr>
      </w:pPr>
      <w:r>
        <w:rPr>
          <w:rFonts w:hint="eastAsia" w:ascii="仿宋_GB2312" w:hAnsi="仿宋_GB2312" w:eastAsia="仿宋_GB2312" w:cs="仿宋_GB2312"/>
          <w:sz w:val="32"/>
          <w:szCs w:val="32"/>
        </w:rPr>
        <w:t>基本公共卫生服务能力得到提升，基本公共卫生服务项目得到较好落实，老百姓获得感不断增强，群众满意度不断提高。人民群众健康意识进一步得到增强，使人人享受到基本公共卫生服务带来的健康实惠，村卫生室人员的收入在稳步提升。同时提高乡村医生的技术水平和整体素质，增强村卫生室服务功能，提高村医收入，稳定村医队伍，努力满足广大人民群众基本医疗服务需要，确保广大农民享受安全、有效、方便、价廉的公共卫生和基本医疗服务</w:t>
      </w:r>
      <w:r>
        <w:rPr>
          <w:rFonts w:hint="eastAsia" w:ascii="仿宋_GB2312" w:eastAsia="仿宋_GB2312"/>
          <w:sz w:val="32"/>
          <w:szCs w:val="32"/>
        </w:rPr>
        <w:t>。</w:t>
      </w:r>
    </w:p>
    <w:p w14:paraId="5635726B">
      <w:pPr>
        <w:spacing w:line="60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（三）满意度指标完成情况分析</w:t>
      </w:r>
    </w:p>
    <w:p w14:paraId="5C74C83D">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通过细致的业务指导、定期的绩效考核以及足额、及时下拨项目补助资金，提高基层医务人员的基本公共卫生服务水平和整体素质，有效提升了群众的满意度。</w:t>
      </w:r>
    </w:p>
    <w:p w14:paraId="3E750549">
      <w:pPr>
        <w:spacing w:line="600" w:lineRule="exact"/>
        <w:ind w:firstLine="640" w:firstLineChars="200"/>
        <w:rPr>
          <w:rFonts w:ascii="仿宋_GB2312" w:eastAsia="仿宋_GB2312"/>
          <w:sz w:val="32"/>
          <w:szCs w:val="32"/>
        </w:rPr>
      </w:pPr>
      <w:r>
        <w:rPr>
          <w:rFonts w:hint="eastAsia" w:ascii="黑体" w:hAnsi="黑体" w:eastAsia="黑体" w:cs="黑体"/>
          <w:sz w:val="32"/>
          <w:szCs w:val="32"/>
        </w:rPr>
        <w:t>五、结论</w:t>
      </w:r>
    </w:p>
    <w:p w14:paraId="730A5BA2">
      <w:pPr>
        <w:spacing w:line="600" w:lineRule="exact"/>
        <w:ind w:firstLine="640" w:firstLineChars="200"/>
        <w:rPr>
          <w:rFonts w:hint="eastAsia"/>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年新区下拨国家基本公共卫生服务项目（12项）资金</w:t>
      </w:r>
      <w:r>
        <w:rPr>
          <w:rFonts w:hint="eastAsia" w:ascii="仿宋_GB2312" w:hAnsi="仿宋_GB2312" w:eastAsia="仿宋_GB2312" w:cs="仿宋_GB2312"/>
          <w:sz w:val="32"/>
          <w:szCs w:val="32"/>
          <w:lang w:val="en-US" w:eastAsia="zh-CN"/>
        </w:rPr>
        <w:t>2485.87</w:t>
      </w:r>
      <w:r>
        <w:rPr>
          <w:rFonts w:hint="eastAsia" w:ascii="仿宋_GB2312" w:eastAsia="仿宋_GB2312"/>
          <w:sz w:val="32"/>
          <w:szCs w:val="32"/>
        </w:rPr>
        <w:t>万元至各基层医疗卫生机构。</w:t>
      </w:r>
      <w:r>
        <w:rPr>
          <w:rFonts w:hint="eastAsia" w:ascii="仿宋_GB2312" w:hAnsi="仿宋_GB2312" w:eastAsia="仿宋_GB2312" w:cs="仿宋_GB2312"/>
          <w:sz w:val="32"/>
          <w:szCs w:val="32"/>
        </w:rPr>
        <w:t>完成了202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年度数量指标、质量指标、时效指标，基本公共卫生服务能力得到提升，基本公共卫生服务项目得到较好落实，提升了群众的满意度</w:t>
      </w:r>
      <w:r>
        <w:rPr>
          <w:rFonts w:hint="eastAsia" w:ascii="仿宋_GB2312" w:eastAsia="仿宋_GB2312"/>
          <w:sz w:val="32"/>
          <w:szCs w:val="32"/>
        </w:rPr>
        <w:t>。</w:t>
      </w:r>
    </w:p>
    <w:p w14:paraId="30CE7A53">
      <w:pPr>
        <w:ind w:left="0" w:leftChars="0" w:firstLine="321" w:firstLineChars="100"/>
        <w:outlineLvl w:val="2"/>
        <w:rPr>
          <w:rFonts w:hint="eastAsia"/>
          <w:lang w:val="en-US" w:eastAsia="zh-CN"/>
        </w:rPr>
      </w:pP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二</w:t>
      </w:r>
      <w:r>
        <w:rPr>
          <w:rFonts w:hint="eastAsia" w:ascii="楷体" w:hAnsi="楷体" w:eastAsia="楷体" w:cs="楷体"/>
          <w:b/>
          <w:bCs/>
          <w:szCs w:val="32"/>
          <w:highlight w:val="none"/>
        </w:rPr>
        <w:t>）</w:t>
      </w:r>
      <w:r>
        <w:rPr>
          <w:rFonts w:hint="eastAsia" w:ascii="楷体" w:hAnsi="楷体" w:eastAsia="楷体" w:cs="楷体"/>
          <w:b/>
          <w:bCs/>
          <w:szCs w:val="32"/>
          <w:highlight w:val="none"/>
          <w:lang w:eastAsia="zh-CN"/>
        </w:rPr>
        <w:t>国家基本药物制度补助资金</w:t>
      </w:r>
    </w:p>
    <w:p w14:paraId="366C790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Verdana" w:hAnsi="Verdana" w:eastAsia="宋体" w:cs="宋体"/>
          <w:color w:val="000000" w:themeColor="text1"/>
          <w:kern w:val="0"/>
          <w:szCs w:val="21"/>
        </w:rPr>
      </w:pPr>
      <w:r>
        <w:rPr>
          <w:rFonts w:hint="eastAsia" w:ascii="黑体" w:hAnsi="黑体" w:eastAsia="黑体" w:cs="宋体"/>
          <w:color w:val="000000" w:themeColor="text1"/>
          <w:kern w:val="0"/>
          <w:sz w:val="32"/>
          <w:szCs w:val="32"/>
        </w:rPr>
        <w:t>一、项目基本情况</w:t>
      </w:r>
      <w:r>
        <w:rPr>
          <w:rFonts w:hint="eastAsia" w:ascii="仿宋_GB2312" w:hAnsi="Verdana" w:eastAsia="仿宋_GB2312" w:cs="宋体"/>
          <w:color w:val="000000" w:themeColor="text1"/>
          <w:kern w:val="0"/>
          <w:sz w:val="32"/>
          <w:szCs w:val="32"/>
        </w:rPr>
        <w:t>：</w:t>
      </w:r>
    </w:p>
    <w:p w14:paraId="7EE9E62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Verdana" w:eastAsia="楷体_GB2312" w:cs="宋体"/>
          <w:color w:val="000000" w:themeColor="text1"/>
          <w:kern w:val="0"/>
          <w:sz w:val="32"/>
          <w:szCs w:val="32"/>
          <w:lang w:eastAsia="zh-CN"/>
        </w:rPr>
      </w:pPr>
      <w:r>
        <w:rPr>
          <w:rFonts w:hint="eastAsia" w:ascii="楷体_GB2312" w:hAnsi="Verdana" w:eastAsia="楷体_GB2312" w:cs="宋体"/>
          <w:color w:val="000000" w:themeColor="text1"/>
          <w:kern w:val="0"/>
          <w:sz w:val="32"/>
          <w:szCs w:val="32"/>
        </w:rPr>
        <w:t>（一）</w:t>
      </w:r>
      <w:r>
        <w:rPr>
          <w:rFonts w:hint="eastAsia" w:ascii="楷体_GB2312" w:hAnsi="Verdana" w:eastAsia="楷体_GB2312" w:cs="宋体"/>
          <w:color w:val="000000" w:themeColor="text1"/>
          <w:kern w:val="0"/>
          <w:sz w:val="32"/>
          <w:szCs w:val="32"/>
          <w:lang w:eastAsia="zh-CN"/>
        </w:rPr>
        <w:t>项目立项背景及实施目的</w:t>
      </w:r>
    </w:p>
    <w:p w14:paraId="1D348D3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lang w:eastAsia="zh-CN"/>
        </w:rPr>
      </w:pPr>
      <w:r>
        <w:rPr>
          <w:rFonts w:hint="eastAsia" w:ascii="仿宋_GB2312" w:hAnsi="仿宋_GB2312" w:eastAsia="仿宋_GB2312" w:cs="仿宋_GB2312"/>
          <w:outline w:val="0"/>
          <w:color w:val="auto"/>
          <w:kern w:val="0"/>
          <w:sz w:val="32"/>
          <w:szCs w:val="32"/>
          <w:lang w:val="en-US" w:eastAsia="zh-CN" w:bidi="ar-SA"/>
        </w:rPr>
        <w:t>实施国家基本药物制度，全面提升基本药物制度补助资金的配置效率和使用效益。建立健全基本药物优先使用激励机制，规范基层医疗卫生机构（含村卫生室）国家基本药品配备、使用和管理，保障群众基本用药，减轻患者用药负担。</w:t>
      </w:r>
    </w:p>
    <w:p w14:paraId="0ABE110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Verdana" w:hAnsi="Verdana" w:eastAsia="楷体_GB2312" w:cs="宋体"/>
          <w:color w:val="000000" w:themeColor="text1"/>
          <w:kern w:val="0"/>
          <w:szCs w:val="21"/>
          <w:lang w:eastAsia="zh-CN"/>
        </w:rPr>
      </w:pPr>
      <w:r>
        <w:rPr>
          <w:rFonts w:hint="eastAsia" w:ascii="楷体_GB2312" w:hAnsi="Verdana" w:eastAsia="楷体_GB2312" w:cs="宋体"/>
          <w:color w:val="000000" w:themeColor="text1"/>
          <w:kern w:val="0"/>
          <w:sz w:val="32"/>
          <w:szCs w:val="32"/>
          <w:lang w:eastAsia="zh-CN"/>
        </w:rPr>
        <w:t>（二）</w:t>
      </w:r>
      <w:r>
        <w:rPr>
          <w:rFonts w:hint="eastAsia" w:ascii="楷体_GB2312" w:hAnsi="Verdana" w:eastAsia="楷体_GB2312" w:cs="宋体"/>
          <w:color w:val="000000" w:themeColor="text1"/>
          <w:kern w:val="0"/>
          <w:sz w:val="32"/>
          <w:szCs w:val="32"/>
        </w:rPr>
        <w:t>项目</w:t>
      </w:r>
      <w:r>
        <w:rPr>
          <w:rFonts w:hint="eastAsia" w:ascii="楷体_GB2312" w:hAnsi="Verdana" w:eastAsia="楷体_GB2312" w:cs="宋体"/>
          <w:color w:val="000000" w:themeColor="text1"/>
          <w:kern w:val="0"/>
          <w:sz w:val="32"/>
          <w:szCs w:val="32"/>
          <w:lang w:eastAsia="zh-CN"/>
        </w:rPr>
        <w:t>预算安排和支出情况</w:t>
      </w:r>
    </w:p>
    <w:p w14:paraId="28DBC9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eastAsia="zh-CN"/>
        </w:rPr>
        <w:t>新区政府办</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个乡镇卫生院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lang w:val="en-US" w:eastAsia="zh-CN"/>
        </w:rPr>
        <w:t>中川镇卫生院、秦川中心卫生院、西岔中心卫生院、上川镇卫生院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个社区卫生服务中心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lang w:val="en-US" w:eastAsia="zh-CN"/>
        </w:rPr>
        <w:t>瑞岭雅苑社区卫生服务中心、新安社区卫生服务中心、栖霞社区卫生服务中心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1个综合门诊部（西岔综合门诊部，是承担基本公共卫生服务职能的公立医疗机构）、10个社区卫生服务站、56</w:t>
      </w:r>
      <w:r>
        <w:rPr>
          <w:rFonts w:hint="eastAsia" w:ascii="仿宋_GB2312" w:hAnsi="仿宋_GB2312" w:eastAsia="仿宋_GB2312" w:cs="仿宋_GB2312"/>
          <w:kern w:val="0"/>
          <w:sz w:val="32"/>
          <w:szCs w:val="32"/>
        </w:rPr>
        <w:t>个村卫生室</w:t>
      </w:r>
      <w:r>
        <w:rPr>
          <w:rFonts w:hint="eastAsia" w:ascii="仿宋_GB2312" w:hAnsi="仿宋_GB2312" w:eastAsia="仿宋_GB2312" w:cs="仿宋_GB2312"/>
          <w:kern w:val="0"/>
          <w:sz w:val="32"/>
          <w:szCs w:val="32"/>
          <w:lang w:eastAsia="zh-CN"/>
        </w:rPr>
        <w:t>全部落实国家基本药物制度。</w:t>
      </w:r>
      <w:r>
        <w:rPr>
          <w:rFonts w:hint="eastAsia" w:ascii="仿宋_GB2312" w:hAnsi="仿宋_GB2312" w:eastAsia="仿宋_GB2312" w:cs="仿宋_GB2312"/>
          <w:sz w:val="32"/>
          <w:szCs w:val="32"/>
        </w:rPr>
        <w:t>中央</w:t>
      </w:r>
      <w:r>
        <w:rPr>
          <w:rFonts w:hint="eastAsia" w:ascii="仿宋_GB2312" w:hAnsi="仿宋_GB2312" w:eastAsia="仿宋_GB2312" w:cs="仿宋_GB2312"/>
          <w:sz w:val="32"/>
          <w:szCs w:val="32"/>
          <w:lang w:eastAsia="zh-CN"/>
        </w:rPr>
        <w:t>转移支付兰州新区</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年基本药物制度补助资金经费共</w:t>
      </w:r>
      <w:r>
        <w:rPr>
          <w:rFonts w:hint="eastAsia" w:ascii="仿宋_GB2312" w:hAnsi="仿宋_GB2312" w:eastAsia="仿宋_GB2312" w:cs="仿宋_GB2312"/>
          <w:sz w:val="32"/>
          <w:szCs w:val="32"/>
          <w:lang w:val="en-US" w:eastAsia="zh-CN"/>
        </w:rPr>
        <w:t>268.32</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eastAsia="zh-CN"/>
        </w:rPr>
        <w:t>乡镇卫生院（社区卫生服务中心）</w:t>
      </w:r>
      <w:r>
        <w:rPr>
          <w:rFonts w:hint="eastAsia" w:ascii="仿宋_GB2312" w:hAnsi="仿宋_GB2312" w:eastAsia="仿宋_GB2312" w:cs="仿宋_GB2312"/>
          <w:sz w:val="32"/>
          <w:szCs w:val="32"/>
          <w:lang w:val="en-US" w:eastAsia="zh-CN"/>
        </w:rPr>
        <w:t>168.5</w:t>
      </w:r>
      <w:r>
        <w:rPr>
          <w:rFonts w:hint="eastAsia" w:ascii="仿宋_GB2312" w:hAnsi="仿宋_GB2312" w:eastAsia="仿宋_GB2312" w:cs="仿宋_GB2312"/>
          <w:sz w:val="32"/>
          <w:szCs w:val="32"/>
        </w:rPr>
        <w:t>万元，村卫生室</w:t>
      </w:r>
      <w:r>
        <w:rPr>
          <w:rFonts w:hint="eastAsia" w:ascii="仿宋_GB2312" w:hAnsi="仿宋_GB2312" w:eastAsia="仿宋_GB2312" w:cs="仿宋_GB2312"/>
          <w:sz w:val="32"/>
          <w:szCs w:val="32"/>
          <w:lang w:eastAsia="zh-CN"/>
        </w:rPr>
        <w:t>（社区卫生服务站）</w:t>
      </w:r>
      <w:r>
        <w:rPr>
          <w:rFonts w:hint="eastAsia" w:ascii="仿宋_GB2312" w:hAnsi="仿宋_GB2312" w:eastAsia="仿宋_GB2312" w:cs="仿宋_GB2312"/>
          <w:sz w:val="32"/>
          <w:szCs w:val="32"/>
          <w:lang w:val="en-US" w:eastAsia="zh-CN"/>
        </w:rPr>
        <w:t>99.82</w:t>
      </w:r>
      <w:r>
        <w:rPr>
          <w:rFonts w:hint="eastAsia" w:ascii="仿宋_GB2312" w:hAnsi="仿宋_GB2312" w:eastAsia="仿宋_GB2312" w:cs="仿宋_GB2312"/>
          <w:sz w:val="32"/>
          <w:szCs w:val="32"/>
        </w:rPr>
        <w:t>万元。根据《</w:t>
      </w:r>
      <w:r>
        <w:rPr>
          <w:rFonts w:hint="eastAsia" w:ascii="仿宋_GB2312" w:hAnsi="仿宋_GB2312" w:eastAsia="仿宋_GB2312" w:cs="仿宋_GB2312"/>
          <w:sz w:val="32"/>
          <w:szCs w:val="32"/>
          <w:lang w:eastAsia="zh-CN"/>
        </w:rPr>
        <w:t>兰州新区</w:t>
      </w:r>
      <w:r>
        <w:rPr>
          <w:rFonts w:hint="eastAsia" w:ascii="仿宋_GB2312" w:hAnsi="仿宋_GB2312" w:eastAsia="仿宋_GB2312" w:cs="仿宋_GB2312"/>
          <w:sz w:val="32"/>
          <w:szCs w:val="32"/>
        </w:rPr>
        <w:t>实施国家基本药物制度补助资金绩效考核方案(试行》办法，70%资金按照服务人口核拔，30%资金与绩效指标挂钩核拨(基层医疗卫生机构、村卫生室)。</w:t>
      </w:r>
      <w:r>
        <w:rPr>
          <w:rFonts w:hint="eastAsia" w:ascii="仿宋_GB2312" w:hAnsi="仿宋_GB2312" w:eastAsia="仿宋_GB2312" w:cs="仿宋_GB2312"/>
          <w:sz w:val="32"/>
          <w:szCs w:val="32"/>
          <w:lang w:eastAsia="zh-CN"/>
        </w:rPr>
        <w:t>截至目前，乡镇卫生院（社区卫生服务中心）资金</w:t>
      </w:r>
      <w:r>
        <w:rPr>
          <w:rFonts w:hint="eastAsia" w:ascii="仿宋_GB2312" w:hAnsi="仿宋_GB2312" w:eastAsia="仿宋_GB2312" w:cs="仿宋_GB2312"/>
          <w:sz w:val="32"/>
          <w:szCs w:val="32"/>
          <w:lang w:val="en-US" w:eastAsia="zh-CN"/>
        </w:rPr>
        <w:t>100%拨付到位，村卫生室资金100%拨付至</w:t>
      </w:r>
      <w:r>
        <w:rPr>
          <w:rFonts w:hint="eastAsia" w:ascii="仿宋_GB2312" w:hAnsi="仿宋_GB2312" w:eastAsia="仿宋_GB2312" w:cs="仿宋_GB2312"/>
          <w:sz w:val="32"/>
          <w:szCs w:val="32"/>
          <w:lang w:eastAsia="zh-CN"/>
        </w:rPr>
        <w:t>乡镇卫生院（社区卫生服务中心），由乡镇卫生院</w:t>
      </w:r>
      <w:r>
        <w:rPr>
          <w:rFonts w:hint="eastAsia" w:ascii="仿宋_GB2312" w:hAnsi="仿宋_GB2312" w:eastAsia="仿宋_GB2312" w:cs="仿宋_GB2312"/>
          <w:sz w:val="32"/>
          <w:szCs w:val="32"/>
        </w:rPr>
        <w:t>按每名村医每年2700元的标准定额直补按月发放，剩余资金由乡镇卫生院</w:t>
      </w:r>
      <w:r>
        <w:rPr>
          <w:rFonts w:hint="eastAsia" w:ascii="仿宋_GB2312" w:hAnsi="仿宋_GB2312" w:eastAsia="仿宋_GB2312" w:cs="仿宋_GB2312"/>
          <w:sz w:val="32"/>
          <w:szCs w:val="32"/>
          <w:lang w:eastAsia="zh-CN"/>
        </w:rPr>
        <w:t>、社区卫生服务中心</w:t>
      </w:r>
      <w:r>
        <w:rPr>
          <w:rFonts w:hint="eastAsia" w:ascii="仿宋_GB2312" w:hAnsi="仿宋_GB2312" w:eastAsia="仿宋_GB2312" w:cs="仿宋_GB2312"/>
          <w:sz w:val="32"/>
          <w:szCs w:val="32"/>
        </w:rPr>
        <w:t>考核拨付</w:t>
      </w:r>
      <w:r>
        <w:rPr>
          <w:rFonts w:hint="eastAsia" w:ascii="仿宋_GB2312" w:hAnsi="仿宋_GB2312" w:eastAsia="仿宋_GB2312" w:cs="仿宋_GB2312"/>
          <w:sz w:val="32"/>
          <w:szCs w:val="32"/>
          <w:lang w:eastAsia="zh-CN"/>
        </w:rPr>
        <w:t>，现已</w:t>
      </w:r>
      <w:r>
        <w:rPr>
          <w:rFonts w:hint="eastAsia" w:ascii="仿宋_GB2312" w:hAnsi="仿宋_GB2312" w:eastAsia="仿宋_GB2312" w:cs="仿宋_GB2312"/>
          <w:sz w:val="32"/>
          <w:szCs w:val="32"/>
          <w:lang w:val="en-US" w:eastAsia="zh-CN"/>
        </w:rPr>
        <w:t>100%支付完成。</w:t>
      </w:r>
    </w:p>
    <w:p w14:paraId="4D317B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Verdana" w:eastAsia="楷体_GB2312" w:cs="宋体"/>
          <w:color w:val="000000" w:themeColor="text1"/>
          <w:kern w:val="0"/>
          <w:sz w:val="32"/>
          <w:szCs w:val="32"/>
          <w:lang w:eastAsia="zh-CN"/>
        </w:rPr>
      </w:pPr>
      <w:r>
        <w:rPr>
          <w:rFonts w:hint="eastAsia" w:ascii="楷体_GB2312" w:hAnsi="Verdana" w:eastAsia="楷体_GB2312" w:cs="宋体"/>
          <w:color w:val="000000" w:themeColor="text1"/>
          <w:kern w:val="0"/>
          <w:sz w:val="32"/>
          <w:szCs w:val="32"/>
          <w:lang w:eastAsia="zh-CN"/>
        </w:rPr>
        <w:t>（三）项目主要内容和实施情况</w:t>
      </w:r>
    </w:p>
    <w:p w14:paraId="0CCEE5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主要内容是各基层医疗机构要严格落实国家基本药物制度，加强制度建设、药品配备使用、短缺药品监测上报、药品使用监测、药品质量安全监管、资金监督管理及宣传引导，新区卫生健康委对乡镇卫生院、社区卫生服务中心考核，乡镇卫生院和社区卫生服务中心对村卫生室、社区卫生服务站考核，将中央转移拨付资金的70%按照服务人口核拔，30%资金与绩效指标挂钩核拨(基层医疗卫生机构、村卫生室)。</w:t>
      </w:r>
    </w:p>
    <w:p w14:paraId="0F8718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1-12月份以来，新区卫生健康委高度重视国家基本药物制度</w:t>
      </w:r>
      <w:r>
        <w:rPr>
          <w:rFonts w:hint="eastAsia" w:ascii="仿宋_GB2312" w:hAnsi="仿宋_GB2312" w:eastAsia="仿宋_GB2312" w:cs="仿宋_GB2312"/>
          <w:color w:val="000000"/>
          <w:sz w:val="32"/>
          <w:szCs w:val="32"/>
          <w:lang w:val="en-US" w:eastAsia="zh-CN"/>
        </w:rPr>
        <w:t>补助项目实施。</w:t>
      </w:r>
      <w:r>
        <w:rPr>
          <w:rFonts w:hint="eastAsia" w:ascii="仿宋_GB2312" w:hAnsi="仿宋_GB2312" w:eastAsia="仿宋_GB2312" w:cs="仿宋_GB2312"/>
          <w:b/>
          <w:bCs/>
          <w:sz w:val="32"/>
          <w:szCs w:val="32"/>
          <w:lang w:eastAsia="zh-CN"/>
        </w:rPr>
        <w:t>一是加强制度建设。</w:t>
      </w:r>
      <w:r>
        <w:rPr>
          <w:rFonts w:hint="eastAsia" w:ascii="仿宋_GB2312" w:hAnsi="仿宋_GB2312" w:eastAsia="仿宋_GB2312" w:cs="仿宋_GB2312"/>
          <w:color w:val="000000"/>
          <w:sz w:val="32"/>
          <w:szCs w:val="32"/>
        </w:rPr>
        <w:t>将基本药物使用情况纳入</w:t>
      </w:r>
      <w:r>
        <w:rPr>
          <w:rFonts w:hint="eastAsia" w:ascii="仿宋_GB2312" w:hAnsi="仿宋_GB2312" w:eastAsia="仿宋_GB2312" w:cs="仿宋_GB2312"/>
          <w:color w:val="000000"/>
          <w:sz w:val="32"/>
          <w:szCs w:val="32"/>
          <w:lang w:eastAsia="zh-CN"/>
        </w:rPr>
        <w:t>乡镇卫生院、社区卫生服务中</w:t>
      </w:r>
      <w:r>
        <w:rPr>
          <w:rFonts w:hint="eastAsia" w:ascii="仿宋_GB2312" w:hAnsi="仿宋_GB2312" w:eastAsia="仿宋_GB2312" w:cs="仿宋_GB2312"/>
          <w:sz w:val="32"/>
          <w:szCs w:val="32"/>
          <w:lang w:eastAsia="zh-CN"/>
        </w:rPr>
        <w:t>心(含村卫生室、社区卫生服务站)实施基本药物制度绩效考核，并将考核结果与实施基本药物制度补助资金拨付挂钩，对乡镇（社区），村（站）医疗卫生机构逐级考核后方予拨付资金。二</w:t>
      </w:r>
      <w:r>
        <w:rPr>
          <w:rFonts w:hint="eastAsia" w:ascii="仿宋_GB2312" w:hAnsi="仿宋_GB2312" w:eastAsia="仿宋_GB2312" w:cs="仿宋_GB2312"/>
          <w:b/>
          <w:bCs/>
          <w:sz w:val="32"/>
          <w:szCs w:val="32"/>
          <w:lang w:eastAsia="zh-CN"/>
        </w:rPr>
        <w:t>是提高药品配备使用比例。</w:t>
      </w:r>
      <w:r>
        <w:rPr>
          <w:rFonts w:hint="eastAsia" w:ascii="仿宋_GB2312" w:hAnsi="仿宋_GB2312" w:eastAsia="仿宋_GB2312" w:cs="仿宋_GB2312"/>
          <w:sz w:val="32"/>
          <w:szCs w:val="32"/>
          <w:lang w:eastAsia="zh-CN"/>
        </w:rPr>
        <w:t>坚持基本药物主导地位，强化使用管理，本单位信息系统中对基本药物要进行标注，提示医生优先使用。基层医疗卫生机构应将基本药物使用情况作为处方点评的重要内容，纳入医务人员绩效考核范围，对无正当理由不首选基本药物的予以通报。今年</w:t>
      </w:r>
      <w:r>
        <w:rPr>
          <w:rFonts w:hint="eastAsia" w:ascii="仿宋_GB2312" w:hAnsi="仿宋_GB2312" w:eastAsia="仿宋_GB2312" w:cs="仿宋_GB2312"/>
          <w:sz w:val="32"/>
          <w:szCs w:val="32"/>
          <w:lang w:val="en-US" w:eastAsia="zh-CN"/>
        </w:rPr>
        <w:t>1-12月份中川镇卫生院、秦川中心卫生院、西岔中心卫生院、上川镇卫生院基药采购金额比分别是87.35%、85.42%、75.04%、91.83%，均超过65%；品规比分别是94.42%、93.47%、86.49%、89.98%，均超过85%。瑞岭雅苑社区卫生服务中心、新安社区卫生服务中心、栖霞社区卫生服务中心、西岔综合门诊部基药采购金额比分别是88.06%、71.32%、69.66%、65.36%，均超过60%；品规比分别是85.19%、84.41%、86.74%、80.63%，均超过80%。</w:t>
      </w:r>
      <w:r>
        <w:rPr>
          <w:rFonts w:hint="eastAsia" w:ascii="仿宋_GB2312" w:hAnsi="仿宋_GB2312" w:eastAsia="仿宋_GB2312" w:cs="仿宋_GB2312"/>
          <w:b/>
          <w:bCs/>
          <w:sz w:val="32"/>
          <w:szCs w:val="32"/>
          <w:lang w:eastAsia="zh-CN"/>
        </w:rPr>
        <w:t>三是加强短缺药品监测上报。</w:t>
      </w:r>
      <w:r>
        <w:rPr>
          <w:rFonts w:hint="eastAsia" w:ascii="仿宋_GB2312" w:hAnsi="仿宋_GB2312" w:eastAsia="仿宋_GB2312" w:cs="仿宋_GB2312"/>
          <w:sz w:val="32"/>
          <w:szCs w:val="32"/>
          <w:lang w:eastAsia="zh-CN"/>
        </w:rPr>
        <w:t>乡镇卫生院、社区卫生服务中心按照管理指南要求及时登录系统，规范、准确填报短缺药品信息。通过短缺药品信息共享平台及时开展短缺药品风险评估，及时发布短缺药品监测预警信息，加强供需对接、协商调剂。医疗卫生机构对国家、省级清单内药品执行每月“零报告”制度，新区卫生健康委将按照“7日时限”要求，分级分类做好短缺药品的应对处置工作。</w:t>
      </w:r>
      <w:r>
        <w:rPr>
          <w:rFonts w:hint="eastAsia" w:ascii="仿宋_GB2312" w:hAnsi="仿宋_GB2312" w:eastAsia="仿宋_GB2312" w:cs="仿宋_GB2312"/>
          <w:b/>
          <w:bCs/>
          <w:sz w:val="32"/>
          <w:szCs w:val="32"/>
          <w:lang w:eastAsia="zh-CN"/>
        </w:rPr>
        <w:t>四是加强药品使用监测。</w:t>
      </w:r>
      <w:r>
        <w:rPr>
          <w:rFonts w:hint="eastAsia" w:ascii="仿宋_GB2312" w:hAnsi="仿宋_GB2312" w:eastAsia="仿宋_GB2312" w:cs="仿宋_GB2312"/>
          <w:sz w:val="32"/>
          <w:szCs w:val="32"/>
          <w:lang w:eastAsia="zh-CN"/>
        </w:rPr>
        <w:t>基层医疗卫生机构按要求准确报告药品使用信息，结合本区域药品供应使用实际情况和特点，推进基于医疗卫生机构信息系统的药品使用信息智能化监测，提高监测效率。明确统筹负责辖区内药品使用监测的责任单位和责任人，基层医疗卫生机构明确责任科室并指定专职或兼职人员，按照要求及时、准确报告药品使用信息。</w:t>
      </w:r>
      <w:r>
        <w:rPr>
          <w:rFonts w:hint="eastAsia" w:ascii="仿宋_GB2312" w:hAnsi="仿宋_GB2312" w:eastAsia="仿宋_GB2312" w:cs="仿宋_GB2312"/>
          <w:b/>
          <w:bCs/>
          <w:sz w:val="32"/>
          <w:szCs w:val="32"/>
          <w:lang w:eastAsia="zh-CN"/>
        </w:rPr>
        <w:t>五是药品质量安全监管。</w:t>
      </w:r>
      <w:r>
        <w:rPr>
          <w:rFonts w:hint="eastAsia" w:ascii="仿宋_GB2312" w:hAnsi="仿宋_GB2312" w:eastAsia="仿宋_GB2312" w:cs="仿宋_GB2312"/>
          <w:sz w:val="32"/>
          <w:szCs w:val="32"/>
          <w:lang w:eastAsia="zh-CN"/>
        </w:rPr>
        <w:t>基层医疗卫生机构要建立健全药事管理组织机构，药学人员配备能满足工作需求。有明确的基本药物使用管理和处方点评、药品采购使用、保管等制度。药房整洁，药品实行分类储存，合理控制药品库存。严格执行毒麻放精等特殊药品管理规定。</w:t>
      </w:r>
      <w:r>
        <w:rPr>
          <w:rFonts w:hint="eastAsia" w:ascii="仿宋_GB2312" w:hAnsi="仿宋_GB2312" w:eastAsia="仿宋_GB2312" w:cs="仿宋_GB2312"/>
          <w:b/>
          <w:bCs/>
          <w:sz w:val="32"/>
          <w:szCs w:val="32"/>
          <w:lang w:eastAsia="zh-CN"/>
        </w:rPr>
        <w:t>六是开展处方点评。</w:t>
      </w:r>
      <w:r>
        <w:rPr>
          <w:rFonts w:hint="eastAsia" w:ascii="仿宋_GB2312" w:hAnsi="仿宋_GB2312" w:eastAsia="仿宋_GB2312" w:cs="仿宋_GB2312"/>
          <w:sz w:val="32"/>
          <w:szCs w:val="32"/>
          <w:lang w:eastAsia="zh-CN"/>
        </w:rPr>
        <w:t>医疗机构健全完善药事管理机制，完善医师处方监督检查和审核制度，</w:t>
      </w:r>
      <w:r>
        <w:rPr>
          <w:rFonts w:hint="eastAsia" w:ascii="仿宋_GB2312" w:hAnsi="仿宋_GB2312" w:eastAsia="仿宋_GB2312" w:cs="仿宋_GB2312"/>
          <w:sz w:val="32"/>
          <w:szCs w:val="32"/>
        </w:rPr>
        <w:t>将基本药物</w:t>
      </w:r>
      <w:r>
        <w:rPr>
          <w:rFonts w:hint="eastAsia" w:ascii="仿宋_GB2312" w:hAnsi="仿宋_GB2312" w:eastAsia="仿宋_GB2312" w:cs="仿宋_GB2312"/>
          <w:sz w:val="32"/>
          <w:szCs w:val="32"/>
          <w:lang w:eastAsia="zh-CN"/>
        </w:rPr>
        <w:t>优先合理</w:t>
      </w:r>
      <w:r>
        <w:rPr>
          <w:rFonts w:hint="eastAsia" w:ascii="仿宋_GB2312" w:hAnsi="仿宋_GB2312" w:eastAsia="仿宋_GB2312" w:cs="仿宋_GB2312"/>
          <w:sz w:val="32"/>
          <w:szCs w:val="32"/>
        </w:rPr>
        <w:t>使用情况作为处方点评的重要内容</w:t>
      </w:r>
      <w:r>
        <w:rPr>
          <w:rFonts w:hint="eastAsia" w:ascii="仿宋_GB2312" w:hAnsi="仿宋_GB2312" w:eastAsia="仿宋_GB2312" w:cs="仿宋_GB2312"/>
          <w:sz w:val="32"/>
          <w:szCs w:val="32"/>
          <w:lang w:eastAsia="zh-CN"/>
        </w:rPr>
        <w:t>。由各医疗机构每月开展本院处方点评，新区第一人民医院每季度组织专家对各医疗机构进行一次集中点评，各医疗机构要保存好点评资料备查。</w:t>
      </w:r>
      <w:r>
        <w:rPr>
          <w:rFonts w:hint="eastAsia" w:ascii="仿宋_GB2312" w:hAnsi="仿宋_GB2312" w:eastAsia="仿宋_GB2312" w:cs="仿宋_GB2312"/>
          <w:b/>
          <w:bCs/>
          <w:sz w:val="32"/>
          <w:szCs w:val="32"/>
          <w:lang w:eastAsia="zh-CN"/>
        </w:rPr>
        <w:t>七是加强资金监督管理。</w:t>
      </w:r>
      <w:r>
        <w:rPr>
          <w:rFonts w:hint="eastAsia" w:ascii="仿宋_GB2312" w:hAnsi="仿宋_GB2312" w:eastAsia="仿宋_GB2312" w:cs="仿宋_GB2312"/>
          <w:sz w:val="32"/>
          <w:szCs w:val="32"/>
          <w:lang w:eastAsia="zh-CN"/>
        </w:rPr>
        <w:t>各乡镇卫生院、社区卫生服务中心按照财政预算和基本药物制度补助资金管理办法有关规定，制定单位资金管理办法，加强资金管理，规范预算执行管理。</w:t>
      </w:r>
      <w:r>
        <w:rPr>
          <w:rFonts w:hint="eastAsia" w:ascii="仿宋_GB2312" w:hAnsi="仿宋_GB2312" w:eastAsia="仿宋_GB2312" w:cs="仿宋_GB2312"/>
          <w:b/>
          <w:bCs/>
          <w:sz w:val="32"/>
          <w:szCs w:val="32"/>
          <w:lang w:eastAsia="zh-CN"/>
        </w:rPr>
        <w:t>八是加强基本药物制度补助资金绩效考核。</w:t>
      </w:r>
      <w:r>
        <w:rPr>
          <w:rFonts w:hint="eastAsia" w:ascii="仿宋_GB2312" w:hAnsi="仿宋_GB2312" w:eastAsia="仿宋_GB2312" w:cs="仿宋_GB2312"/>
          <w:sz w:val="32"/>
          <w:szCs w:val="32"/>
          <w:lang w:eastAsia="zh-CN"/>
        </w:rPr>
        <w:t>各医疗机构严格落实基本药物制度，加强基本药物制度建设、药品零差率销售</w:t>
      </w:r>
      <w:r>
        <w:rPr>
          <w:rFonts w:hint="eastAsia" w:ascii="仿宋_GB2312" w:hAnsi="仿宋_GB2312" w:eastAsia="仿宋_GB2312" w:cs="仿宋_GB2312"/>
          <w:sz w:val="32"/>
          <w:szCs w:val="32"/>
        </w:rPr>
        <w:t>、基本药物配备使用、补助资金拨付、短缺药品监测预警、药品使用监测数据采集报送、药品采购储存管理、合理用药宣传培训、诊疗服务开展</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乡镇卫生院和社区卫生服务中心要开展</w:t>
      </w:r>
      <w:r>
        <w:rPr>
          <w:rFonts w:hint="eastAsia" w:ascii="仿宋_GB2312" w:hAnsi="仿宋_GB2312" w:eastAsia="仿宋_GB2312" w:cs="仿宋_GB2312"/>
          <w:sz w:val="32"/>
          <w:szCs w:val="32"/>
        </w:rPr>
        <w:t>半年自评</w:t>
      </w:r>
      <w:r>
        <w:rPr>
          <w:rFonts w:hint="eastAsia" w:ascii="仿宋_GB2312" w:hAnsi="仿宋_GB2312" w:eastAsia="仿宋_GB2312" w:cs="仿宋_GB2312"/>
          <w:sz w:val="32"/>
          <w:szCs w:val="32"/>
          <w:lang w:eastAsia="zh-CN"/>
        </w:rPr>
        <w:t>，新区卫生健康委</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乡镇卫生院和社区卫生服务中心开展</w:t>
      </w:r>
      <w:r>
        <w:rPr>
          <w:rFonts w:hint="eastAsia" w:ascii="仿宋_GB2312" w:hAnsi="仿宋_GB2312" w:eastAsia="仿宋_GB2312" w:cs="仿宋_GB2312"/>
          <w:sz w:val="32"/>
          <w:szCs w:val="32"/>
        </w:rPr>
        <w:t>年度考核，将考核结果作为绩效补助资金发放的主要依据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eastAsia="zh-CN"/>
        </w:rPr>
        <w:t>九是加强宣传引导。</w:t>
      </w:r>
      <w:r>
        <w:rPr>
          <w:rFonts w:hint="eastAsia" w:ascii="仿宋_GB2312" w:hAnsi="仿宋_GB2312" w:eastAsia="仿宋_GB2312" w:cs="仿宋_GB2312"/>
          <w:sz w:val="32"/>
          <w:szCs w:val="32"/>
        </w:rPr>
        <w:t>坚持正确舆论导向，积极回应社会关切，通过多种渠道宣传基本药物政策，营造基本药物制度实施的良好社会氛围。基层医疗卫生机构</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通过设立宣传栏、发放宣教手册、举办健康培训等方式开展基本药物政策和合理用药宣传。</w:t>
      </w:r>
    </w:p>
    <w:p w14:paraId="476316DC">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黑体" w:hAnsi="黑体" w:eastAsia="黑体" w:cs="宋体"/>
          <w:color w:val="000000" w:themeColor="text1"/>
          <w:sz w:val="32"/>
          <w:szCs w:val="32"/>
          <w:lang w:eastAsia="zh-CN"/>
        </w:rPr>
      </w:pPr>
      <w:r>
        <w:rPr>
          <w:rFonts w:hint="eastAsia" w:ascii="黑体" w:hAnsi="黑体" w:eastAsia="黑体" w:cs="宋体"/>
          <w:color w:val="000000" w:themeColor="text1"/>
          <w:sz w:val="32"/>
          <w:szCs w:val="32"/>
          <w:lang w:eastAsia="zh-CN"/>
        </w:rPr>
        <w:t>二、项目绩效目标</w:t>
      </w:r>
    </w:p>
    <w:p w14:paraId="19DBF1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Verdana" w:eastAsia="楷体_GB2312" w:cs="宋体"/>
          <w:color w:val="000000" w:themeColor="text1"/>
          <w:kern w:val="0"/>
          <w:sz w:val="32"/>
          <w:szCs w:val="32"/>
        </w:rPr>
      </w:pPr>
      <w:r>
        <w:rPr>
          <w:rFonts w:hint="eastAsia" w:ascii="楷体_GB2312" w:hAnsi="Verdana" w:eastAsia="楷体_GB2312" w:cs="宋体"/>
          <w:color w:val="000000" w:themeColor="text1"/>
          <w:kern w:val="0"/>
          <w:sz w:val="32"/>
          <w:szCs w:val="32"/>
        </w:rPr>
        <w:t> </w:t>
      </w:r>
      <w:r>
        <w:rPr>
          <w:rFonts w:hint="eastAsia" w:ascii="楷体_GB2312" w:hAnsi="Verdana" w:eastAsia="楷体_GB2312" w:cs="宋体"/>
          <w:color w:val="000000" w:themeColor="text1"/>
          <w:kern w:val="0"/>
          <w:sz w:val="32"/>
          <w:szCs w:val="32"/>
          <w:lang w:eastAsia="zh-CN"/>
        </w:rPr>
        <w:t>（一）总体</w:t>
      </w:r>
      <w:r>
        <w:rPr>
          <w:rFonts w:hint="eastAsia" w:ascii="楷体_GB2312" w:hAnsi="Verdana" w:eastAsia="楷体_GB2312" w:cs="宋体"/>
          <w:color w:val="000000" w:themeColor="text1"/>
          <w:kern w:val="0"/>
          <w:sz w:val="32"/>
          <w:szCs w:val="32"/>
        </w:rPr>
        <w:t>绩效目标</w:t>
      </w:r>
    </w:p>
    <w:p w14:paraId="0E135154">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1.政府办基层医疗卫生机构、村卫生室药品零差率销售覆盖率达100%。</w:t>
      </w:r>
    </w:p>
    <w:p w14:paraId="20BCCA2A">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2.年度中央转移支付基本药物制度补助资金到位率达到100%。</w:t>
      </w:r>
    </w:p>
    <w:p w14:paraId="0CC2E78B">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3.第二、三、四季度补助资金执行进度分别达到≥50%、≥75%、100%。</w:t>
      </w:r>
    </w:p>
    <w:p w14:paraId="579FBFE8">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4.基层医疗服务能力“优质服务基层行”活动开展评价机构数比例年度指标值95%；基层医疗服务能力“优质服务基层行”活动达到基本标准及以上的比例年度指标值60%。</w:t>
      </w:r>
    </w:p>
    <w:p w14:paraId="685856F6">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5.基层医疗卫生机构基本药物配备使用占比达到2023年度目标值：乡镇卫生院金额比≥65%、品规比≥85%；社区卫生服务中心金额比≥60%、品规比≥80%。</w:t>
      </w:r>
    </w:p>
    <w:p w14:paraId="38DA5DE6">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6.由乡镇卫生院负责核发的村卫生室补助资金必须年内全额到村。</w:t>
      </w:r>
    </w:p>
    <w:p w14:paraId="4C380CF7">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7.基层医疗卫生机构医共体建设符合“紧密型”、“控费用”、“同质化”、“促分工”发展方向始终保持稳步发展，深入推进。</w:t>
      </w:r>
    </w:p>
    <w:p w14:paraId="7B2B31A3">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8.基层医疗卫生机构满意度指标逐年提高，逐步推进。</w:t>
      </w:r>
    </w:p>
    <w:p w14:paraId="667A2FB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 </w:t>
      </w:r>
      <w:r>
        <w:rPr>
          <w:rFonts w:hint="eastAsia" w:ascii="楷体_GB2312" w:hAnsi="Verdana" w:eastAsia="楷体_GB2312" w:cs="宋体"/>
          <w:color w:val="000000" w:themeColor="text1"/>
          <w:kern w:val="0"/>
          <w:sz w:val="32"/>
          <w:szCs w:val="32"/>
          <w:lang w:val="en-US" w:eastAsia="zh-CN" w:bidi="ar-SA"/>
        </w:rPr>
        <w:t>（二）阶段性绩效目标：</w:t>
      </w:r>
    </w:p>
    <w:p w14:paraId="0FEA4C9A">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lang w:val="en-US" w:eastAsia="zh-CN"/>
        </w:rPr>
      </w:pPr>
      <w:r>
        <w:rPr>
          <w:rFonts w:hint="eastAsia" w:ascii="仿宋_GB2312" w:hAnsi="微软雅黑" w:eastAsia="仿宋_GB2312"/>
          <w:color w:val="000000" w:themeColor="text1"/>
          <w:sz w:val="32"/>
          <w:szCs w:val="32"/>
        </w:rPr>
        <w:t>1.实施基本药物制度的政府办基层医 疗卫生机构、村卫生室覆盖率</w:t>
      </w:r>
      <w:r>
        <w:rPr>
          <w:rFonts w:hint="eastAsia" w:ascii="仿宋_GB2312" w:hAnsi="微软雅黑" w:eastAsia="仿宋_GB2312"/>
          <w:color w:val="000000" w:themeColor="text1"/>
          <w:sz w:val="32"/>
          <w:szCs w:val="32"/>
          <w:lang w:val="en-US" w:eastAsia="zh-CN"/>
        </w:rPr>
        <w:t>100%。</w:t>
      </w:r>
    </w:p>
    <w:p w14:paraId="147BA339">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lang w:val="en-US" w:eastAsia="zh-CN"/>
        </w:rPr>
        <w:t>2.</w:t>
      </w:r>
      <w:r>
        <w:rPr>
          <w:rFonts w:hint="eastAsia" w:ascii="仿宋_GB2312" w:hAnsi="微软雅黑" w:eastAsia="仿宋_GB2312"/>
          <w:color w:val="000000" w:themeColor="text1"/>
          <w:sz w:val="32"/>
          <w:szCs w:val="32"/>
        </w:rPr>
        <w:t>政府办基层医疗卫生机构、村卫生室药品零差率销售覆盖率达100%。</w:t>
      </w:r>
    </w:p>
    <w:p w14:paraId="455C67C3">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lang w:val="en-US" w:eastAsia="zh-CN"/>
        </w:rPr>
        <w:t>3</w:t>
      </w:r>
      <w:r>
        <w:rPr>
          <w:rFonts w:hint="eastAsia" w:ascii="仿宋_GB2312" w:hAnsi="微软雅黑" w:eastAsia="仿宋_GB2312"/>
          <w:color w:val="000000" w:themeColor="text1"/>
          <w:sz w:val="32"/>
          <w:szCs w:val="32"/>
        </w:rPr>
        <w:t>.基层医疗服务能力“优质服务基层行”活动开展评价机构数比例年度指标值95%；基层医疗服务能力“优质服务基层行”活动达到基本标准及以上的比例年度指标值60%。</w:t>
      </w:r>
    </w:p>
    <w:p w14:paraId="3A8B9E41">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lang w:val="en-US" w:eastAsia="zh-CN"/>
        </w:rPr>
      </w:pPr>
      <w:r>
        <w:rPr>
          <w:rFonts w:hint="eastAsia" w:ascii="仿宋_GB2312" w:hAnsi="微软雅黑" w:eastAsia="仿宋_GB2312"/>
          <w:color w:val="000000" w:themeColor="text1"/>
          <w:sz w:val="32"/>
          <w:szCs w:val="32"/>
          <w:lang w:val="en-US" w:eastAsia="zh-CN"/>
        </w:rPr>
        <w:t>4.及时公布新版国家基本药物目录。</w:t>
      </w:r>
    </w:p>
    <w:p w14:paraId="4CA7E115">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lang w:val="en-US" w:eastAsia="zh-CN"/>
        </w:rPr>
      </w:pPr>
      <w:r>
        <w:rPr>
          <w:rFonts w:hint="eastAsia" w:ascii="仿宋_GB2312" w:hAnsi="微软雅黑" w:eastAsia="仿宋_GB2312"/>
          <w:color w:val="000000" w:themeColor="text1"/>
          <w:sz w:val="32"/>
          <w:szCs w:val="32"/>
          <w:lang w:val="en-US" w:eastAsia="zh-CN"/>
        </w:rPr>
        <w:t>5.</w:t>
      </w:r>
      <w:r>
        <w:rPr>
          <w:rFonts w:hint="default" w:ascii="仿宋_GB2312" w:hAnsi="微软雅黑" w:eastAsia="仿宋_GB2312"/>
          <w:color w:val="000000" w:themeColor="text1"/>
          <w:sz w:val="32"/>
          <w:szCs w:val="32"/>
          <w:lang w:val="en-US" w:eastAsia="zh-CN"/>
        </w:rPr>
        <w:t>医疗机构</w:t>
      </w:r>
      <w:r>
        <w:rPr>
          <w:rFonts w:hint="eastAsia" w:ascii="仿宋_GB2312" w:hAnsi="微软雅黑" w:eastAsia="仿宋_GB2312"/>
          <w:color w:val="000000" w:themeColor="text1"/>
          <w:sz w:val="32"/>
          <w:szCs w:val="32"/>
          <w:lang w:val="en-US" w:eastAsia="zh-CN"/>
        </w:rPr>
        <w:t>优先使用基药，</w:t>
      </w:r>
      <w:r>
        <w:rPr>
          <w:rFonts w:hint="default" w:ascii="仿宋_GB2312" w:hAnsi="微软雅黑" w:eastAsia="仿宋_GB2312"/>
          <w:color w:val="000000" w:themeColor="text1"/>
          <w:sz w:val="32"/>
          <w:szCs w:val="32"/>
          <w:lang w:val="en-US" w:eastAsia="zh-CN"/>
        </w:rPr>
        <w:t>巩固基本药物主导地位</w:t>
      </w:r>
      <w:r>
        <w:rPr>
          <w:rFonts w:hint="eastAsia" w:ascii="仿宋_GB2312" w:hAnsi="微软雅黑" w:eastAsia="仿宋_GB2312"/>
          <w:color w:val="000000" w:themeColor="text1"/>
          <w:sz w:val="32"/>
          <w:szCs w:val="32"/>
          <w:lang w:val="en-US" w:eastAsia="zh-CN"/>
        </w:rPr>
        <w:t>。</w:t>
      </w:r>
    </w:p>
    <w:p w14:paraId="1A966C28">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default" w:ascii="仿宋_GB2312" w:hAnsi="微软雅黑" w:eastAsia="仿宋_GB2312"/>
          <w:color w:val="000000" w:themeColor="text1"/>
          <w:sz w:val="32"/>
          <w:szCs w:val="32"/>
          <w:lang w:val="en-US" w:eastAsia="zh-CN"/>
        </w:rPr>
      </w:pPr>
      <w:r>
        <w:rPr>
          <w:rFonts w:hint="eastAsia" w:ascii="仿宋_GB2312" w:hAnsi="微软雅黑" w:eastAsia="仿宋_GB2312"/>
          <w:color w:val="000000" w:themeColor="text1"/>
          <w:sz w:val="32"/>
          <w:szCs w:val="32"/>
          <w:lang w:val="en-US" w:eastAsia="zh-CN"/>
        </w:rPr>
        <w:t>6.乡村医生保持稳定收入。</w:t>
      </w:r>
    </w:p>
    <w:p w14:paraId="4483B2F4">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lang w:val="en-US" w:eastAsia="zh-CN"/>
        </w:rPr>
        <w:t>7</w:t>
      </w:r>
      <w:r>
        <w:rPr>
          <w:rFonts w:hint="eastAsia" w:ascii="仿宋_GB2312" w:hAnsi="微软雅黑" w:eastAsia="仿宋_GB2312"/>
          <w:color w:val="000000" w:themeColor="text1"/>
          <w:sz w:val="32"/>
          <w:szCs w:val="32"/>
        </w:rPr>
        <w:t>.基层医疗卫生机构基本药物配备使用占比达到2023年度目标值：乡镇卫生院金额比≥65%、品规比≥85%；社区卫生服务中心金额比≥60%、品规比≥80%。</w:t>
      </w:r>
    </w:p>
    <w:p w14:paraId="670C0F6A">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lang w:val="en-US" w:eastAsia="zh-CN"/>
        </w:rPr>
        <w:t>8</w:t>
      </w:r>
      <w:r>
        <w:rPr>
          <w:rFonts w:hint="eastAsia" w:ascii="仿宋_GB2312" w:hAnsi="微软雅黑" w:eastAsia="仿宋_GB2312"/>
          <w:color w:val="000000" w:themeColor="text1"/>
          <w:sz w:val="32"/>
          <w:szCs w:val="32"/>
        </w:rPr>
        <w:t>.基层医疗卫生机构医共体建设符合“紧密型”、“控费用”、“同质化”、“促分工”发展方向始终保持稳步发展，深入推进。</w:t>
      </w:r>
    </w:p>
    <w:p w14:paraId="7D80EB99">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lang w:val="en-US" w:eastAsia="zh-CN"/>
        </w:rPr>
        <w:t>9</w:t>
      </w:r>
      <w:r>
        <w:rPr>
          <w:rFonts w:hint="eastAsia" w:ascii="仿宋_GB2312" w:hAnsi="微软雅黑" w:eastAsia="仿宋_GB2312"/>
          <w:color w:val="000000" w:themeColor="text1"/>
          <w:sz w:val="32"/>
          <w:szCs w:val="32"/>
        </w:rPr>
        <w:t>.基层医疗卫生机构满意度指标逐年提高，逐步推进。</w:t>
      </w:r>
    </w:p>
    <w:p w14:paraId="5E74CBEC">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textAlignment w:val="auto"/>
        <w:rPr>
          <w:rFonts w:hint="eastAsia" w:ascii="黑体" w:hAnsi="黑体" w:eastAsia="黑体" w:cs="宋体"/>
          <w:color w:val="000000" w:themeColor="text1"/>
          <w:sz w:val="32"/>
          <w:szCs w:val="32"/>
          <w:lang w:eastAsia="zh-CN"/>
        </w:rPr>
      </w:pPr>
      <w:r>
        <w:rPr>
          <w:rFonts w:hint="eastAsia" w:ascii="黑体" w:hAnsi="黑体" w:eastAsia="黑体" w:cs="宋体"/>
          <w:color w:val="000000" w:themeColor="text1"/>
          <w:sz w:val="32"/>
          <w:szCs w:val="32"/>
          <w:lang w:eastAsia="zh-CN"/>
        </w:rPr>
        <w:t>三</w:t>
      </w:r>
      <w:r>
        <w:rPr>
          <w:rFonts w:hint="default" w:ascii="黑体" w:hAnsi="黑体" w:eastAsia="黑体" w:cs="宋体"/>
          <w:color w:val="000000" w:themeColor="text1"/>
          <w:sz w:val="32"/>
          <w:szCs w:val="32"/>
          <w:lang w:eastAsia="zh-CN"/>
        </w:rPr>
        <w:t>、</w:t>
      </w:r>
      <w:r>
        <w:rPr>
          <w:rFonts w:hint="eastAsia" w:ascii="黑体" w:hAnsi="黑体" w:eastAsia="黑体" w:cs="宋体"/>
          <w:color w:val="000000" w:themeColor="text1"/>
          <w:sz w:val="32"/>
          <w:szCs w:val="32"/>
          <w:lang w:eastAsia="zh-CN"/>
        </w:rPr>
        <w:t>评价基本情况</w:t>
      </w:r>
    </w:p>
    <w:p w14:paraId="7ACF0832">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default"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lang w:val="en-US" w:eastAsia="zh-CN"/>
        </w:rPr>
        <w:t>1.</w:t>
      </w:r>
      <w:r>
        <w:rPr>
          <w:rFonts w:hint="eastAsia" w:ascii="仿宋_GB2312" w:hAnsi="微软雅黑" w:eastAsia="仿宋_GB2312" w:cs="宋体"/>
          <w:color w:val="000000" w:themeColor="text1"/>
          <w:sz w:val="32"/>
          <w:szCs w:val="32"/>
        </w:rPr>
        <w:t>绩效评价目的</w:t>
      </w:r>
      <w:r>
        <w:rPr>
          <w:rFonts w:hint="eastAsia" w:ascii="仿宋_GB2312" w:hAnsi="微软雅黑" w:eastAsia="仿宋_GB2312" w:cs="宋体"/>
          <w:color w:val="000000" w:themeColor="text1"/>
          <w:sz w:val="32"/>
          <w:szCs w:val="32"/>
          <w:lang w:eastAsia="zh-CN"/>
        </w:rPr>
        <w:t>：</w:t>
      </w:r>
      <w:r>
        <w:rPr>
          <w:rFonts w:hint="default" w:ascii="仿宋_GB2312" w:hAnsi="微软雅黑" w:eastAsia="仿宋_GB2312" w:cs="宋体"/>
          <w:color w:val="000000" w:themeColor="text1"/>
          <w:sz w:val="32"/>
          <w:szCs w:val="32"/>
        </w:rPr>
        <w:t>掌握各基层医疗卫生机构实施基本药物制度工作开展情况、实施效果，总结经验，发现问题，加强管理，促进工作。</w:t>
      </w:r>
    </w:p>
    <w:p w14:paraId="1B5BB4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微软雅黑" w:eastAsia="仿宋_GB2312" w:cs="宋体"/>
          <w:color w:val="000000" w:themeColor="text1"/>
          <w:sz w:val="32"/>
          <w:szCs w:val="32"/>
          <w:lang w:val="en-US" w:eastAsia="zh-CN"/>
        </w:rPr>
      </w:pPr>
      <w:r>
        <w:rPr>
          <w:rFonts w:hint="eastAsia" w:ascii="仿宋_GB2312" w:hAnsi="微软雅黑" w:eastAsia="仿宋_GB2312" w:cs="宋体"/>
          <w:color w:val="000000" w:themeColor="text1"/>
          <w:sz w:val="32"/>
          <w:szCs w:val="32"/>
          <w:lang w:val="en-US" w:eastAsia="zh-CN"/>
        </w:rPr>
        <w:t>2.绩效评价对象与范围：</w:t>
      </w:r>
      <w:r>
        <w:rPr>
          <w:rFonts w:hint="eastAsia" w:ascii="仿宋_GB2312" w:hAnsi="Verdana" w:eastAsia="仿宋_GB2312" w:cs="宋体"/>
          <w:color w:val="000000"/>
          <w:kern w:val="0"/>
          <w:sz w:val="32"/>
          <w:szCs w:val="32"/>
        </w:rPr>
        <w:t>兰州新区</w:t>
      </w:r>
      <w:r>
        <w:rPr>
          <w:rFonts w:hint="eastAsia" w:ascii="仿宋_GB2312" w:hAnsi="Verdana" w:eastAsia="仿宋_GB2312" w:cs="宋体"/>
          <w:color w:val="000000"/>
          <w:kern w:val="0"/>
          <w:sz w:val="32"/>
          <w:szCs w:val="32"/>
          <w:lang w:eastAsia="zh-CN"/>
        </w:rPr>
        <w:t>所有政府办基层医疗卫生机构（</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个乡镇卫生院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个社区卫生服务中心、</w:t>
      </w:r>
      <w:r>
        <w:rPr>
          <w:rFonts w:hint="eastAsia" w:ascii="仿宋_GB2312" w:hAnsi="仿宋_GB2312" w:eastAsia="仿宋_GB2312" w:cs="仿宋_GB2312"/>
          <w:kern w:val="0"/>
          <w:sz w:val="32"/>
          <w:szCs w:val="32"/>
          <w:lang w:val="en-US" w:eastAsia="zh-CN"/>
        </w:rPr>
        <w:t>1个综合门诊部、10个社区卫生服务站、567</w:t>
      </w:r>
      <w:r>
        <w:rPr>
          <w:rFonts w:hint="eastAsia" w:ascii="仿宋_GB2312" w:hAnsi="仿宋_GB2312" w:eastAsia="仿宋_GB2312" w:cs="仿宋_GB2312"/>
          <w:kern w:val="0"/>
          <w:sz w:val="32"/>
          <w:szCs w:val="32"/>
        </w:rPr>
        <w:t>个村卫生室</w:t>
      </w:r>
      <w:r>
        <w:rPr>
          <w:rFonts w:hint="eastAsia" w:ascii="仿宋_GB2312" w:hAnsi="仿宋_GB2312" w:eastAsia="仿宋_GB2312" w:cs="仿宋_GB2312"/>
          <w:kern w:val="0"/>
          <w:sz w:val="32"/>
          <w:szCs w:val="32"/>
          <w:lang w:eastAsia="zh-CN"/>
        </w:rPr>
        <w:t>全部落实国家基本药物制度</w:t>
      </w:r>
      <w:r>
        <w:rPr>
          <w:rFonts w:hint="eastAsia" w:ascii="仿宋_GB2312" w:hAnsi="Verdana" w:eastAsia="仿宋_GB2312" w:cs="宋体"/>
          <w:color w:val="000000"/>
          <w:kern w:val="0"/>
          <w:sz w:val="32"/>
          <w:szCs w:val="32"/>
          <w:lang w:eastAsia="zh-CN"/>
        </w:rPr>
        <w:t>）。</w:t>
      </w:r>
    </w:p>
    <w:p w14:paraId="41902F2E">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default"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lang w:val="en-US" w:eastAsia="zh-CN"/>
        </w:rPr>
        <w:t>3.</w:t>
      </w:r>
      <w:r>
        <w:rPr>
          <w:rFonts w:hint="default" w:ascii="仿宋_GB2312" w:hAnsi="微软雅黑" w:eastAsia="仿宋_GB2312" w:cs="宋体"/>
          <w:color w:val="000000" w:themeColor="text1"/>
          <w:sz w:val="32"/>
          <w:szCs w:val="32"/>
        </w:rPr>
        <w:t>绩效评价原则</w:t>
      </w:r>
      <w:r>
        <w:rPr>
          <w:rFonts w:hint="eastAsia" w:ascii="仿宋_GB2312" w:hAnsi="微软雅黑" w:eastAsia="仿宋_GB2312" w:cs="宋体"/>
          <w:color w:val="000000" w:themeColor="text1"/>
          <w:sz w:val="32"/>
          <w:szCs w:val="32"/>
          <w:lang w:eastAsia="zh-CN"/>
        </w:rPr>
        <w:t>：</w:t>
      </w:r>
      <w:r>
        <w:rPr>
          <w:rFonts w:hint="default" w:ascii="仿宋_GB2312" w:hAnsi="微软雅黑" w:eastAsia="仿宋_GB2312" w:cs="宋体"/>
          <w:color w:val="000000" w:themeColor="text1"/>
          <w:sz w:val="32"/>
          <w:szCs w:val="32"/>
        </w:rPr>
        <w:t>绩效评价过程公平、公正，绩效评价结果真实、客观，绩效评价结果与项目资金分配挂钩。</w:t>
      </w:r>
    </w:p>
    <w:p w14:paraId="1B0BB75B">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default"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lang w:val="en-US" w:eastAsia="zh-CN"/>
        </w:rPr>
        <w:t>4.</w:t>
      </w:r>
      <w:r>
        <w:rPr>
          <w:rFonts w:hint="default" w:ascii="仿宋_GB2312" w:hAnsi="微软雅黑" w:eastAsia="仿宋_GB2312" w:cs="宋体"/>
          <w:color w:val="000000" w:themeColor="text1"/>
          <w:sz w:val="32"/>
          <w:szCs w:val="32"/>
        </w:rPr>
        <w:t>绩效评价方法</w:t>
      </w:r>
      <w:r>
        <w:rPr>
          <w:rFonts w:hint="eastAsia" w:ascii="仿宋_GB2312" w:hAnsi="微软雅黑" w:eastAsia="仿宋_GB2312" w:cs="宋体"/>
          <w:color w:val="000000" w:themeColor="text1"/>
          <w:sz w:val="32"/>
          <w:szCs w:val="32"/>
          <w:lang w:eastAsia="zh-CN"/>
        </w:rPr>
        <w:t>：</w:t>
      </w:r>
      <w:r>
        <w:rPr>
          <w:rFonts w:hint="default" w:ascii="仿宋_GB2312" w:hAnsi="微软雅黑" w:eastAsia="仿宋_GB2312" w:cs="宋体"/>
          <w:color w:val="000000" w:themeColor="text1"/>
          <w:sz w:val="32"/>
          <w:szCs w:val="32"/>
        </w:rPr>
        <w:t>绩效评价采取基层医疗卫生机构自查和抽查部分村卫生室相结合方式进行，在基层医疗卫生机构自评基础上，严格按照评分标准组织全面考核，绩效评价工作采取听取汇报、查阅资料、现场考察、抽查核实等方式进行。</w:t>
      </w:r>
    </w:p>
    <w:p w14:paraId="6B56A57B">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_GB2312" w:hAnsi="微软雅黑" w:eastAsia="仿宋_GB2312" w:cs="宋体"/>
          <w:color w:val="000000" w:themeColor="text1"/>
          <w:sz w:val="32"/>
          <w:szCs w:val="32"/>
          <w:lang w:eastAsia="zh-CN"/>
        </w:rPr>
      </w:pPr>
      <w:r>
        <w:rPr>
          <w:rFonts w:hint="eastAsia" w:ascii="仿宋_GB2312" w:hAnsi="微软雅黑" w:eastAsia="仿宋_GB2312" w:cs="宋体"/>
          <w:color w:val="000000" w:themeColor="text1"/>
          <w:sz w:val="32"/>
          <w:szCs w:val="32"/>
          <w:lang w:val="en-US" w:eastAsia="zh-CN"/>
        </w:rPr>
        <w:t>5</w:t>
      </w:r>
      <w:r>
        <w:rPr>
          <w:rFonts w:hint="eastAsia" w:ascii="仿宋_GB2312" w:hAnsi="微软雅黑" w:eastAsia="仿宋_GB2312" w:cs="宋体"/>
          <w:color w:val="000000" w:themeColor="text1"/>
          <w:sz w:val="32"/>
          <w:szCs w:val="32"/>
          <w:lang w:eastAsia="zh-CN"/>
        </w:rPr>
        <w:t>.</w:t>
      </w:r>
      <w:r>
        <w:rPr>
          <w:rFonts w:hint="default" w:ascii="仿宋_GB2312" w:hAnsi="微软雅黑" w:eastAsia="仿宋_GB2312" w:cs="宋体"/>
          <w:color w:val="000000" w:themeColor="text1"/>
          <w:sz w:val="32"/>
          <w:szCs w:val="32"/>
        </w:rPr>
        <w:t>绩效评价标准</w:t>
      </w:r>
      <w:r>
        <w:rPr>
          <w:rFonts w:hint="eastAsia" w:ascii="仿宋_GB2312" w:hAnsi="微软雅黑" w:eastAsia="仿宋_GB2312" w:cs="宋体"/>
          <w:color w:val="000000" w:themeColor="text1"/>
          <w:sz w:val="32"/>
          <w:szCs w:val="32"/>
          <w:lang w:eastAsia="zh-CN"/>
        </w:rPr>
        <w:t>：</w:t>
      </w:r>
      <w:r>
        <w:rPr>
          <w:rFonts w:hint="default" w:ascii="仿宋_GB2312" w:hAnsi="微软雅黑" w:eastAsia="仿宋_GB2312" w:cs="宋体"/>
          <w:color w:val="000000" w:themeColor="text1"/>
          <w:sz w:val="32"/>
          <w:szCs w:val="32"/>
        </w:rPr>
        <w:t>绩效评价的内容为药品网上采购及零差率销售、管理培训、药品配备使用、药品采购管理、药事管理、辖区村卫生室管理，具体见</w:t>
      </w:r>
      <w:r>
        <w:rPr>
          <w:rFonts w:hint="eastAsia" w:ascii="仿宋_GB2312" w:hAnsi="微软雅黑" w:eastAsia="仿宋_GB2312" w:cs="宋体"/>
          <w:color w:val="000000" w:themeColor="text1"/>
          <w:sz w:val="32"/>
          <w:szCs w:val="32"/>
        </w:rPr>
        <w:t>兰州新区《</w:t>
      </w:r>
      <w:r>
        <w:rPr>
          <w:rFonts w:hint="eastAsia" w:ascii="仿宋_GB2312" w:hAnsi="微软雅黑" w:eastAsia="仿宋_GB2312" w:cs="宋体"/>
          <w:color w:val="000000" w:themeColor="text1"/>
          <w:sz w:val="32"/>
          <w:szCs w:val="32"/>
          <w:lang w:val="en-US" w:eastAsia="zh-CN"/>
        </w:rPr>
        <w:t>2023年兰州新区基本药物制度补助资金项目实施方案</w:t>
      </w:r>
      <w:r>
        <w:rPr>
          <w:rFonts w:hint="eastAsia" w:ascii="仿宋_GB2312" w:hAnsi="微软雅黑" w:eastAsia="仿宋_GB2312" w:cs="宋体"/>
          <w:color w:val="000000" w:themeColor="text1"/>
          <w:sz w:val="32"/>
          <w:szCs w:val="32"/>
        </w:rPr>
        <w:t>》</w:t>
      </w:r>
      <w:r>
        <w:rPr>
          <w:rFonts w:hint="eastAsia" w:ascii="仿宋_GB2312" w:hAnsi="微软雅黑" w:eastAsia="仿宋_GB2312" w:cs="宋体"/>
          <w:color w:val="000000" w:themeColor="text1"/>
          <w:sz w:val="32"/>
          <w:szCs w:val="32"/>
          <w:lang w:eastAsia="zh-CN"/>
        </w:rPr>
        <w:t>。</w:t>
      </w:r>
    </w:p>
    <w:p w14:paraId="0AF5182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5"/>
        <w:jc w:val="left"/>
        <w:textAlignment w:val="auto"/>
        <w:rPr>
          <w:rFonts w:hint="eastAsia" w:ascii="黑体" w:hAnsi="黑体" w:eastAsia="黑体" w:cs="宋体"/>
          <w:color w:val="000000" w:themeColor="text1"/>
          <w:kern w:val="0"/>
          <w:sz w:val="32"/>
          <w:szCs w:val="32"/>
          <w:lang w:eastAsia="zh-CN"/>
        </w:rPr>
      </w:pPr>
      <w:r>
        <w:rPr>
          <w:rFonts w:hint="eastAsia" w:ascii="黑体" w:hAnsi="黑体" w:eastAsia="黑体" w:cs="宋体"/>
          <w:color w:val="000000" w:themeColor="text1"/>
          <w:kern w:val="0"/>
          <w:sz w:val="32"/>
          <w:szCs w:val="32"/>
          <w:lang w:eastAsia="zh-CN"/>
        </w:rPr>
        <w:t>四</w:t>
      </w:r>
      <w:r>
        <w:rPr>
          <w:rFonts w:hint="eastAsia" w:ascii="黑体" w:hAnsi="黑体" w:eastAsia="黑体" w:cs="宋体"/>
          <w:color w:val="000000" w:themeColor="text1"/>
          <w:kern w:val="0"/>
          <w:sz w:val="32"/>
          <w:szCs w:val="32"/>
        </w:rPr>
        <w:t>、项目</w:t>
      </w:r>
      <w:r>
        <w:rPr>
          <w:rFonts w:hint="eastAsia" w:ascii="黑体" w:hAnsi="黑体" w:eastAsia="黑体" w:cs="宋体"/>
          <w:color w:val="000000" w:themeColor="text1"/>
          <w:kern w:val="0"/>
          <w:sz w:val="32"/>
          <w:szCs w:val="32"/>
          <w:lang w:eastAsia="zh-CN"/>
        </w:rPr>
        <w:t>评价结论及分析</w:t>
      </w:r>
    </w:p>
    <w:p w14:paraId="04BBD1E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5"/>
        <w:textAlignment w:val="auto"/>
        <w:rPr>
          <w:rFonts w:hint="eastAsia" w:ascii="楷体_GB2312" w:hAnsi="Verdana" w:eastAsia="楷体_GB2312" w:cs="宋体"/>
          <w:color w:val="000000" w:themeColor="text1"/>
          <w:kern w:val="0"/>
          <w:sz w:val="32"/>
          <w:szCs w:val="32"/>
          <w:lang w:val="en-US" w:eastAsia="zh-CN"/>
        </w:rPr>
      </w:pPr>
      <w:r>
        <w:rPr>
          <w:rFonts w:hint="eastAsia" w:ascii="楷体_GB2312" w:hAnsi="Verdana" w:eastAsia="楷体_GB2312" w:cs="宋体"/>
          <w:color w:val="000000" w:themeColor="text1"/>
          <w:kern w:val="0"/>
          <w:sz w:val="32"/>
          <w:szCs w:val="32"/>
          <w:lang w:eastAsia="zh-CN"/>
        </w:rPr>
        <w:t>（一）</w:t>
      </w:r>
      <w:r>
        <w:rPr>
          <w:rFonts w:hint="eastAsia" w:ascii="楷体_GB2312" w:hAnsi="Verdana" w:eastAsia="楷体_GB2312" w:cs="宋体"/>
          <w:color w:val="000000" w:themeColor="text1"/>
          <w:kern w:val="0"/>
          <w:sz w:val="32"/>
          <w:szCs w:val="32"/>
          <w:lang w:val="en-US" w:eastAsia="zh-CN"/>
        </w:rPr>
        <w:t>综合评价结论。</w:t>
      </w:r>
    </w:p>
    <w:p w14:paraId="0E89F91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5"/>
        <w:textAlignment w:val="auto"/>
        <w:rPr>
          <w:rFonts w:ascii="仿宋" w:hAnsi="仿宋" w:eastAsia="仿宋" w:cs="宋体"/>
          <w:color w:val="000000" w:themeColor="text1"/>
          <w:kern w:val="0"/>
          <w:sz w:val="32"/>
          <w:szCs w:val="32"/>
        </w:rPr>
      </w:pPr>
      <w:r>
        <w:rPr>
          <w:rFonts w:hint="eastAsia" w:ascii="仿宋_GB2312" w:hAnsi="Verdana" w:eastAsia="仿宋_GB2312" w:cs="宋体"/>
          <w:color w:val="000000" w:themeColor="text1"/>
          <w:kern w:val="0"/>
          <w:sz w:val="32"/>
          <w:szCs w:val="32"/>
          <w:lang w:eastAsia="zh-CN"/>
        </w:rPr>
        <w:t>2023</w:t>
      </w:r>
      <w:r>
        <w:rPr>
          <w:rFonts w:hint="eastAsia" w:ascii="仿宋_GB2312" w:hAnsi="Verdana" w:eastAsia="仿宋_GB2312" w:cs="宋体"/>
          <w:color w:val="000000" w:themeColor="text1"/>
          <w:kern w:val="0"/>
          <w:sz w:val="32"/>
          <w:szCs w:val="32"/>
        </w:rPr>
        <w:t>年</w:t>
      </w:r>
      <w:r>
        <w:rPr>
          <w:rFonts w:hint="eastAsia" w:ascii="仿宋_GB2312" w:hAnsi="Verdana" w:eastAsia="仿宋_GB2312" w:cs="宋体"/>
          <w:color w:val="000000" w:themeColor="text1"/>
          <w:kern w:val="0"/>
          <w:sz w:val="32"/>
          <w:szCs w:val="32"/>
          <w:lang w:val="en-US" w:eastAsia="zh-CN"/>
        </w:rPr>
        <w:t>1-12月</w:t>
      </w:r>
      <w:r>
        <w:rPr>
          <w:rFonts w:hint="eastAsia" w:ascii="仿宋_GB2312" w:hAnsi="Verdana" w:eastAsia="仿宋_GB2312" w:cs="宋体"/>
          <w:color w:val="000000" w:themeColor="text1"/>
          <w:kern w:val="0"/>
          <w:sz w:val="32"/>
          <w:szCs w:val="32"/>
        </w:rPr>
        <w:t>兰州新区共收到中央和省级基本药物制度补助资金</w:t>
      </w:r>
      <w:r>
        <w:rPr>
          <w:rFonts w:hint="eastAsia" w:ascii="仿宋_GB2312" w:hAnsi="Verdana" w:eastAsia="仿宋_GB2312" w:cs="宋体"/>
          <w:color w:val="000000" w:themeColor="text1"/>
          <w:kern w:val="0"/>
          <w:sz w:val="32"/>
          <w:szCs w:val="32"/>
          <w:lang w:val="en-US" w:eastAsia="zh-CN"/>
        </w:rPr>
        <w:t>268.32</w:t>
      </w:r>
      <w:r>
        <w:rPr>
          <w:rFonts w:hint="eastAsia" w:ascii="仿宋" w:hAnsi="仿宋" w:eastAsia="仿宋" w:cs="宋体"/>
          <w:color w:val="000000" w:themeColor="text1"/>
          <w:kern w:val="0"/>
          <w:sz w:val="32"/>
          <w:szCs w:val="32"/>
        </w:rPr>
        <w:t>万元</w:t>
      </w:r>
      <w:r>
        <w:rPr>
          <w:rFonts w:hint="eastAsia" w:ascii="仿宋_GB2312" w:hAnsi="Verdana" w:eastAsia="仿宋_GB2312" w:cs="宋体"/>
          <w:color w:val="000000" w:themeColor="text1"/>
          <w:kern w:val="0"/>
          <w:sz w:val="32"/>
          <w:szCs w:val="32"/>
        </w:rPr>
        <w:t>，已全额下拨到各基层医疗卫生机构，执行率1</w:t>
      </w:r>
      <w:r>
        <w:rPr>
          <w:rFonts w:ascii="仿宋_GB2312" w:hAnsi="Verdana" w:eastAsia="仿宋_GB2312" w:cs="宋体"/>
          <w:color w:val="000000" w:themeColor="text1"/>
          <w:kern w:val="0"/>
          <w:sz w:val="32"/>
          <w:szCs w:val="32"/>
        </w:rPr>
        <w:t>00%</w:t>
      </w:r>
      <w:r>
        <w:rPr>
          <w:rFonts w:hint="eastAsia" w:ascii="仿宋_GB2312" w:hAnsi="Verdana" w:eastAsia="仿宋_GB2312" w:cs="宋体"/>
          <w:color w:val="000000" w:themeColor="text1"/>
          <w:kern w:val="0"/>
          <w:sz w:val="32"/>
          <w:szCs w:val="32"/>
          <w:lang w:eastAsia="zh-CN"/>
        </w:rPr>
        <w:t>，</w:t>
      </w:r>
      <w:r>
        <w:rPr>
          <w:rFonts w:hint="eastAsia" w:ascii="仿宋" w:hAnsi="仿宋" w:eastAsia="仿宋" w:cs="宋体"/>
          <w:color w:val="000000" w:themeColor="text1"/>
          <w:kern w:val="0"/>
          <w:sz w:val="32"/>
          <w:szCs w:val="32"/>
        </w:rPr>
        <w:t>基层医疗卫生机构的运转</w:t>
      </w:r>
      <w:r>
        <w:rPr>
          <w:rFonts w:hint="eastAsia" w:ascii="仿宋_GB2312" w:hAnsi="Verdana" w:eastAsia="仿宋_GB2312" w:cs="宋体"/>
          <w:color w:val="000000" w:themeColor="text1"/>
          <w:kern w:val="0"/>
          <w:sz w:val="32"/>
          <w:szCs w:val="32"/>
        </w:rPr>
        <w:t>经费得到了保障，乡村医生的补助也及时足额下发。完成了</w:t>
      </w:r>
      <w:r>
        <w:rPr>
          <w:rFonts w:hint="eastAsia" w:ascii="仿宋_GB2312" w:hAnsi="Verdana" w:eastAsia="仿宋_GB2312" w:cs="宋体"/>
          <w:color w:val="000000" w:themeColor="text1"/>
          <w:kern w:val="0"/>
          <w:sz w:val="32"/>
          <w:szCs w:val="32"/>
          <w:lang w:eastAsia="zh-CN"/>
        </w:rPr>
        <w:t>2023</w:t>
      </w:r>
      <w:r>
        <w:rPr>
          <w:rFonts w:hint="eastAsia" w:ascii="仿宋_GB2312" w:hAnsi="Verdana" w:eastAsia="仿宋_GB2312" w:cs="宋体"/>
          <w:color w:val="000000" w:themeColor="text1"/>
          <w:kern w:val="0"/>
          <w:sz w:val="32"/>
          <w:szCs w:val="32"/>
        </w:rPr>
        <w:t>年</w:t>
      </w:r>
      <w:r>
        <w:rPr>
          <w:rFonts w:hint="eastAsia" w:ascii="仿宋_GB2312" w:hAnsi="Verdana" w:eastAsia="仿宋_GB2312" w:cs="宋体"/>
          <w:color w:val="000000" w:themeColor="text1"/>
          <w:kern w:val="0"/>
          <w:sz w:val="32"/>
          <w:szCs w:val="32"/>
          <w:lang w:val="en-US" w:eastAsia="zh-CN"/>
        </w:rPr>
        <w:t>1-12月</w:t>
      </w:r>
      <w:r>
        <w:rPr>
          <w:rFonts w:hint="eastAsia" w:ascii="仿宋_GB2312" w:hAnsi="Verdana" w:eastAsia="仿宋_GB2312" w:cs="宋体"/>
          <w:color w:val="000000" w:themeColor="text1"/>
          <w:kern w:val="0"/>
          <w:sz w:val="32"/>
          <w:szCs w:val="32"/>
        </w:rPr>
        <w:t>数量指标、质量指标、时效指标，严格实施基本药物制度，降低老百姓的就医成本，同时保障基层医疗机构和乡村医生的合理待遇。</w:t>
      </w:r>
    </w:p>
    <w:p w14:paraId="017D0C2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5"/>
        <w:textAlignment w:val="auto"/>
        <w:rPr>
          <w:rFonts w:hint="eastAsia" w:ascii="楷体_GB2312" w:hAnsi="Verdana" w:eastAsia="楷体_GB2312" w:cs="宋体"/>
          <w:color w:val="000000" w:themeColor="text1"/>
          <w:kern w:val="0"/>
          <w:sz w:val="32"/>
          <w:szCs w:val="32"/>
          <w:lang w:eastAsia="zh-CN"/>
        </w:rPr>
      </w:pPr>
      <w:r>
        <w:rPr>
          <w:rFonts w:hint="eastAsia" w:ascii="楷体_GB2312" w:hAnsi="Verdana" w:eastAsia="楷体_GB2312" w:cs="宋体"/>
          <w:color w:val="000000" w:themeColor="text1"/>
          <w:kern w:val="0"/>
          <w:sz w:val="32"/>
          <w:szCs w:val="32"/>
          <w:lang w:eastAsia="zh-CN"/>
        </w:rPr>
        <w:t>（二）绩效分析</w:t>
      </w:r>
    </w:p>
    <w:p w14:paraId="5769F2C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Verdana" w:eastAsia="仿宋_GB2312" w:cs="宋体"/>
          <w:color w:val="000000" w:themeColor="text1"/>
          <w:kern w:val="0"/>
          <w:sz w:val="32"/>
          <w:szCs w:val="32"/>
          <w:lang w:eastAsia="zh-CN"/>
        </w:rPr>
      </w:pPr>
      <w:r>
        <w:rPr>
          <w:rFonts w:hint="eastAsia" w:ascii="楷体_GB2312" w:hAnsi="Verdana" w:eastAsia="楷体_GB2312" w:cs="宋体"/>
          <w:color w:val="000000" w:themeColor="text1"/>
          <w:kern w:val="0"/>
          <w:sz w:val="32"/>
          <w:szCs w:val="32"/>
          <w:lang w:val="en-US" w:eastAsia="zh-CN"/>
        </w:rPr>
        <w:t>1.</w:t>
      </w:r>
      <w:r>
        <w:rPr>
          <w:rFonts w:hint="eastAsia" w:ascii="楷体_GB2312" w:hAnsi="Verdana" w:eastAsia="楷体_GB2312" w:cs="宋体"/>
          <w:color w:val="000000" w:themeColor="text1"/>
          <w:kern w:val="0"/>
          <w:sz w:val="32"/>
          <w:szCs w:val="32"/>
        </w:rPr>
        <w:t>产出指标</w:t>
      </w:r>
      <w:r>
        <w:rPr>
          <w:rFonts w:hint="eastAsia" w:ascii="楷体_GB2312" w:hAnsi="Verdana" w:eastAsia="楷体_GB2312" w:cs="宋体"/>
          <w:color w:val="000000" w:themeColor="text1"/>
          <w:kern w:val="0"/>
          <w:sz w:val="32"/>
          <w:szCs w:val="32"/>
          <w:lang w:eastAsia="zh-CN"/>
        </w:rPr>
        <w:t>。</w:t>
      </w:r>
      <w:r>
        <w:rPr>
          <w:rFonts w:hint="eastAsia" w:ascii="仿宋_GB2312" w:hAnsi="Verdana" w:eastAsia="仿宋_GB2312" w:cs="宋体"/>
          <w:color w:val="000000" w:themeColor="text1"/>
          <w:kern w:val="0"/>
          <w:sz w:val="32"/>
          <w:szCs w:val="32"/>
          <w:lang w:eastAsia="zh-CN"/>
        </w:rPr>
        <w:t>2023</w:t>
      </w:r>
      <w:r>
        <w:rPr>
          <w:rFonts w:hint="eastAsia" w:ascii="仿宋_GB2312" w:hAnsi="Verdana" w:eastAsia="仿宋_GB2312" w:cs="宋体"/>
          <w:color w:val="000000" w:themeColor="text1"/>
          <w:kern w:val="0"/>
          <w:sz w:val="32"/>
          <w:szCs w:val="32"/>
        </w:rPr>
        <w:t>年兰州新区政府办的</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个乡镇卫生院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个社区卫生服务中心、</w:t>
      </w:r>
      <w:r>
        <w:rPr>
          <w:rFonts w:hint="eastAsia" w:ascii="仿宋_GB2312" w:hAnsi="仿宋_GB2312" w:eastAsia="仿宋_GB2312" w:cs="仿宋_GB2312"/>
          <w:kern w:val="0"/>
          <w:sz w:val="32"/>
          <w:szCs w:val="32"/>
          <w:lang w:val="en-US" w:eastAsia="zh-CN"/>
        </w:rPr>
        <w:t>1个综合门诊部、10个社区卫生服务站、56</w:t>
      </w:r>
      <w:r>
        <w:rPr>
          <w:rFonts w:hint="eastAsia" w:ascii="仿宋_GB2312" w:hAnsi="仿宋_GB2312" w:eastAsia="仿宋_GB2312" w:cs="仿宋_GB2312"/>
          <w:kern w:val="0"/>
          <w:sz w:val="32"/>
          <w:szCs w:val="32"/>
        </w:rPr>
        <w:t>个村卫生室</w:t>
      </w:r>
      <w:r>
        <w:rPr>
          <w:rFonts w:hint="eastAsia" w:ascii="仿宋_GB2312" w:hAnsi="Verdana" w:eastAsia="仿宋_GB2312" w:cs="宋体"/>
          <w:color w:val="000000" w:themeColor="text1"/>
          <w:kern w:val="0"/>
          <w:sz w:val="32"/>
          <w:szCs w:val="32"/>
        </w:rPr>
        <w:t>全部实施国家基本药物制度，覆盖率达到100%</w:t>
      </w:r>
      <w:r>
        <w:rPr>
          <w:rFonts w:hint="eastAsia" w:ascii="仿宋_GB2312" w:hAnsi="Verdana" w:eastAsia="仿宋_GB2312" w:cs="宋体"/>
          <w:color w:val="000000" w:themeColor="text1"/>
          <w:kern w:val="0"/>
          <w:sz w:val="32"/>
          <w:szCs w:val="32"/>
          <w:lang w:eastAsia="zh-CN"/>
        </w:rPr>
        <w:t>，基层医疗机构药品零差率销售覆盖率</w:t>
      </w:r>
      <w:r>
        <w:rPr>
          <w:rFonts w:hint="eastAsia" w:ascii="仿宋_GB2312" w:hAnsi="Verdana" w:eastAsia="仿宋_GB2312" w:cs="宋体"/>
          <w:color w:val="000000" w:themeColor="text1"/>
          <w:kern w:val="0"/>
          <w:sz w:val="32"/>
          <w:szCs w:val="32"/>
          <w:lang w:val="en-US" w:eastAsia="zh-CN"/>
        </w:rPr>
        <w:t>100%，村卫生室药品零差率销售覆盖率100%，基层医疗卫生机构100%开展“优质服务基层行”活动</w:t>
      </w:r>
      <w:r>
        <w:rPr>
          <w:rFonts w:hint="eastAsia" w:ascii="仿宋_GB2312" w:hAnsi="Verdana" w:eastAsia="仿宋_GB2312" w:cs="宋体"/>
          <w:color w:val="000000" w:themeColor="text1"/>
          <w:kern w:val="0"/>
          <w:sz w:val="32"/>
          <w:szCs w:val="32"/>
          <w:lang w:eastAsia="zh-CN"/>
        </w:rPr>
        <w:t>，及时向社会公布</w:t>
      </w:r>
      <w:r>
        <w:rPr>
          <w:rFonts w:hint="eastAsia" w:ascii="仿宋_GB2312" w:hAnsi="Verdana" w:eastAsia="仿宋_GB2312" w:cs="宋体"/>
          <w:color w:val="000000" w:themeColor="text1"/>
          <w:kern w:val="0"/>
          <w:sz w:val="32"/>
          <w:szCs w:val="32"/>
        </w:rPr>
        <w:t>新版国家基本药物目录</w:t>
      </w:r>
      <w:r>
        <w:rPr>
          <w:rFonts w:hint="eastAsia" w:ascii="仿宋_GB2312" w:hAnsi="Verdana" w:eastAsia="仿宋_GB2312" w:cs="宋体"/>
          <w:color w:val="000000" w:themeColor="text1"/>
          <w:kern w:val="0"/>
          <w:sz w:val="32"/>
          <w:szCs w:val="32"/>
          <w:lang w:eastAsia="zh-CN"/>
        </w:rPr>
        <w:t>，持续巩固基本药物主导地位。</w:t>
      </w:r>
    </w:p>
    <w:p w14:paraId="1F41652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宋体"/>
          <w:color w:val="000000" w:themeColor="text1"/>
          <w:kern w:val="0"/>
          <w:sz w:val="32"/>
          <w:szCs w:val="32"/>
        </w:rPr>
      </w:pPr>
      <w:r>
        <w:rPr>
          <w:rFonts w:hint="eastAsia" w:ascii="楷体_GB2312" w:hAnsi="Verdana" w:eastAsia="楷体_GB2312" w:cs="宋体"/>
          <w:color w:val="000000" w:themeColor="text1"/>
          <w:kern w:val="0"/>
          <w:sz w:val="32"/>
          <w:szCs w:val="32"/>
          <w:lang w:val="en-US" w:eastAsia="zh-CN"/>
        </w:rPr>
        <w:t>2.</w:t>
      </w:r>
      <w:r>
        <w:rPr>
          <w:rFonts w:hint="eastAsia" w:ascii="楷体_GB2312" w:hAnsi="Verdana" w:eastAsia="楷体_GB2312" w:cs="宋体"/>
          <w:color w:val="000000" w:themeColor="text1"/>
          <w:kern w:val="0"/>
          <w:sz w:val="32"/>
          <w:szCs w:val="32"/>
        </w:rPr>
        <w:t>效益指标</w:t>
      </w:r>
      <w:r>
        <w:rPr>
          <w:rFonts w:hint="eastAsia" w:ascii="楷体_GB2312" w:hAnsi="Verdana" w:eastAsia="楷体_GB2312" w:cs="宋体"/>
          <w:color w:val="000000" w:themeColor="text1"/>
          <w:kern w:val="0"/>
          <w:sz w:val="32"/>
          <w:szCs w:val="32"/>
          <w:lang w:eastAsia="zh-CN"/>
        </w:rPr>
        <w:t>。</w:t>
      </w:r>
      <w:r>
        <w:rPr>
          <w:rFonts w:hint="eastAsia" w:ascii="仿宋_GB2312" w:hAnsi="Verdana" w:eastAsia="仿宋_GB2312" w:cs="宋体"/>
          <w:color w:val="000000" w:themeColor="text1"/>
          <w:kern w:val="0"/>
          <w:sz w:val="32"/>
          <w:szCs w:val="32"/>
          <w:lang w:eastAsia="zh-CN"/>
        </w:rPr>
        <w:t>基本药物制度在基层持续实施，今年</w:t>
      </w:r>
      <w:r>
        <w:rPr>
          <w:rFonts w:hint="eastAsia" w:ascii="仿宋_GB2312" w:hAnsi="Verdana" w:eastAsia="仿宋_GB2312" w:cs="宋体"/>
          <w:color w:val="000000" w:themeColor="text1"/>
          <w:kern w:val="0"/>
          <w:sz w:val="32"/>
          <w:szCs w:val="32"/>
          <w:lang w:val="en-US" w:eastAsia="zh-CN"/>
        </w:rPr>
        <w:t>1-12月份</w:t>
      </w:r>
      <w:r>
        <w:rPr>
          <w:rFonts w:hint="eastAsia" w:ascii="仿宋_GB2312" w:hAnsi="Verdana" w:eastAsia="仿宋_GB2312" w:cs="宋体"/>
          <w:color w:val="000000" w:themeColor="text1"/>
          <w:kern w:val="0"/>
          <w:sz w:val="32"/>
          <w:szCs w:val="32"/>
          <w:lang w:eastAsia="zh-CN"/>
        </w:rPr>
        <w:t>乡镇卫生院配备使用金额比均≥65%、品规比均≥85%，社区卫生服务中心配备使用金额比均≥60%、品规比均≥80%。</w:t>
      </w:r>
      <w:r>
        <w:rPr>
          <w:rFonts w:hint="eastAsia" w:ascii="仿宋_GB2312" w:hAnsi="Verdana" w:eastAsia="仿宋_GB2312" w:cs="宋体"/>
          <w:color w:val="000000" w:themeColor="text1"/>
          <w:kern w:val="0"/>
          <w:sz w:val="32"/>
          <w:szCs w:val="32"/>
        </w:rPr>
        <w:t>项目实施后整体社会效益明显，规范基层医疗机构药品采购渠道、用药行为，保证广大群众用药安全，使药品价格得到合理有效控制，降低城乡居民基本用药负担，</w:t>
      </w:r>
      <w:r>
        <w:rPr>
          <w:rFonts w:hint="eastAsia" w:ascii="仿宋" w:hAnsi="仿宋" w:eastAsia="仿宋" w:cs="宋体"/>
          <w:color w:val="000000" w:themeColor="text1"/>
          <w:kern w:val="0"/>
          <w:sz w:val="32"/>
          <w:szCs w:val="32"/>
        </w:rPr>
        <w:t>解决群众</w:t>
      </w:r>
      <w:r>
        <w:rPr>
          <w:rFonts w:hint="eastAsia" w:ascii="仿宋_GB2312" w:hAnsi="Verdana" w:eastAsia="仿宋_GB2312" w:cs="宋体"/>
          <w:color w:val="000000" w:themeColor="text1"/>
          <w:kern w:val="0"/>
          <w:sz w:val="32"/>
          <w:szCs w:val="32"/>
        </w:rPr>
        <w:t>“看病难、看病贵”问题，降低群众看病费用，群众看病方便且明显得到实惠，实施基本药物制度的基层医疗机构正常运转</w:t>
      </w:r>
      <w:r>
        <w:rPr>
          <w:rFonts w:hint="eastAsia" w:ascii="仿宋" w:hAnsi="仿宋" w:eastAsia="仿宋" w:cs="宋体"/>
          <w:color w:val="000000" w:themeColor="text1"/>
          <w:kern w:val="0"/>
          <w:sz w:val="32"/>
          <w:szCs w:val="32"/>
        </w:rPr>
        <w:t>。</w:t>
      </w:r>
    </w:p>
    <w:p w14:paraId="6C1AC77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Verdana" w:eastAsia="仿宋_GB2312" w:cs="宋体"/>
          <w:color w:val="000000" w:themeColor="text1"/>
          <w:kern w:val="0"/>
          <w:sz w:val="32"/>
          <w:szCs w:val="32"/>
        </w:rPr>
      </w:pPr>
      <w:r>
        <w:rPr>
          <w:rFonts w:hint="eastAsia" w:ascii="楷体_GB2312" w:hAnsi="Verdana" w:eastAsia="楷体_GB2312" w:cs="宋体"/>
          <w:color w:val="000000" w:themeColor="text1"/>
          <w:kern w:val="0"/>
          <w:sz w:val="32"/>
          <w:szCs w:val="32"/>
        </w:rPr>
        <w:t>（三）满意度指标</w:t>
      </w:r>
      <w:r>
        <w:rPr>
          <w:rFonts w:hint="eastAsia" w:ascii="楷体_GB2312" w:hAnsi="Verdana" w:eastAsia="楷体_GB2312" w:cs="宋体"/>
          <w:color w:val="000000" w:themeColor="text1"/>
          <w:kern w:val="0"/>
          <w:sz w:val="32"/>
          <w:szCs w:val="32"/>
          <w:lang w:eastAsia="zh-CN"/>
        </w:rPr>
        <w:t>。项</w:t>
      </w:r>
      <w:r>
        <w:rPr>
          <w:rFonts w:hint="eastAsia" w:ascii="仿宋_GB2312" w:hAnsi="Verdana" w:eastAsia="仿宋_GB2312" w:cs="宋体"/>
          <w:color w:val="000000" w:themeColor="text1"/>
          <w:kern w:val="0"/>
          <w:sz w:val="32"/>
          <w:szCs w:val="32"/>
          <w:lang w:eastAsia="zh-CN"/>
        </w:rPr>
        <w:t>目实施后，</w:t>
      </w:r>
      <w:r>
        <w:rPr>
          <w:rFonts w:hint="eastAsia" w:ascii="仿宋_GB2312" w:hAnsi="Verdana" w:eastAsia="仿宋_GB2312" w:cs="宋体"/>
          <w:color w:val="000000" w:themeColor="text1"/>
          <w:kern w:val="0"/>
          <w:sz w:val="32"/>
          <w:szCs w:val="32"/>
        </w:rPr>
        <w:t>降低</w:t>
      </w:r>
      <w:r>
        <w:rPr>
          <w:rFonts w:hint="eastAsia" w:ascii="仿宋_GB2312" w:hAnsi="Verdana" w:eastAsia="仿宋_GB2312" w:cs="宋体"/>
          <w:color w:val="000000" w:themeColor="text1"/>
          <w:kern w:val="0"/>
          <w:sz w:val="32"/>
          <w:szCs w:val="32"/>
          <w:lang w:eastAsia="zh-CN"/>
        </w:rPr>
        <w:t>了</w:t>
      </w:r>
      <w:r>
        <w:rPr>
          <w:rFonts w:hint="eastAsia" w:ascii="仿宋_GB2312" w:hAnsi="Verdana" w:eastAsia="仿宋_GB2312" w:cs="宋体"/>
          <w:color w:val="000000" w:themeColor="text1"/>
          <w:kern w:val="0"/>
          <w:sz w:val="32"/>
          <w:szCs w:val="32"/>
        </w:rPr>
        <w:t>城乡居民基本用药负担，提升了群众</w:t>
      </w:r>
      <w:r>
        <w:rPr>
          <w:rFonts w:hint="eastAsia" w:ascii="仿宋_GB2312" w:hAnsi="Verdana" w:eastAsia="仿宋_GB2312" w:cs="宋体"/>
          <w:color w:val="000000" w:themeColor="text1"/>
          <w:kern w:val="0"/>
          <w:sz w:val="32"/>
          <w:szCs w:val="32"/>
          <w:lang w:eastAsia="zh-CN"/>
        </w:rPr>
        <w:t>在基层看病就医的积极性，群众满意度达到</w:t>
      </w:r>
      <w:r>
        <w:rPr>
          <w:rFonts w:hint="eastAsia" w:ascii="仿宋_GB2312" w:hAnsi="Verdana" w:eastAsia="仿宋_GB2312" w:cs="宋体"/>
          <w:color w:val="000000" w:themeColor="text1"/>
          <w:kern w:val="0"/>
          <w:sz w:val="32"/>
          <w:szCs w:val="32"/>
          <w:lang w:val="en-US" w:eastAsia="zh-CN"/>
        </w:rPr>
        <w:t>99%</w:t>
      </w:r>
      <w:r>
        <w:rPr>
          <w:rFonts w:hint="eastAsia" w:ascii="仿宋_GB2312" w:hAnsi="Verdana" w:eastAsia="仿宋_GB2312" w:cs="宋体"/>
          <w:color w:val="000000" w:themeColor="text1"/>
          <w:kern w:val="0"/>
          <w:sz w:val="32"/>
          <w:szCs w:val="32"/>
        </w:rPr>
        <w:t>。</w:t>
      </w:r>
    </w:p>
    <w:p w14:paraId="426F8C2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themeColor="text1"/>
          <w:kern w:val="0"/>
          <w:sz w:val="32"/>
          <w:szCs w:val="32"/>
          <w:lang w:eastAsia="zh-CN"/>
        </w:rPr>
      </w:pPr>
      <w:r>
        <w:rPr>
          <w:rFonts w:hint="eastAsia" w:ascii="黑体" w:hAnsi="黑体" w:eastAsia="黑体" w:cs="黑体"/>
          <w:color w:val="000000" w:themeColor="text1"/>
          <w:kern w:val="0"/>
          <w:sz w:val="32"/>
          <w:szCs w:val="32"/>
          <w:lang w:eastAsia="zh-CN"/>
        </w:rPr>
        <w:t>五、存在的问题</w:t>
      </w:r>
    </w:p>
    <w:p w14:paraId="0A6B2A4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5"/>
        <w:textAlignment w:val="auto"/>
        <w:rPr>
          <w:rFonts w:hint="eastAsia" w:ascii="仿宋_GB2312" w:hAnsi="Verdana" w:eastAsia="仿宋_GB2312" w:cs="宋体"/>
          <w:color w:val="000000" w:themeColor="text1"/>
          <w:kern w:val="0"/>
          <w:sz w:val="32"/>
          <w:szCs w:val="32"/>
        </w:rPr>
      </w:pPr>
      <w:r>
        <w:rPr>
          <w:rFonts w:hint="eastAsia" w:ascii="仿宋_GB2312" w:hAnsi="仿宋_GB2312" w:eastAsia="仿宋_GB2312" w:cs="仿宋_GB2312"/>
          <w:color w:val="000000"/>
          <w:sz w:val="32"/>
          <w:szCs w:val="32"/>
        </w:rPr>
        <w:t>基层医疗卫生机对</w:t>
      </w:r>
      <w:r>
        <w:rPr>
          <w:rFonts w:hint="eastAsia" w:ascii="仿宋_GB2312" w:hAnsi="仿宋_GB2312" w:eastAsia="仿宋_GB2312" w:cs="仿宋_GB2312"/>
          <w:color w:val="000000"/>
          <w:sz w:val="32"/>
          <w:szCs w:val="32"/>
          <w:lang w:eastAsia="zh-CN"/>
        </w:rPr>
        <w:t>村医的</w:t>
      </w:r>
      <w:r>
        <w:rPr>
          <w:rFonts w:hint="eastAsia" w:ascii="仿宋_GB2312" w:hAnsi="仿宋_GB2312" w:eastAsia="仿宋_GB2312" w:cs="仿宋_GB2312"/>
          <w:color w:val="000000"/>
          <w:sz w:val="32"/>
          <w:szCs w:val="32"/>
        </w:rPr>
        <w:t>基本药物临床应用培训力度</w:t>
      </w:r>
      <w:r>
        <w:rPr>
          <w:rFonts w:hint="eastAsia" w:ascii="仿宋_GB2312" w:hAnsi="仿宋_GB2312" w:eastAsia="仿宋_GB2312" w:cs="仿宋_GB2312"/>
          <w:color w:val="000000"/>
          <w:sz w:val="32"/>
          <w:szCs w:val="32"/>
          <w:lang w:eastAsia="zh-CN"/>
        </w:rPr>
        <w:t>不够，</w:t>
      </w:r>
      <w:r>
        <w:rPr>
          <w:rFonts w:hint="eastAsia" w:ascii="仿宋_GB2312" w:hAnsi="Verdana" w:eastAsia="仿宋_GB2312" w:cs="宋体"/>
          <w:color w:val="000000" w:themeColor="text1"/>
          <w:kern w:val="0"/>
          <w:sz w:val="32"/>
          <w:szCs w:val="32"/>
          <w:lang w:val="en-US" w:eastAsia="zh-CN"/>
        </w:rPr>
        <w:t>村医用药</w:t>
      </w:r>
      <w:r>
        <w:rPr>
          <w:rFonts w:hint="eastAsia" w:ascii="仿宋_GB2312" w:hAnsi="Verdana" w:eastAsia="仿宋_GB2312" w:cs="宋体"/>
          <w:color w:val="000000" w:themeColor="text1"/>
          <w:kern w:val="0"/>
          <w:sz w:val="32"/>
          <w:szCs w:val="32"/>
        </w:rPr>
        <w:t>欠规范。</w:t>
      </w:r>
    </w:p>
    <w:p w14:paraId="1BABA5A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5"/>
        <w:jc w:val="left"/>
        <w:textAlignment w:val="auto"/>
        <w:rPr>
          <w:rFonts w:ascii="黑体" w:hAnsi="黑体" w:eastAsia="黑体" w:cs="宋体"/>
          <w:color w:val="000000" w:themeColor="text1"/>
          <w:kern w:val="0"/>
          <w:sz w:val="32"/>
          <w:szCs w:val="32"/>
        </w:rPr>
      </w:pPr>
      <w:r>
        <w:rPr>
          <w:rFonts w:hint="eastAsia" w:ascii="黑体" w:hAnsi="黑体" w:eastAsia="黑体" w:cs="宋体"/>
          <w:color w:val="000000" w:themeColor="text1"/>
          <w:kern w:val="0"/>
          <w:sz w:val="32"/>
          <w:szCs w:val="32"/>
          <w:lang w:eastAsia="zh-CN"/>
        </w:rPr>
        <w:t>六</w:t>
      </w:r>
      <w:r>
        <w:rPr>
          <w:rFonts w:hint="eastAsia" w:ascii="黑体" w:hAnsi="黑体" w:eastAsia="黑体" w:cs="宋体"/>
          <w:color w:val="000000" w:themeColor="text1"/>
          <w:kern w:val="0"/>
          <w:sz w:val="32"/>
          <w:szCs w:val="32"/>
        </w:rPr>
        <w:t>、</w:t>
      </w:r>
      <w:r>
        <w:rPr>
          <w:rFonts w:hint="eastAsia" w:ascii="黑体" w:hAnsi="黑体" w:eastAsia="黑体" w:cs="宋体"/>
          <w:color w:val="000000" w:themeColor="text1"/>
          <w:kern w:val="0"/>
          <w:sz w:val="32"/>
          <w:szCs w:val="32"/>
          <w:lang w:eastAsia="zh-CN"/>
        </w:rPr>
        <w:t>有关</w:t>
      </w:r>
      <w:r>
        <w:rPr>
          <w:rFonts w:hint="eastAsia" w:ascii="黑体" w:hAnsi="黑体" w:eastAsia="黑体" w:cs="宋体"/>
          <w:color w:val="000000" w:themeColor="text1"/>
          <w:kern w:val="0"/>
          <w:sz w:val="32"/>
          <w:szCs w:val="32"/>
        </w:rPr>
        <w:t>建议</w:t>
      </w:r>
    </w:p>
    <w:p w14:paraId="3C15C49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微软雅黑" w:eastAsia="仿宋_GB2312"/>
          <w:color w:val="000000" w:themeColor="text1"/>
          <w:sz w:val="32"/>
          <w:szCs w:val="32"/>
        </w:rPr>
      </w:pPr>
      <w:r>
        <w:rPr>
          <w:rFonts w:hint="eastAsia" w:ascii="楷体_GB2312" w:hAnsi="Verdana" w:eastAsia="楷体_GB2312" w:cs="宋体"/>
          <w:color w:val="000000" w:themeColor="text1"/>
          <w:kern w:val="0"/>
          <w:sz w:val="32"/>
          <w:szCs w:val="32"/>
        </w:rPr>
        <w:t>1</w:t>
      </w:r>
      <w:r>
        <w:rPr>
          <w:rFonts w:hint="eastAsia" w:ascii="楷体_GB2312" w:hAnsi="Verdana" w:eastAsia="楷体_GB2312" w:cs="宋体"/>
          <w:color w:val="000000" w:themeColor="text1"/>
          <w:kern w:val="0"/>
          <w:sz w:val="32"/>
          <w:szCs w:val="32"/>
          <w:lang w:eastAsia="zh-CN"/>
        </w:rPr>
        <w:t>.</w:t>
      </w:r>
      <w:r>
        <w:rPr>
          <w:rFonts w:hint="eastAsia" w:ascii="楷体_GB2312" w:hAnsi="Verdana" w:eastAsia="楷体_GB2312" w:cs="宋体"/>
          <w:color w:val="000000" w:themeColor="text1"/>
          <w:kern w:val="0"/>
          <w:sz w:val="32"/>
          <w:szCs w:val="32"/>
        </w:rPr>
        <w:t>健全工作机制。</w:t>
      </w:r>
      <w:r>
        <w:rPr>
          <w:rFonts w:hint="eastAsia" w:ascii="仿宋_GB2312" w:hAnsi="微软雅黑" w:eastAsia="仿宋_GB2312"/>
          <w:color w:val="000000" w:themeColor="text1"/>
          <w:sz w:val="32"/>
          <w:szCs w:val="32"/>
        </w:rPr>
        <w:t>健全</w:t>
      </w:r>
      <w:r>
        <w:rPr>
          <w:rFonts w:hint="eastAsia" w:ascii="仿宋_GB2312" w:hAnsi="微软雅黑" w:eastAsia="仿宋_GB2312"/>
          <w:color w:val="000000" w:themeColor="text1"/>
          <w:sz w:val="32"/>
          <w:szCs w:val="32"/>
          <w:lang w:eastAsia="zh-CN"/>
        </w:rPr>
        <w:t>国家基本药物制度补助项目绩效评价</w:t>
      </w:r>
      <w:r>
        <w:rPr>
          <w:rFonts w:hint="eastAsia" w:ascii="仿宋_GB2312" w:hAnsi="微软雅黑" w:eastAsia="仿宋_GB2312"/>
          <w:color w:val="000000" w:themeColor="text1"/>
          <w:sz w:val="32"/>
          <w:szCs w:val="32"/>
        </w:rPr>
        <w:t>工作机制，强化工作职责，及时分析汇总，发现问题及时采取有效措施整改，确保</w:t>
      </w:r>
      <w:r>
        <w:rPr>
          <w:rFonts w:hint="eastAsia" w:ascii="仿宋_GB2312" w:hAnsi="微软雅黑" w:eastAsia="仿宋_GB2312"/>
          <w:color w:val="000000" w:themeColor="text1"/>
          <w:sz w:val="32"/>
          <w:szCs w:val="32"/>
          <w:lang w:eastAsia="zh-CN"/>
        </w:rPr>
        <w:t>绩效评价</w:t>
      </w:r>
      <w:r>
        <w:rPr>
          <w:rFonts w:hint="eastAsia" w:ascii="仿宋_GB2312" w:hAnsi="微软雅黑" w:eastAsia="仿宋_GB2312"/>
          <w:color w:val="000000" w:themeColor="text1"/>
          <w:sz w:val="32"/>
          <w:szCs w:val="32"/>
        </w:rPr>
        <w:t>工作有序</w:t>
      </w:r>
      <w:r>
        <w:rPr>
          <w:rFonts w:hint="eastAsia" w:ascii="仿宋_GB2312" w:hAnsi="微软雅黑" w:eastAsia="仿宋_GB2312"/>
          <w:color w:val="000000" w:themeColor="text1"/>
          <w:sz w:val="32"/>
          <w:szCs w:val="32"/>
          <w:lang w:eastAsia="zh-CN"/>
        </w:rPr>
        <w:t>开展</w:t>
      </w:r>
      <w:r>
        <w:rPr>
          <w:rFonts w:hint="eastAsia" w:ascii="仿宋_GB2312" w:hAnsi="微软雅黑" w:eastAsia="仿宋_GB2312"/>
          <w:color w:val="000000" w:themeColor="text1"/>
          <w:sz w:val="32"/>
          <w:szCs w:val="32"/>
        </w:rPr>
        <w:t>。</w:t>
      </w:r>
    </w:p>
    <w:p w14:paraId="5474EB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楷体_GB2312" w:hAnsi="Verdana" w:eastAsia="楷体_GB2312" w:cs="宋体"/>
          <w:color w:val="000000" w:themeColor="text1"/>
          <w:kern w:val="0"/>
          <w:sz w:val="32"/>
          <w:szCs w:val="32"/>
          <w:lang w:val="en-US" w:eastAsia="zh-CN"/>
        </w:rPr>
        <w:t>2.加强监督指导。</w:t>
      </w:r>
      <w:r>
        <w:rPr>
          <w:rFonts w:hint="eastAsia" w:ascii="仿宋_GB2312" w:hAnsi="仿宋_GB2312" w:eastAsia="仿宋_GB2312" w:cs="仿宋_GB2312"/>
          <w:sz w:val="32"/>
          <w:szCs w:val="32"/>
        </w:rPr>
        <w:t>切实加强</w:t>
      </w:r>
      <w:r>
        <w:rPr>
          <w:rFonts w:hint="eastAsia" w:ascii="仿宋_GB2312" w:hAnsi="仿宋_GB2312" w:eastAsia="仿宋_GB2312" w:cs="仿宋_GB2312"/>
          <w:sz w:val="32"/>
          <w:szCs w:val="32"/>
          <w:lang w:eastAsia="zh-CN"/>
        </w:rPr>
        <w:t>基层医疗机构和</w:t>
      </w:r>
      <w:r>
        <w:rPr>
          <w:rFonts w:hint="eastAsia" w:ascii="仿宋_GB2312" w:hAnsi="仿宋_GB2312" w:eastAsia="仿宋_GB2312" w:cs="仿宋_GB2312"/>
          <w:sz w:val="32"/>
          <w:szCs w:val="32"/>
        </w:rPr>
        <w:t>村卫生室的监督管理，</w:t>
      </w:r>
      <w:r>
        <w:rPr>
          <w:rFonts w:hint="eastAsia" w:ascii="仿宋_GB2312" w:hAnsi="仿宋_GB2312" w:eastAsia="仿宋_GB2312" w:cs="仿宋_GB2312"/>
          <w:sz w:val="32"/>
          <w:szCs w:val="32"/>
          <w:lang w:eastAsia="zh-CN"/>
        </w:rPr>
        <w:t>强化绩效考核和国家基本药物制度实施业务</w:t>
      </w:r>
      <w:r>
        <w:rPr>
          <w:rFonts w:hint="eastAsia" w:ascii="仿宋_GB2312" w:hAnsi="仿宋_GB2312" w:eastAsia="仿宋_GB2312" w:cs="仿宋_GB2312"/>
          <w:sz w:val="32"/>
          <w:szCs w:val="32"/>
        </w:rPr>
        <w:t>培训指导，加强药品存储环节和使用流程的规范化管理，</w:t>
      </w:r>
      <w:r>
        <w:rPr>
          <w:rFonts w:hint="eastAsia" w:ascii="仿宋_GB2312" w:hAnsi="仿宋_GB2312" w:eastAsia="仿宋_GB2312" w:cs="仿宋_GB2312"/>
          <w:sz w:val="32"/>
          <w:szCs w:val="32"/>
          <w:lang w:eastAsia="zh-CN"/>
        </w:rPr>
        <w:t>确保</w:t>
      </w:r>
      <w:r>
        <w:rPr>
          <w:rFonts w:hint="eastAsia" w:ascii="仿宋_GB2312" w:hAnsi="仿宋_GB2312" w:eastAsia="仿宋_GB2312" w:cs="仿宋_GB2312"/>
          <w:sz w:val="32"/>
          <w:szCs w:val="32"/>
        </w:rPr>
        <w:t>群众用药安全。</w:t>
      </w:r>
    </w:p>
    <w:p w14:paraId="2466D7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楷体_GB2312" w:hAnsi="Verdana" w:eastAsia="楷体_GB2312" w:cs="宋体"/>
          <w:color w:val="000000" w:themeColor="text1"/>
          <w:kern w:val="0"/>
          <w:sz w:val="32"/>
          <w:szCs w:val="32"/>
          <w:lang w:val="en-US" w:eastAsia="zh-CN"/>
        </w:rPr>
        <w:t>3</w:t>
      </w:r>
      <w:r>
        <w:rPr>
          <w:rFonts w:hint="eastAsia" w:ascii="楷体_GB2312" w:hAnsi="Verdana" w:eastAsia="楷体_GB2312" w:cs="宋体"/>
          <w:color w:val="000000" w:themeColor="text1"/>
          <w:kern w:val="0"/>
          <w:sz w:val="32"/>
          <w:szCs w:val="32"/>
          <w:lang w:eastAsia="zh-CN"/>
        </w:rPr>
        <w:t>.强化政策宣传</w:t>
      </w:r>
      <w:r>
        <w:rPr>
          <w:rFonts w:hint="eastAsia" w:ascii="楷体_GB2312" w:hAnsi="Verdana" w:eastAsia="楷体_GB2312" w:cs="宋体"/>
          <w:color w:val="000000" w:themeColor="text1"/>
          <w:kern w:val="0"/>
          <w:sz w:val="32"/>
          <w:szCs w:val="32"/>
        </w:rPr>
        <w:t>。</w:t>
      </w:r>
      <w:r>
        <w:rPr>
          <w:rFonts w:hint="eastAsia" w:ascii="仿宋_GB2312" w:hAnsi="仿宋_GB2312" w:eastAsia="仿宋_GB2312" w:cs="仿宋_GB2312"/>
          <w:sz w:val="32"/>
          <w:szCs w:val="32"/>
        </w:rPr>
        <w:t>在显著位置向群众公开药品价格并及时更新，</w:t>
      </w:r>
      <w:r>
        <w:rPr>
          <w:rFonts w:hint="eastAsia" w:ascii="仿宋_GB2312" w:hAnsi="仿宋_GB2312" w:eastAsia="仿宋_GB2312" w:cs="仿宋_GB2312"/>
          <w:sz w:val="32"/>
          <w:szCs w:val="32"/>
          <w:lang w:eastAsia="zh-CN"/>
        </w:rPr>
        <w:t>不断提高群众知晓率和满意度</w:t>
      </w:r>
      <w:r>
        <w:rPr>
          <w:rFonts w:hint="eastAsia" w:ascii="仿宋_GB2312" w:hAnsi="仿宋_GB2312" w:eastAsia="仿宋_GB2312" w:cs="仿宋_GB2312"/>
          <w:sz w:val="32"/>
          <w:szCs w:val="32"/>
        </w:rPr>
        <w:t>。</w:t>
      </w:r>
    </w:p>
    <w:p w14:paraId="04793E5E">
      <w:pPr>
        <w:pStyle w:val="3"/>
        <w:keepNext/>
        <w:keepLines/>
        <w:widowControl w:val="0"/>
        <w:spacing w:before="0" w:beforeAutospacing="0" w:after="0" w:afterAutospacing="0"/>
        <w:ind w:left="640" w:leftChars="200" w:firstLine="0" w:firstLineChars="0"/>
        <w:jc w:val="both"/>
        <w:rPr>
          <w:rFonts w:ascii="楷体" w:hAnsi="楷体" w:eastAsia="楷体" w:cs="楷体"/>
          <w:bCs w:val="0"/>
          <w:kern w:val="44"/>
          <w:sz w:val="32"/>
          <w:szCs w:val="32"/>
          <w:highlight w:val="none"/>
        </w:rPr>
      </w:pPr>
      <w:r>
        <w:rPr>
          <w:rFonts w:hint="eastAsia" w:ascii="楷体" w:hAnsi="楷体" w:eastAsia="楷体" w:cs="楷体"/>
          <w:sz w:val="32"/>
          <w:szCs w:val="32"/>
          <w:highlight w:val="none"/>
        </w:rPr>
        <w:t>（</w:t>
      </w:r>
      <w:r>
        <w:rPr>
          <w:rFonts w:hint="eastAsia" w:ascii="楷体" w:hAnsi="楷体" w:eastAsia="楷体" w:cs="楷体"/>
          <w:sz w:val="32"/>
          <w:szCs w:val="32"/>
          <w:highlight w:val="none"/>
          <w:lang w:eastAsia="zh-CN"/>
        </w:rPr>
        <w:t>二</w:t>
      </w:r>
      <w:r>
        <w:rPr>
          <w:rFonts w:hint="eastAsia" w:ascii="楷体" w:hAnsi="楷体" w:eastAsia="楷体" w:cs="楷体"/>
          <w:sz w:val="32"/>
          <w:szCs w:val="32"/>
          <w:highlight w:val="none"/>
        </w:rPr>
        <w:t>）</w:t>
      </w:r>
      <w:r>
        <w:rPr>
          <w:rFonts w:hint="eastAsia" w:ascii="楷体" w:hAnsi="楷体" w:eastAsia="楷体" w:cs="楷体"/>
          <w:sz w:val="32"/>
          <w:szCs w:val="32"/>
          <w:highlight w:val="none"/>
          <w:lang w:eastAsia="zh-CN"/>
        </w:rPr>
        <w:t>中医药事业传承与发展部分项目</w:t>
      </w:r>
    </w:p>
    <w:p w14:paraId="78E98427">
      <w:pPr>
        <w:widowControl/>
        <w:kinsoku w:val="0"/>
        <w:autoSpaceDE w:val="0"/>
        <w:autoSpaceDN w:val="0"/>
        <w:adjustRightInd w:val="0"/>
        <w:snapToGrid w:val="0"/>
        <w:spacing w:line="560" w:lineRule="exact"/>
        <w:ind w:firstLine="632"/>
        <w:textAlignment w:val="baseline"/>
        <w:rPr>
          <w:rFonts w:hint="eastAsia" w:ascii="黑体" w:hAnsi="黑体" w:eastAsia="黑体"/>
          <w:color w:val="auto"/>
          <w:highlight w:val="none"/>
        </w:rPr>
      </w:pPr>
      <w:bookmarkStart w:id="6" w:name="_Toc27188"/>
      <w:r>
        <w:rPr>
          <w:rFonts w:hint="eastAsia" w:ascii="黑体" w:hAnsi="黑体" w:eastAsia="黑体"/>
          <w:color w:val="auto"/>
          <w:spacing w:val="-2"/>
          <w:highlight w:val="none"/>
        </w:rPr>
        <w:t>一、绩效目标分解下达情况</w:t>
      </w:r>
    </w:p>
    <w:p w14:paraId="1F3C8359">
      <w:pPr>
        <w:autoSpaceDE w:val="0"/>
        <w:spacing w:line="560" w:lineRule="exact"/>
        <w:rPr>
          <w:rFonts w:hint="eastAsia"/>
          <w:color w:val="auto"/>
          <w:highlight w:val="none"/>
        </w:rPr>
      </w:pPr>
      <w:r>
        <w:rPr>
          <w:rFonts w:hint="eastAsia"/>
          <w:color w:val="auto"/>
          <w:highlight w:val="none"/>
        </w:rPr>
        <w:t>（一）下达2023年中央转移支付医疗服务与保障能力提升（中医药传承与发展部分）补助资金预算的通知-中医药传承与发展部分项目预算和绩效目标情况。</w:t>
      </w:r>
    </w:p>
    <w:p w14:paraId="6FE7E97F">
      <w:pPr>
        <w:pStyle w:val="13"/>
        <w:shd w:val="clear" w:color="auto" w:fill="FFFFFF"/>
        <w:spacing w:before="0" w:beforeAutospacing="0" w:after="0" w:afterAutospacing="0" w:line="560" w:lineRule="exact"/>
        <w:rPr>
          <w:rFonts w:hint="eastAsia"/>
          <w:color w:val="auto"/>
          <w:kern w:val="2"/>
          <w:sz w:val="32"/>
          <w:szCs w:val="32"/>
          <w:highlight w:val="none"/>
        </w:rPr>
      </w:pPr>
      <w:r>
        <w:rPr>
          <w:rFonts w:hint="eastAsia"/>
          <w:color w:val="auto"/>
          <w:kern w:val="2"/>
          <w:sz w:val="32"/>
          <w:szCs w:val="32"/>
          <w:highlight w:val="none"/>
        </w:rPr>
        <w:t>2022年甘肃省财政厅，甘肃省卫生健康委员会向兰州新区下拨中央转移支付医疗服务与保障能力提升（中医药事业传承与发展部分）-</w:t>
      </w:r>
      <w:r>
        <w:rPr>
          <w:rFonts w:hint="eastAsia"/>
          <w:color w:val="auto"/>
          <w:sz w:val="32"/>
          <w:szCs w:val="32"/>
          <w:highlight w:val="none"/>
        </w:rPr>
        <w:t>中医药传承与发展部分</w:t>
      </w:r>
      <w:r>
        <w:rPr>
          <w:rFonts w:hint="eastAsia"/>
          <w:color w:val="auto"/>
          <w:kern w:val="2"/>
          <w:sz w:val="32"/>
          <w:szCs w:val="32"/>
          <w:highlight w:val="none"/>
        </w:rPr>
        <w:t>项目资金200万元。</w:t>
      </w:r>
    </w:p>
    <w:p w14:paraId="6BDE0B23">
      <w:pPr>
        <w:autoSpaceDE w:val="0"/>
        <w:autoSpaceDN w:val="0"/>
        <w:spacing w:line="560" w:lineRule="exact"/>
        <w:ind w:firstLine="0" w:firstLineChars="0"/>
        <w:jc w:val="left"/>
        <w:rPr>
          <w:rFonts w:hint="eastAsia"/>
          <w:color w:val="auto"/>
          <w:highlight w:val="none"/>
        </w:rPr>
      </w:pPr>
      <w:r>
        <w:rPr>
          <w:rFonts w:hint="eastAsia"/>
          <w:color w:val="auto"/>
          <w:highlight w:val="none"/>
        </w:rPr>
        <w:t xml:space="preserve">    项目绩效总目标：</w:t>
      </w:r>
      <w:r>
        <w:rPr>
          <w:rFonts w:hint="eastAsia" w:ascii="仿宋_GB2312" w:hAnsi="Times New Roman" w:eastAsia="仿宋_GB2312" w:cs="Times New Roman"/>
          <w:color w:val="auto"/>
          <w:sz w:val="32"/>
          <w:szCs w:val="32"/>
          <w:highlight w:val="none"/>
          <w:lang w:val="en-US" w:eastAsia="zh-CN"/>
        </w:rPr>
        <w:t>通过开展中医药特色文化和内涵建设，提升中医药服务能力，推广中医适宜技术，大力发展各级医疗机构中医医院的预防、养生、保健服务，传播中医药健康养生知识，进一步增强中医药学科竞争力和医疗服务能力，推推动新区中医药工作全面协调和可持续发展。</w:t>
      </w:r>
    </w:p>
    <w:p w14:paraId="5B19659C">
      <w:pPr>
        <w:autoSpaceDE w:val="0"/>
        <w:autoSpaceDN w:val="0"/>
        <w:spacing w:line="560" w:lineRule="exact"/>
        <w:jc w:val="left"/>
        <w:rPr>
          <w:rFonts w:hint="eastAsia" w:eastAsia="仿宋_GB2312"/>
          <w:color w:val="auto"/>
          <w:highlight w:val="none"/>
          <w:lang w:eastAsia="zh-CN"/>
        </w:rPr>
      </w:pPr>
      <w:r>
        <w:rPr>
          <w:rFonts w:hint="eastAsia"/>
          <w:color w:val="auto"/>
          <w:highlight w:val="none"/>
        </w:rPr>
        <w:t>项目绩效阶段性目标：1.突出中医药特色</w:t>
      </w:r>
      <w:r>
        <w:rPr>
          <w:rFonts w:hint="eastAsia"/>
          <w:color w:val="auto"/>
          <w:highlight w:val="none"/>
          <w:lang w:eastAsia="zh-CN"/>
        </w:rPr>
        <w:t>科室</w:t>
      </w:r>
      <w:r>
        <w:rPr>
          <w:rFonts w:hint="eastAsia"/>
          <w:color w:val="auto"/>
          <w:highlight w:val="none"/>
        </w:rPr>
        <w:t>优势。</w:t>
      </w:r>
      <w:r>
        <w:rPr>
          <w:rFonts w:hint="eastAsia"/>
          <w:color w:val="auto"/>
          <w:highlight w:val="none"/>
          <w:lang w:eastAsia="zh-CN"/>
        </w:rPr>
        <w:t>中医馆建设</w:t>
      </w:r>
      <w:r>
        <w:rPr>
          <w:rFonts w:hint="eastAsia"/>
          <w:color w:val="auto"/>
          <w:highlight w:val="none"/>
          <w:lang w:val="en-US" w:eastAsia="zh-CN"/>
        </w:rPr>
        <w:t>7个</w:t>
      </w:r>
      <w:r>
        <w:rPr>
          <w:rFonts w:hint="eastAsia"/>
          <w:color w:val="auto"/>
          <w:highlight w:val="none"/>
        </w:rPr>
        <w:t>，</w:t>
      </w:r>
      <w:r>
        <w:rPr>
          <w:rFonts w:hint="eastAsia"/>
          <w:color w:val="auto"/>
          <w:highlight w:val="none"/>
          <w:lang w:eastAsia="zh-CN"/>
        </w:rPr>
        <w:t>加强中医馆医疗服务能力和内涵建设。</w:t>
      </w:r>
    </w:p>
    <w:p w14:paraId="72C9C748">
      <w:pPr>
        <w:autoSpaceDE w:val="0"/>
        <w:autoSpaceDN w:val="0"/>
        <w:spacing w:line="560" w:lineRule="exact"/>
        <w:jc w:val="left"/>
        <w:rPr>
          <w:rFonts w:hint="eastAsia" w:eastAsia="仿宋_GB2312"/>
          <w:color w:val="auto"/>
          <w:highlight w:val="none"/>
          <w:lang w:eastAsia="zh-CN"/>
        </w:rPr>
      </w:pPr>
      <w:r>
        <w:rPr>
          <w:rFonts w:hint="eastAsia"/>
          <w:color w:val="auto"/>
          <w:highlight w:val="none"/>
        </w:rPr>
        <w:t>2.打造中医专科诊疗高地。能独立开展本专科疑难、危重、复杂疾病的中西医结合诊疗，整体技术水平位居所在区域前列；专科具有较强的医疗服务和医疗技术辐射能力</w:t>
      </w:r>
      <w:r>
        <w:rPr>
          <w:rFonts w:hint="eastAsia"/>
          <w:color w:val="auto"/>
          <w:highlight w:val="none"/>
          <w:lang w:eastAsia="zh-CN"/>
        </w:rPr>
        <w:t>。</w:t>
      </w:r>
    </w:p>
    <w:p w14:paraId="364D3E2A">
      <w:pPr>
        <w:autoSpaceDE w:val="0"/>
        <w:autoSpaceDN w:val="0"/>
        <w:spacing w:line="560" w:lineRule="exact"/>
        <w:jc w:val="left"/>
        <w:rPr>
          <w:rFonts w:hint="eastAsia"/>
          <w:color w:val="auto"/>
          <w:highlight w:val="none"/>
        </w:rPr>
      </w:pPr>
      <w:r>
        <w:rPr>
          <w:rFonts w:hint="eastAsia"/>
          <w:color w:val="auto"/>
          <w:highlight w:val="none"/>
        </w:rPr>
        <w:t xml:space="preserve">3.加强人才培养。专科人才形成梯队，年龄结构、知识结构、职称结构及学历结构合理，专科负责人应为主任中医师职称，高级职称的骨干医师不少于 20%，中医类别执业医师不少于60%，并建立素质较高的后备人才队伍。 </w:t>
      </w:r>
    </w:p>
    <w:p w14:paraId="1A48CC48">
      <w:pPr>
        <w:autoSpaceDE w:val="0"/>
        <w:autoSpaceDN w:val="0"/>
        <w:spacing w:line="560" w:lineRule="exact"/>
        <w:jc w:val="left"/>
        <w:rPr>
          <w:rFonts w:hint="eastAsia"/>
          <w:color w:val="auto"/>
          <w:highlight w:val="none"/>
        </w:rPr>
      </w:pPr>
      <w:r>
        <w:rPr>
          <w:rFonts w:hint="eastAsia"/>
          <w:color w:val="auto"/>
          <w:highlight w:val="none"/>
        </w:rPr>
        <w:t>4.推广中医适宜技术。专科能够规范开展不少于</w:t>
      </w:r>
      <w:r>
        <w:rPr>
          <w:rFonts w:hint="eastAsia"/>
          <w:color w:val="auto"/>
          <w:highlight w:val="none"/>
          <w:lang w:val="en-US" w:eastAsia="zh-CN"/>
        </w:rPr>
        <w:t>45</w:t>
      </w:r>
      <w:r>
        <w:rPr>
          <w:rFonts w:hint="eastAsia"/>
          <w:color w:val="auto"/>
          <w:highlight w:val="none"/>
        </w:rPr>
        <w:t>项中医适宜技术，并遴选不少于</w:t>
      </w:r>
      <w:r>
        <w:rPr>
          <w:rFonts w:hint="eastAsia"/>
          <w:color w:val="auto"/>
          <w:highlight w:val="none"/>
          <w:lang w:val="en-US" w:eastAsia="zh-CN"/>
        </w:rPr>
        <w:t>25</w:t>
      </w:r>
      <w:r>
        <w:rPr>
          <w:rFonts w:hint="eastAsia"/>
          <w:color w:val="auto"/>
          <w:highlight w:val="none"/>
        </w:rPr>
        <w:t xml:space="preserve">项以上中医适宜技术向辖区内基层医疗卫生机构推广。 </w:t>
      </w:r>
    </w:p>
    <w:p w14:paraId="4E9E0008">
      <w:pPr>
        <w:widowControl/>
        <w:numPr>
          <w:ilvl w:val="0"/>
          <w:numId w:val="19"/>
        </w:numPr>
        <w:kinsoku w:val="0"/>
        <w:autoSpaceDE w:val="0"/>
        <w:autoSpaceDN w:val="0"/>
        <w:adjustRightInd w:val="0"/>
        <w:snapToGrid w:val="0"/>
        <w:spacing w:line="560" w:lineRule="exact"/>
        <w:ind w:firstLine="640"/>
        <w:textAlignment w:val="baseline"/>
        <w:rPr>
          <w:rFonts w:hint="eastAsia"/>
          <w:highlight w:val="none"/>
        </w:rPr>
      </w:pPr>
      <w:r>
        <w:rPr>
          <w:rFonts w:hint="eastAsia"/>
          <w:highlight w:val="none"/>
        </w:rPr>
        <w:t>资金安排、分解下达预算和绩效目标情况。</w:t>
      </w:r>
    </w:p>
    <w:p w14:paraId="0550EC6D">
      <w:pPr>
        <w:widowControl/>
        <w:kinsoku w:val="0"/>
        <w:autoSpaceDE w:val="0"/>
        <w:autoSpaceDN w:val="0"/>
        <w:adjustRightInd w:val="0"/>
        <w:snapToGrid w:val="0"/>
        <w:spacing w:line="560" w:lineRule="exact"/>
        <w:textAlignment w:val="baseline"/>
        <w:rPr>
          <w:rFonts w:hint="eastAsia"/>
          <w:highlight w:val="yellow"/>
        </w:rPr>
      </w:pPr>
      <w:r>
        <w:rPr>
          <w:rFonts w:hint="eastAsia" w:ascii="仿宋_GB2312" w:eastAsia="仿宋_GB2312" w:cs="Times New Roman"/>
          <w:kern w:val="2"/>
          <w:sz w:val="32"/>
          <w:szCs w:val="32"/>
          <w:lang w:val="en-US" w:eastAsia="zh-CN" w:bidi="ar-SA"/>
        </w:rPr>
        <w:t>根据甘肃省财政厅、甘肃省卫生健康委员会《关于提前下达</w:t>
      </w:r>
      <w:r>
        <w:rPr>
          <w:rFonts w:hint="eastAsia" w:ascii="仿宋_GB2312" w:eastAsia="仿宋_GB2312" w:cs="宋体"/>
          <w:sz w:val="32"/>
          <w:szCs w:val="32"/>
          <w:lang w:val="zh-CN"/>
        </w:rPr>
        <w:t>202</w:t>
      </w:r>
      <w:r>
        <w:rPr>
          <w:rFonts w:hint="eastAsia" w:ascii="仿宋_GB2312" w:eastAsia="仿宋_GB2312" w:cs="宋体"/>
          <w:sz w:val="32"/>
          <w:szCs w:val="32"/>
          <w:lang w:val="en-US" w:eastAsia="zh-CN"/>
        </w:rPr>
        <w:t>3</w:t>
      </w:r>
      <w:r>
        <w:rPr>
          <w:rFonts w:hint="eastAsia" w:ascii="仿宋_GB2312" w:eastAsia="仿宋_GB2312" w:cs="宋体"/>
          <w:sz w:val="32"/>
          <w:szCs w:val="32"/>
          <w:lang w:val="zh-CN"/>
        </w:rPr>
        <w:t>年中央转移支付医疗服务与保障能力提升（中医药事业传承与发展部分）补助资金的通知</w:t>
      </w:r>
      <w:r>
        <w:rPr>
          <w:rFonts w:hint="eastAsia" w:ascii="仿宋_GB2312" w:eastAsia="仿宋_GB2312" w:cs="Times New Roman"/>
          <w:kern w:val="2"/>
          <w:sz w:val="32"/>
          <w:szCs w:val="32"/>
          <w:lang w:val="en-US" w:eastAsia="zh-CN" w:bidi="ar-SA"/>
        </w:rPr>
        <w:t>》（甘财社</w:t>
      </w:r>
      <w:r>
        <w:rPr>
          <w:rFonts w:hint="eastAsia" w:ascii="仿宋_GB2312" w:hAnsi="Times New Roman" w:eastAsia="仿宋_GB2312" w:cs="Times New Roman"/>
          <w:kern w:val="2"/>
          <w:sz w:val="32"/>
          <w:szCs w:val="32"/>
          <w:lang w:val="en-US" w:eastAsia="zh-CN" w:bidi="ar-SA"/>
        </w:rPr>
        <w:t>〔202</w:t>
      </w:r>
      <w:r>
        <w:rPr>
          <w:rFonts w:hint="eastAsia" w:hAnsi="Times New Roman" w:cs="Times New Roman"/>
          <w:kern w:val="2"/>
          <w:sz w:val="32"/>
          <w:szCs w:val="32"/>
          <w:lang w:val="en-US" w:eastAsia="zh-CN" w:bidi="ar-SA"/>
        </w:rPr>
        <w:t>2</w:t>
      </w:r>
      <w:r>
        <w:rPr>
          <w:rFonts w:hint="eastAsia" w:ascii="仿宋_GB2312" w:hAnsi="Times New Roman" w:eastAsia="仿宋_GB2312" w:cs="Times New Roman"/>
          <w:kern w:val="2"/>
          <w:sz w:val="32"/>
          <w:szCs w:val="32"/>
          <w:lang w:val="en-US" w:eastAsia="zh-CN" w:bidi="ar-SA"/>
        </w:rPr>
        <w:t>〕</w:t>
      </w:r>
      <w:r>
        <w:rPr>
          <w:rFonts w:hint="eastAsia" w:ascii="仿宋_GB2312" w:eastAsia="仿宋_GB2312" w:cs="Times New Roman"/>
          <w:kern w:val="2"/>
          <w:sz w:val="32"/>
          <w:szCs w:val="32"/>
          <w:lang w:val="en-US" w:eastAsia="zh-CN" w:bidi="ar-SA"/>
        </w:rPr>
        <w:t>99</w:t>
      </w:r>
      <w:r>
        <w:rPr>
          <w:rFonts w:hint="eastAsia" w:ascii="仿宋_GB2312" w:hAnsi="Times New Roman" w:eastAsia="仿宋_GB2312" w:cs="Times New Roman"/>
          <w:kern w:val="2"/>
          <w:sz w:val="32"/>
          <w:szCs w:val="32"/>
          <w:lang w:val="en-US" w:eastAsia="zh-CN" w:bidi="ar-SA"/>
        </w:rPr>
        <w:t>号）</w:t>
      </w:r>
      <w:r>
        <w:rPr>
          <w:rFonts w:hint="eastAsia" w:ascii="仿宋_GB2312" w:eastAsia="仿宋_GB2312" w:cs="Times New Roman"/>
          <w:kern w:val="2"/>
          <w:sz w:val="32"/>
          <w:szCs w:val="32"/>
          <w:lang w:val="en-US" w:eastAsia="zh-CN" w:bidi="ar-SA"/>
        </w:rPr>
        <w:t>和《关于2023年提前下达</w:t>
      </w:r>
      <w:r>
        <w:rPr>
          <w:rFonts w:hint="eastAsia" w:ascii="仿宋_GB2312" w:eastAsia="仿宋_GB2312" w:cs="宋体"/>
          <w:sz w:val="32"/>
          <w:szCs w:val="32"/>
          <w:lang w:val="zh-CN"/>
        </w:rPr>
        <w:t>中央转移支付医疗服务与保障能力提升（中医药事业传承与发展部分）补助资金分解情况</w:t>
      </w:r>
      <w:r>
        <w:rPr>
          <w:rFonts w:hint="eastAsia" w:ascii="仿宋_GB2312" w:hAnsi="宋体" w:eastAsia="仿宋_GB2312" w:cs="宋体"/>
          <w:sz w:val="32"/>
          <w:szCs w:val="32"/>
          <w:lang w:val="zh-CN"/>
        </w:rPr>
        <w:t>的通知</w:t>
      </w:r>
      <w:r>
        <w:rPr>
          <w:rFonts w:hint="eastAsia" w:ascii="仿宋_GB2312" w:hAnsi="宋体" w:eastAsia="仿宋_GB2312" w:cs="宋体"/>
          <w:sz w:val="32"/>
          <w:szCs w:val="32"/>
          <w:lang w:val="en-US" w:eastAsia="zh-CN"/>
        </w:rPr>
        <w:t>》要求，为促进中医药服务能力提升，加强中医药特色技术支持，将</w:t>
      </w:r>
      <w:r>
        <w:rPr>
          <w:rFonts w:hint="eastAsia" w:ascii="仿宋_GB2312" w:hAnsi="宋体" w:eastAsia="仿宋_GB2312" w:cs="宋体"/>
          <w:sz w:val="32"/>
          <w:szCs w:val="32"/>
          <w:lang w:val="zh-CN" w:eastAsia="zh-CN"/>
        </w:rPr>
        <w:t>补助资金下拨各医疗机构</w:t>
      </w:r>
      <w:r>
        <w:rPr>
          <w:rFonts w:hint="eastAsia" w:ascii="仿宋_GB2312" w:hAnsi="宋体" w:eastAsia="仿宋_GB2312" w:cs="宋体"/>
          <w:sz w:val="32"/>
          <w:szCs w:val="32"/>
          <w:lang w:val="en-US" w:eastAsia="zh-CN"/>
        </w:rPr>
        <w:t>用于中西医协同“旗舰”科室建设和“旗舰”中医馆建设。</w:t>
      </w:r>
      <w:r>
        <w:rPr>
          <w:rFonts w:hint="eastAsia" w:ascii="仿宋_GB2312" w:hAnsi="宋体" w:eastAsia="仿宋_GB2312" w:cs="宋体"/>
          <w:sz w:val="32"/>
          <w:szCs w:val="32"/>
          <w:lang w:val="zh-CN"/>
        </w:rPr>
        <w:t>督促新区第一人民医院制定</w:t>
      </w:r>
      <w:r>
        <w:rPr>
          <w:rFonts w:hint="eastAsia" w:ascii="仿宋_GB2312" w:hAnsi="宋体" w:eastAsia="仿宋_GB2312" w:cs="宋体"/>
          <w:sz w:val="32"/>
          <w:szCs w:val="32"/>
          <w:lang w:val="en-US" w:eastAsia="zh-CN"/>
        </w:rPr>
        <w:t>中西医协同“旗舰”科室建设</w:t>
      </w:r>
      <w:r>
        <w:rPr>
          <w:rFonts w:hint="eastAsia" w:ascii="仿宋_GB2312" w:hAnsi="宋体" w:eastAsia="仿宋_GB2312" w:cs="宋体"/>
          <w:sz w:val="32"/>
          <w:szCs w:val="32"/>
          <w:lang w:val="zh-CN"/>
        </w:rPr>
        <w:t>方案，</w:t>
      </w:r>
      <w:r>
        <w:rPr>
          <w:rFonts w:hint="eastAsia" w:ascii="仿宋_GB2312" w:hAnsi="宋体" w:eastAsia="仿宋_GB2312" w:cs="宋体"/>
          <w:sz w:val="32"/>
          <w:szCs w:val="32"/>
          <w:lang w:val="zh-CN" w:eastAsia="zh-CN"/>
        </w:rPr>
        <w:t>各基层医疗机构制定“旗舰中医馆”建设方案，并</w:t>
      </w:r>
      <w:r>
        <w:rPr>
          <w:rFonts w:hint="eastAsia" w:ascii="仿宋_GB2312" w:hAnsi="宋体" w:eastAsia="仿宋_GB2312" w:cs="宋体"/>
          <w:sz w:val="32"/>
          <w:szCs w:val="32"/>
          <w:lang w:val="zh-CN"/>
        </w:rPr>
        <w:t>严格按照程序和使用范围项目资金。</w:t>
      </w:r>
    </w:p>
    <w:p w14:paraId="2F6EACE3">
      <w:pPr>
        <w:widowControl/>
        <w:kinsoku w:val="0"/>
        <w:autoSpaceDE w:val="0"/>
        <w:autoSpaceDN w:val="0"/>
        <w:adjustRightInd w:val="0"/>
        <w:snapToGrid w:val="0"/>
        <w:spacing w:line="560" w:lineRule="exact"/>
        <w:ind w:firstLine="632"/>
        <w:textAlignment w:val="baseline"/>
        <w:rPr>
          <w:rFonts w:hint="eastAsia" w:ascii="黑体" w:hAnsi="黑体" w:eastAsia="黑体"/>
          <w:highlight w:val="none"/>
        </w:rPr>
      </w:pPr>
      <w:r>
        <w:rPr>
          <w:rFonts w:hint="eastAsia" w:ascii="黑体" w:hAnsi="黑体" w:eastAsia="黑体"/>
          <w:spacing w:val="-2"/>
          <w:highlight w:val="none"/>
        </w:rPr>
        <w:t>二、绩效目标完成情况分析</w:t>
      </w:r>
    </w:p>
    <w:p w14:paraId="2E8CD0FD">
      <w:pPr>
        <w:widowControl/>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（一）资金投入情况分析</w:t>
      </w:r>
    </w:p>
    <w:p w14:paraId="067FBCA8">
      <w:pPr>
        <w:widowControl/>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1.项目资金到位情况分析</w:t>
      </w:r>
    </w:p>
    <w:p w14:paraId="2A8929AE">
      <w:pPr>
        <w:pStyle w:val="13"/>
        <w:widowControl/>
        <w:shd w:val="clear" w:color="auto" w:fill="FFFFFF"/>
        <w:spacing w:before="0" w:beforeAutospacing="0" w:after="0" w:afterAutospacing="0" w:line="560" w:lineRule="exact"/>
        <w:jc w:val="both"/>
        <w:rPr>
          <w:rFonts w:hint="eastAsia" w:hAnsi="Verdana" w:cs="宋体"/>
          <w:color w:val="000000"/>
          <w:sz w:val="32"/>
          <w:szCs w:val="32"/>
          <w:highlight w:val="none"/>
        </w:rPr>
      </w:pPr>
      <w:r>
        <w:rPr>
          <w:rFonts w:hint="eastAsia" w:hAnsi="Verdana" w:cs="宋体"/>
          <w:color w:val="000000"/>
          <w:sz w:val="32"/>
          <w:szCs w:val="32"/>
          <w:highlight w:val="none"/>
        </w:rPr>
        <w:t>202</w:t>
      </w:r>
      <w:r>
        <w:rPr>
          <w:rFonts w:hint="eastAsia" w:hAnsi="Verdana" w:cs="宋体"/>
          <w:color w:val="000000"/>
          <w:sz w:val="32"/>
          <w:szCs w:val="32"/>
          <w:highlight w:val="none"/>
          <w:lang w:val="en-US" w:eastAsia="zh-CN"/>
        </w:rPr>
        <w:t>3</w:t>
      </w:r>
      <w:r>
        <w:rPr>
          <w:rFonts w:hint="eastAsia" w:hAnsi="Verdana" w:cs="宋体"/>
          <w:color w:val="000000"/>
          <w:sz w:val="32"/>
          <w:szCs w:val="32"/>
          <w:highlight w:val="none"/>
        </w:rPr>
        <w:t>年预算资金</w:t>
      </w:r>
      <w:r>
        <w:rPr>
          <w:rFonts w:hint="eastAsia" w:hAnsi="Verdana" w:cs="宋体"/>
          <w:color w:val="000000"/>
          <w:sz w:val="32"/>
          <w:szCs w:val="32"/>
          <w:highlight w:val="none"/>
          <w:lang w:val="en-US" w:eastAsia="zh-CN"/>
        </w:rPr>
        <w:t>200</w:t>
      </w:r>
      <w:r>
        <w:rPr>
          <w:rFonts w:hint="eastAsia" w:hAnsi="Verdana" w:cs="宋体"/>
          <w:color w:val="000000"/>
          <w:sz w:val="32"/>
          <w:szCs w:val="32"/>
          <w:highlight w:val="none"/>
        </w:rPr>
        <w:t>万元，实际到位资金</w:t>
      </w:r>
      <w:r>
        <w:rPr>
          <w:rFonts w:hint="eastAsia" w:hAnsi="Verdana" w:cs="宋体"/>
          <w:color w:val="000000"/>
          <w:sz w:val="32"/>
          <w:szCs w:val="32"/>
          <w:highlight w:val="none"/>
          <w:lang w:val="en-US" w:eastAsia="zh-CN"/>
        </w:rPr>
        <w:t>200</w:t>
      </w:r>
      <w:r>
        <w:rPr>
          <w:rFonts w:hint="eastAsia" w:hAnsi="Verdana" w:cs="宋体"/>
          <w:color w:val="000000"/>
          <w:sz w:val="32"/>
          <w:szCs w:val="32"/>
          <w:highlight w:val="none"/>
        </w:rPr>
        <w:t>万元。</w:t>
      </w:r>
    </w:p>
    <w:p w14:paraId="6A7E97E5">
      <w:pPr>
        <w:widowControl/>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2.项目资金执行情况分析</w:t>
      </w:r>
    </w:p>
    <w:p w14:paraId="7DE84418">
      <w:pPr>
        <w:pStyle w:val="13"/>
        <w:widowControl/>
        <w:shd w:val="clear" w:color="auto" w:fill="FFFFFF"/>
        <w:spacing w:before="0" w:beforeAutospacing="0" w:after="0" w:afterAutospacing="0" w:line="560" w:lineRule="exact"/>
        <w:jc w:val="both"/>
        <w:rPr>
          <w:rFonts w:hint="eastAsia" w:hAnsi="Verdana" w:cs="宋体"/>
          <w:color w:val="000000"/>
          <w:sz w:val="32"/>
          <w:szCs w:val="32"/>
          <w:highlight w:val="none"/>
        </w:rPr>
      </w:pPr>
      <w:r>
        <w:rPr>
          <w:rFonts w:hint="eastAsia" w:hAnsi="Verdana" w:cs="宋体"/>
          <w:color w:val="000000"/>
          <w:sz w:val="32"/>
          <w:szCs w:val="32"/>
          <w:highlight w:val="none"/>
        </w:rPr>
        <w:t>202</w:t>
      </w:r>
      <w:r>
        <w:rPr>
          <w:rFonts w:hint="eastAsia" w:hAnsi="Verdana" w:cs="宋体"/>
          <w:color w:val="000000"/>
          <w:sz w:val="32"/>
          <w:szCs w:val="32"/>
          <w:highlight w:val="none"/>
          <w:lang w:val="en-US" w:eastAsia="zh-CN"/>
        </w:rPr>
        <w:t>3</w:t>
      </w:r>
      <w:r>
        <w:rPr>
          <w:rFonts w:hint="eastAsia" w:hAnsi="Verdana" w:cs="宋体"/>
          <w:color w:val="000000"/>
          <w:sz w:val="32"/>
          <w:szCs w:val="32"/>
          <w:highlight w:val="none"/>
        </w:rPr>
        <w:t>年项目资金执行</w:t>
      </w:r>
      <w:r>
        <w:rPr>
          <w:rFonts w:hint="eastAsia" w:hAnsi="Verdana" w:cs="宋体"/>
          <w:color w:val="000000"/>
          <w:sz w:val="32"/>
          <w:szCs w:val="32"/>
          <w:highlight w:val="none"/>
          <w:lang w:val="en-US" w:eastAsia="zh-CN"/>
        </w:rPr>
        <w:t>200</w:t>
      </w:r>
      <w:r>
        <w:rPr>
          <w:rFonts w:hint="eastAsia" w:hAnsi="Verdana" w:cs="宋体"/>
          <w:color w:val="000000"/>
          <w:sz w:val="32"/>
          <w:szCs w:val="32"/>
          <w:highlight w:val="none"/>
        </w:rPr>
        <w:t>万元,执行率为</w:t>
      </w:r>
      <w:r>
        <w:rPr>
          <w:rFonts w:hint="eastAsia" w:hAnsi="Verdana" w:cs="宋体"/>
          <w:color w:val="000000"/>
          <w:sz w:val="32"/>
          <w:szCs w:val="32"/>
          <w:highlight w:val="none"/>
          <w:lang w:val="en-US" w:eastAsia="zh-CN"/>
        </w:rPr>
        <w:t>100</w:t>
      </w:r>
      <w:r>
        <w:rPr>
          <w:rFonts w:hint="eastAsia" w:hAnsi="Verdana" w:cs="宋体"/>
          <w:color w:val="000000"/>
          <w:sz w:val="32"/>
          <w:szCs w:val="32"/>
          <w:highlight w:val="none"/>
        </w:rPr>
        <w:t>%。</w:t>
      </w:r>
    </w:p>
    <w:p w14:paraId="6835E728">
      <w:pPr>
        <w:pStyle w:val="13"/>
        <w:widowControl/>
        <w:shd w:val="clear" w:color="auto" w:fill="FFFFFF"/>
        <w:spacing w:before="0" w:beforeAutospacing="0" w:after="0" w:afterAutospacing="0" w:line="560" w:lineRule="exact"/>
        <w:ind w:firstLine="604"/>
        <w:jc w:val="both"/>
        <w:rPr>
          <w:rFonts w:hint="eastAsia" w:ascii="仿宋" w:hAnsi="仿宋" w:eastAsia="仿宋"/>
          <w:spacing w:val="-9"/>
          <w:sz w:val="32"/>
          <w:szCs w:val="32"/>
          <w:highlight w:val="none"/>
        </w:rPr>
      </w:pPr>
      <w:r>
        <w:rPr>
          <w:rFonts w:hint="eastAsia" w:ascii="仿宋" w:hAnsi="仿宋" w:eastAsia="仿宋"/>
          <w:spacing w:val="-9"/>
          <w:sz w:val="32"/>
          <w:szCs w:val="32"/>
          <w:highlight w:val="none"/>
        </w:rPr>
        <w:t>3.项目资金管理情况分析</w:t>
      </w:r>
    </w:p>
    <w:p w14:paraId="465C6863">
      <w:pPr>
        <w:pStyle w:val="13"/>
        <w:widowControl/>
        <w:shd w:val="clear" w:color="auto" w:fill="FFFFFF"/>
        <w:spacing w:before="0" w:beforeAutospacing="0" w:after="0" w:afterAutospacing="0" w:line="560" w:lineRule="exact"/>
        <w:jc w:val="both"/>
        <w:rPr>
          <w:rFonts w:hint="eastAsia" w:hAnsi="Verdana" w:cs="宋体"/>
          <w:color w:val="000000"/>
          <w:sz w:val="32"/>
          <w:szCs w:val="32"/>
          <w:highlight w:val="none"/>
        </w:rPr>
      </w:pPr>
      <w:r>
        <w:rPr>
          <w:rFonts w:hint="eastAsia" w:hAnsi="Verdana" w:cs="宋体"/>
          <w:color w:val="000000"/>
          <w:sz w:val="32"/>
          <w:szCs w:val="32"/>
          <w:highlight w:val="none"/>
        </w:rPr>
        <w:t>项目补助资金由甘肃省财政厅和甘肃省卫生健康委根据因素法核定分配。</w:t>
      </w:r>
    </w:p>
    <w:p w14:paraId="6DB70BD4">
      <w:pPr>
        <w:widowControl/>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（二）总体绩效目标完成情况分析。</w:t>
      </w:r>
    </w:p>
    <w:p w14:paraId="395A6909">
      <w:pPr>
        <w:pStyle w:val="13"/>
        <w:widowControl/>
        <w:shd w:val="clear" w:color="auto" w:fill="FFFFFF"/>
        <w:spacing w:before="0" w:beforeAutospacing="0" w:after="0" w:afterAutospacing="0" w:line="560" w:lineRule="exact"/>
        <w:jc w:val="both"/>
        <w:rPr>
          <w:rFonts w:hint="eastAsia" w:hAnsi="Verdana" w:eastAsia="仿宋_GB2312" w:cs="宋体"/>
          <w:color w:val="000000"/>
          <w:sz w:val="32"/>
          <w:szCs w:val="32"/>
          <w:highlight w:val="none"/>
          <w:lang w:eastAsia="zh-CN"/>
        </w:rPr>
      </w:pPr>
      <w:r>
        <w:rPr>
          <w:rFonts w:hint="eastAsia" w:hAnsi="Verdana" w:cs="宋体"/>
          <w:color w:val="000000"/>
          <w:sz w:val="32"/>
          <w:szCs w:val="32"/>
          <w:highlight w:val="none"/>
        </w:rPr>
        <w:t>该项目总体绩效目标完成情况较好，</w:t>
      </w:r>
      <w:r>
        <w:rPr>
          <w:rFonts w:hint="eastAsia" w:hAnsi="Verdana" w:cs="宋体"/>
          <w:color w:val="000000"/>
          <w:sz w:val="32"/>
          <w:szCs w:val="32"/>
          <w:highlight w:val="none"/>
          <w:lang w:eastAsia="zh-CN"/>
        </w:rPr>
        <w:t>一是</w:t>
      </w:r>
      <w:r>
        <w:rPr>
          <w:rFonts w:hint="eastAsia" w:hAnsi="Verdana" w:cs="宋体"/>
          <w:color w:val="000000"/>
          <w:sz w:val="32"/>
          <w:szCs w:val="32"/>
          <w:highlight w:val="none"/>
        </w:rPr>
        <w:t>资金下拨到新区第一人民医院后，院领导及科室相关负责人高度重视，及时制定项目实施方案，改造完善了</w:t>
      </w:r>
      <w:r>
        <w:rPr>
          <w:rFonts w:hint="eastAsia" w:hAnsi="Verdana" w:cs="宋体"/>
          <w:color w:val="000000"/>
          <w:sz w:val="32"/>
          <w:szCs w:val="32"/>
          <w:highlight w:val="none"/>
          <w:lang w:eastAsia="zh-CN"/>
        </w:rPr>
        <w:t>中医重点科室</w:t>
      </w:r>
      <w:r>
        <w:rPr>
          <w:rFonts w:hint="eastAsia" w:hAnsi="Verdana" w:cs="宋体"/>
          <w:color w:val="000000"/>
          <w:sz w:val="32"/>
          <w:szCs w:val="32"/>
          <w:highlight w:val="none"/>
        </w:rPr>
        <w:t>的基础设备建设，</w:t>
      </w:r>
      <w:r>
        <w:rPr>
          <w:rFonts w:hint="eastAsia"/>
          <w:sz w:val="32"/>
          <w:szCs w:val="32"/>
          <w:highlight w:val="none"/>
        </w:rPr>
        <w:t>改善了医院中医药服务环境和服务条件</w:t>
      </w:r>
      <w:r>
        <w:rPr>
          <w:rFonts w:hint="eastAsia" w:hAnsi="Verdana" w:cs="宋体"/>
          <w:color w:val="000000"/>
          <w:sz w:val="32"/>
          <w:szCs w:val="32"/>
          <w:highlight w:val="none"/>
        </w:rPr>
        <w:t>，有效提高了</w:t>
      </w:r>
      <w:r>
        <w:rPr>
          <w:rFonts w:hint="eastAsia" w:hAnsi="Verdana" w:cs="宋体"/>
          <w:color w:val="000000"/>
          <w:sz w:val="32"/>
          <w:szCs w:val="32"/>
          <w:highlight w:val="none"/>
          <w:lang w:eastAsia="zh-CN"/>
        </w:rPr>
        <w:t>中西医协同“旗舰”科室</w:t>
      </w:r>
      <w:r>
        <w:rPr>
          <w:rFonts w:hint="eastAsia" w:hAnsi="Verdana" w:cs="宋体"/>
          <w:color w:val="000000"/>
          <w:sz w:val="32"/>
          <w:szCs w:val="32"/>
          <w:highlight w:val="none"/>
        </w:rPr>
        <w:t>治疗水平</w:t>
      </w:r>
      <w:r>
        <w:rPr>
          <w:rFonts w:hint="eastAsia" w:hAnsi="Verdana" w:cs="宋体"/>
          <w:color w:val="000000"/>
          <w:sz w:val="32"/>
          <w:szCs w:val="32"/>
          <w:highlight w:val="none"/>
          <w:lang w:eastAsia="zh-CN"/>
        </w:rPr>
        <w:t>。二是</w:t>
      </w:r>
      <w:r>
        <w:rPr>
          <w:rFonts w:hint="eastAsia" w:hAnsi="Verdana" w:cs="宋体"/>
          <w:color w:val="000000"/>
          <w:sz w:val="32"/>
          <w:szCs w:val="32"/>
          <w:highlight w:val="none"/>
        </w:rPr>
        <w:t>资金下拨到</w:t>
      </w:r>
      <w:r>
        <w:rPr>
          <w:rFonts w:hint="eastAsia" w:hAnsi="Verdana" w:cs="宋体"/>
          <w:color w:val="000000"/>
          <w:sz w:val="32"/>
          <w:szCs w:val="32"/>
          <w:highlight w:val="none"/>
          <w:lang w:eastAsia="zh-CN"/>
        </w:rPr>
        <w:t>基层医疗机构</w:t>
      </w:r>
      <w:r>
        <w:rPr>
          <w:rFonts w:hint="eastAsia" w:hAnsi="Verdana" w:cs="宋体"/>
          <w:color w:val="000000"/>
          <w:sz w:val="32"/>
          <w:szCs w:val="32"/>
          <w:highlight w:val="none"/>
        </w:rPr>
        <w:t>后，高度重视，及时制定项目实施方案，改造完善了</w:t>
      </w:r>
      <w:r>
        <w:rPr>
          <w:rFonts w:hint="eastAsia" w:hAnsi="Verdana" w:cs="宋体"/>
          <w:color w:val="000000"/>
          <w:sz w:val="32"/>
          <w:szCs w:val="32"/>
          <w:highlight w:val="none"/>
          <w:lang w:eastAsia="zh-CN"/>
        </w:rPr>
        <w:t>“旗舰”中医馆</w:t>
      </w:r>
      <w:r>
        <w:rPr>
          <w:rFonts w:hint="eastAsia" w:hAnsi="Verdana" w:cs="宋体"/>
          <w:color w:val="000000"/>
          <w:sz w:val="32"/>
          <w:szCs w:val="32"/>
          <w:highlight w:val="none"/>
        </w:rPr>
        <w:t>的基础设备建设，</w:t>
      </w:r>
      <w:r>
        <w:rPr>
          <w:rFonts w:hint="eastAsia"/>
          <w:sz w:val="32"/>
          <w:szCs w:val="32"/>
          <w:highlight w:val="none"/>
        </w:rPr>
        <w:t>改善了医院中医药服务环境和服务条件</w:t>
      </w:r>
      <w:r>
        <w:rPr>
          <w:rFonts w:hint="eastAsia" w:hAnsi="Verdana" w:cs="宋体"/>
          <w:color w:val="000000"/>
          <w:sz w:val="32"/>
          <w:szCs w:val="32"/>
          <w:highlight w:val="none"/>
        </w:rPr>
        <w:t>，有效提高了</w:t>
      </w:r>
      <w:r>
        <w:rPr>
          <w:rFonts w:hint="eastAsia" w:hAnsi="Verdana" w:cs="宋体"/>
          <w:color w:val="000000"/>
          <w:sz w:val="32"/>
          <w:szCs w:val="32"/>
          <w:highlight w:val="none"/>
          <w:lang w:eastAsia="zh-CN"/>
        </w:rPr>
        <w:t>中医馆的基础水平和内涵服务建设。</w:t>
      </w:r>
    </w:p>
    <w:p w14:paraId="6A53F903">
      <w:pPr>
        <w:pStyle w:val="13"/>
        <w:widowControl/>
        <w:shd w:val="clear" w:color="auto" w:fill="FFFFFF"/>
        <w:spacing w:before="0" w:beforeAutospacing="0" w:after="0" w:afterAutospacing="0" w:line="560" w:lineRule="exact"/>
        <w:jc w:val="both"/>
        <w:rPr>
          <w:rFonts w:hint="eastAsia" w:hAnsi="Verdana" w:cs="宋体"/>
          <w:color w:val="000000"/>
          <w:sz w:val="32"/>
          <w:szCs w:val="32"/>
          <w:highlight w:val="none"/>
        </w:rPr>
      </w:pPr>
      <w:r>
        <w:rPr>
          <w:rFonts w:hint="eastAsia" w:hAnsi="Verdana" w:cs="宋体"/>
          <w:color w:val="000000"/>
          <w:sz w:val="32"/>
          <w:szCs w:val="32"/>
          <w:highlight w:val="none"/>
        </w:rPr>
        <w:t>（三）绩效目标完成情况分析。（根据年初绩效目标及指标逐项分析）</w:t>
      </w:r>
    </w:p>
    <w:p w14:paraId="0954E804">
      <w:pPr>
        <w:widowControl/>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1.产出指标完成情况分析。</w:t>
      </w:r>
    </w:p>
    <w:p w14:paraId="1AB3E260">
      <w:pPr>
        <w:widowControl/>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（1）数量指标</w:t>
      </w:r>
    </w:p>
    <w:p w14:paraId="6477F8B9">
      <w:pPr>
        <w:widowControl/>
        <w:kinsoku w:val="0"/>
        <w:autoSpaceDE w:val="0"/>
        <w:autoSpaceDN w:val="0"/>
        <w:adjustRightInd w:val="0"/>
        <w:snapToGrid w:val="0"/>
        <w:spacing w:line="560" w:lineRule="exact"/>
        <w:jc w:val="left"/>
        <w:textAlignment w:val="baseline"/>
        <w:rPr>
          <w:rFonts w:hint="eastAsia" w:hAnsi="Verdana" w:cs="宋体"/>
          <w:color w:val="000000"/>
          <w:kern w:val="0"/>
          <w:highlight w:val="none"/>
        </w:rPr>
      </w:pPr>
      <w:r>
        <w:rPr>
          <w:rFonts w:hint="eastAsia" w:hAnsi="Verdana" w:cs="宋体"/>
          <w:color w:val="000000"/>
          <w:kern w:val="0"/>
          <w:highlight w:val="none"/>
        </w:rPr>
        <w:t>新区第一人民医院建成</w:t>
      </w:r>
      <w:r>
        <w:rPr>
          <w:rFonts w:hint="eastAsia" w:ascii="仿宋_GB2312" w:hAnsi="宋体" w:eastAsia="仿宋_GB2312" w:cs="宋体"/>
          <w:sz w:val="32"/>
          <w:szCs w:val="32"/>
          <w:highlight w:val="none"/>
          <w:lang w:val="en-US" w:eastAsia="zh-CN"/>
        </w:rPr>
        <w:t>中西医协同“旗舰”科室</w:t>
      </w:r>
      <w:r>
        <w:rPr>
          <w:rFonts w:hint="eastAsia" w:hAnsi="Verdana" w:cs="宋体"/>
          <w:color w:val="000000"/>
          <w:kern w:val="0"/>
          <w:highlight w:val="none"/>
        </w:rPr>
        <w:t>1个，突出了中医药特色优势</w:t>
      </w:r>
      <w:r>
        <w:rPr>
          <w:rFonts w:hint="eastAsia" w:hAnsi="Verdana" w:cs="宋体"/>
          <w:color w:val="000000"/>
          <w:kern w:val="0"/>
          <w:highlight w:val="none"/>
          <w:lang w:eastAsia="zh-CN"/>
        </w:rPr>
        <w:t>，</w:t>
      </w:r>
      <w:r>
        <w:rPr>
          <w:rFonts w:hint="eastAsia" w:hAnsi="Verdana" w:cs="宋体"/>
          <w:color w:val="000000"/>
          <w:kern w:val="0"/>
          <w:highlight w:val="none"/>
        </w:rPr>
        <w:t>能够规范开展</w:t>
      </w:r>
      <w:r>
        <w:rPr>
          <w:rFonts w:hint="eastAsia" w:hAnsi="Verdana" w:cs="宋体"/>
          <w:color w:val="000000"/>
          <w:kern w:val="0"/>
          <w:highlight w:val="none"/>
          <w:lang w:val="en-US" w:eastAsia="zh-CN"/>
        </w:rPr>
        <w:t>45</w:t>
      </w:r>
      <w:r>
        <w:rPr>
          <w:rFonts w:hint="eastAsia" w:hAnsi="Verdana" w:cs="宋体"/>
          <w:color w:val="000000"/>
          <w:kern w:val="0"/>
          <w:highlight w:val="none"/>
        </w:rPr>
        <w:t>项中医适宜技术，可遴选</w:t>
      </w:r>
      <w:r>
        <w:rPr>
          <w:rFonts w:hint="eastAsia" w:hAnsi="Verdana" w:cs="宋体"/>
          <w:color w:val="000000"/>
          <w:kern w:val="0"/>
          <w:highlight w:val="none"/>
          <w:lang w:val="en-US" w:eastAsia="zh-CN"/>
        </w:rPr>
        <w:t>25</w:t>
      </w:r>
      <w:r>
        <w:rPr>
          <w:rFonts w:hint="eastAsia" w:hAnsi="Verdana" w:cs="宋体"/>
          <w:color w:val="000000"/>
          <w:kern w:val="0"/>
          <w:highlight w:val="none"/>
        </w:rPr>
        <w:t xml:space="preserve">项中医适宜技术向辖区内基层医疗卫生机构推广。 </w:t>
      </w:r>
    </w:p>
    <w:p w14:paraId="30DCA95D">
      <w:pPr>
        <w:widowControl/>
        <w:numPr>
          <w:ilvl w:val="0"/>
          <w:numId w:val="20"/>
        </w:numPr>
        <w:shd w:val="clear" w:color="auto" w:fill="FFFFFF"/>
        <w:autoSpaceDE w:val="0"/>
        <w:spacing w:line="560" w:lineRule="exact"/>
        <w:ind w:firstLine="640"/>
        <w:rPr>
          <w:rFonts w:hint="eastAsia" w:hAnsi="Verdana" w:cs="宋体"/>
          <w:color w:val="auto"/>
          <w:kern w:val="0"/>
          <w:highlight w:val="none"/>
        </w:rPr>
      </w:pPr>
      <w:r>
        <w:rPr>
          <w:rFonts w:hint="eastAsia" w:hAnsi="Verdana" w:cs="宋体"/>
          <w:color w:val="auto"/>
          <w:kern w:val="0"/>
          <w:highlight w:val="none"/>
        </w:rPr>
        <w:t>质量指标</w:t>
      </w:r>
    </w:p>
    <w:p w14:paraId="4DB7E488">
      <w:pPr>
        <w:widowControl/>
        <w:shd w:val="clear" w:color="auto" w:fill="FFFFFF"/>
        <w:autoSpaceDE w:val="0"/>
        <w:spacing w:line="560" w:lineRule="exact"/>
        <w:rPr>
          <w:rFonts w:hint="eastAsia" w:hAnsi="Verdana" w:cs="宋体"/>
          <w:color w:val="auto"/>
          <w:kern w:val="0"/>
          <w:highlight w:val="none"/>
        </w:rPr>
      </w:pPr>
      <w:r>
        <w:rPr>
          <w:rFonts w:hint="eastAsia" w:ascii="仿宋_GB2312" w:hAnsi="宋体" w:eastAsia="仿宋_GB2312" w:cs="宋体"/>
          <w:color w:val="auto"/>
          <w:sz w:val="32"/>
          <w:szCs w:val="32"/>
          <w:highlight w:val="none"/>
          <w:lang w:val="en-US" w:eastAsia="zh-CN"/>
        </w:rPr>
        <w:t>中西医协同“旗舰”科室建设</w:t>
      </w:r>
      <w:r>
        <w:rPr>
          <w:rFonts w:hint="eastAsia" w:hAnsi="Verdana" w:cs="宋体"/>
          <w:color w:val="auto"/>
          <w:kern w:val="0"/>
          <w:highlight w:val="none"/>
        </w:rPr>
        <w:t>目前拥有体外冲击波治疗仪、电脑中频治疗仪、高频短波治疗仪、微波治疗仪、颈腰椎牵引仪、蜡疗仪、热磁疗、熏蒸仪、TDP治疗仪、空气压力波循环治疗、下肢关节康复仪器，配以PT室、OT室等各种先进的现代康复治疗仪器，能开展的业务有：1.颈椎病、腰椎间盘突出症、肩周炎、骨性关节炎、各种急慢性疼痛的针灸推拿治疗；2.老年病、脾胃病、心脑血管病、呼吸系统病等各种慢性疾病的中西药结合治疗；3.脑血管意外恢复期（中风偏瘫）、面神经炎（面瘫）、脊髓损伤（截瘫）、头痛、失眠、周围神经痛等神经系统疾病的综合康复治疗。</w:t>
      </w:r>
      <w:r>
        <w:rPr>
          <w:rFonts w:hint="eastAsia" w:hAnsi="Verdana" w:cs="宋体"/>
          <w:color w:val="auto"/>
          <w:kern w:val="0"/>
          <w:highlight w:val="none"/>
          <w:lang w:eastAsia="zh-CN"/>
        </w:rPr>
        <w:t>“旗舰”中医馆购置了</w:t>
      </w:r>
      <w:r>
        <w:rPr>
          <w:rFonts w:hint="eastAsia" w:hAnsi="Verdana" w:cs="宋体"/>
          <w:color w:val="auto"/>
          <w:kern w:val="0"/>
          <w:highlight w:val="none"/>
        </w:rPr>
        <w:t>蜡疗仪、热磁疗、熏蒸仪、TDP治疗仪</w:t>
      </w:r>
      <w:r>
        <w:rPr>
          <w:rFonts w:hint="eastAsia" w:hAnsi="Verdana" w:cs="宋体"/>
          <w:color w:val="auto"/>
          <w:kern w:val="0"/>
          <w:highlight w:val="none"/>
          <w:lang w:eastAsia="zh-CN"/>
        </w:rPr>
        <w:t>等设备，能开展年</w:t>
      </w:r>
      <w:r>
        <w:rPr>
          <w:rFonts w:hint="eastAsia" w:hAnsi="Verdana" w:cs="宋体"/>
          <w:color w:val="auto"/>
          <w:kern w:val="0"/>
          <w:highlight w:val="none"/>
          <w:lang w:val="en-US" w:eastAsia="zh-CN"/>
        </w:rPr>
        <w:t>6类16项以上的中医适宜技术。</w:t>
      </w:r>
      <w:r>
        <w:rPr>
          <w:rFonts w:hint="eastAsia"/>
          <w:color w:val="auto"/>
          <w:highlight w:val="none"/>
        </w:rPr>
        <w:t>进一步提升了新区中医药服务的能力，为新区群众提供了更优质、更便捷的中医药服务。</w:t>
      </w:r>
    </w:p>
    <w:p w14:paraId="4F793103">
      <w:pPr>
        <w:widowControl/>
        <w:numPr>
          <w:ilvl w:val="0"/>
          <w:numId w:val="21"/>
        </w:numPr>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时效指标</w:t>
      </w:r>
    </w:p>
    <w:p w14:paraId="4C1E8013">
      <w:pPr>
        <w:widowControl/>
        <w:shd w:val="clear" w:color="auto" w:fill="FFFFFF"/>
        <w:spacing w:line="560" w:lineRule="exact"/>
        <w:rPr>
          <w:rFonts w:hint="eastAsia" w:hAnsi="Verdana" w:cs="宋体"/>
          <w:color w:val="000000"/>
          <w:kern w:val="0"/>
          <w:highlight w:val="none"/>
        </w:rPr>
      </w:pPr>
      <w:r>
        <w:rPr>
          <w:rFonts w:hint="eastAsia" w:hAnsi="Verdana" w:cs="宋体"/>
          <w:color w:val="000000"/>
          <w:kern w:val="0"/>
          <w:highlight w:val="none"/>
        </w:rPr>
        <w:t>及时将该项目资金下拨给新区第一人民医院</w:t>
      </w:r>
      <w:r>
        <w:rPr>
          <w:rFonts w:hint="eastAsia" w:hAnsi="Verdana" w:cs="宋体"/>
          <w:color w:val="000000"/>
          <w:kern w:val="0"/>
          <w:highlight w:val="none"/>
          <w:lang w:eastAsia="zh-CN"/>
        </w:rPr>
        <w:t>和各基层医疗机构</w:t>
      </w:r>
      <w:r>
        <w:rPr>
          <w:rFonts w:hint="eastAsia" w:hAnsi="Verdana" w:cs="宋体"/>
          <w:color w:val="000000"/>
          <w:kern w:val="0"/>
          <w:highlight w:val="none"/>
        </w:rPr>
        <w:t>，建设周期为1年。基本达成预期指标。</w:t>
      </w:r>
    </w:p>
    <w:p w14:paraId="32830F19">
      <w:pPr>
        <w:widowControl/>
        <w:shd w:val="clear" w:color="auto" w:fill="FFFFFF"/>
        <w:spacing w:line="560" w:lineRule="exact"/>
        <w:rPr>
          <w:rFonts w:hint="eastAsia" w:hAnsi="Verdana" w:cs="宋体"/>
          <w:color w:val="000000"/>
          <w:kern w:val="0"/>
          <w:highlight w:val="none"/>
        </w:rPr>
      </w:pPr>
      <w:r>
        <w:rPr>
          <w:rFonts w:hint="eastAsia" w:hAnsi="Verdana" w:cs="宋体"/>
          <w:color w:val="000000"/>
          <w:kern w:val="0"/>
          <w:highlight w:val="none"/>
        </w:rPr>
        <w:t>2.效益指标完成情况分析。</w:t>
      </w:r>
    </w:p>
    <w:p w14:paraId="72626560">
      <w:pPr>
        <w:widowControl/>
        <w:shd w:val="clear" w:color="auto" w:fill="FFFFFF"/>
        <w:spacing w:line="560" w:lineRule="exact"/>
        <w:rPr>
          <w:rFonts w:hint="eastAsia" w:hAnsi="Verdana" w:cs="宋体"/>
          <w:color w:val="000000"/>
          <w:kern w:val="0"/>
          <w:highlight w:val="none"/>
        </w:rPr>
      </w:pPr>
      <w:r>
        <w:rPr>
          <w:rFonts w:hint="eastAsia" w:hAnsi="Verdana" w:cs="宋体"/>
          <w:color w:val="000000"/>
          <w:kern w:val="0"/>
          <w:highlight w:val="none"/>
        </w:rPr>
        <w:t>（1）社会效益</w:t>
      </w:r>
    </w:p>
    <w:p w14:paraId="06ACE9D9">
      <w:pPr>
        <w:widowControl/>
        <w:shd w:val="clear" w:color="auto" w:fill="FFFFFF"/>
        <w:spacing w:line="560" w:lineRule="exact"/>
        <w:rPr>
          <w:rFonts w:hint="eastAsia" w:hAnsi="Verdana" w:cs="宋体"/>
          <w:color w:val="000000"/>
          <w:kern w:val="0"/>
          <w:highlight w:val="none"/>
        </w:rPr>
      </w:pPr>
      <w:r>
        <w:rPr>
          <w:rFonts w:hint="eastAsia" w:hAnsi="Verdana" w:cs="宋体"/>
          <w:color w:val="000000"/>
          <w:kern w:val="0"/>
          <w:highlight w:val="none"/>
        </w:rPr>
        <w:t>通过</w:t>
      </w:r>
      <w:r>
        <w:rPr>
          <w:rFonts w:hint="eastAsia" w:hAnsi="Verdana" w:cs="宋体"/>
          <w:color w:val="000000"/>
          <w:kern w:val="0"/>
          <w:highlight w:val="none"/>
          <w:lang w:eastAsia="zh-CN"/>
        </w:rPr>
        <w:t>中医重点</w:t>
      </w:r>
      <w:r>
        <w:rPr>
          <w:rFonts w:hint="eastAsia" w:hAnsi="Verdana" w:cs="宋体"/>
          <w:color w:val="000000"/>
          <w:kern w:val="0"/>
          <w:highlight w:val="none"/>
        </w:rPr>
        <w:t>学科</w:t>
      </w:r>
      <w:r>
        <w:rPr>
          <w:rFonts w:hint="eastAsia" w:hAnsi="Verdana" w:cs="宋体"/>
          <w:color w:val="000000"/>
          <w:kern w:val="0"/>
          <w:highlight w:val="none"/>
          <w:lang w:eastAsia="zh-CN"/>
        </w:rPr>
        <w:t>和中医馆</w:t>
      </w:r>
      <w:r>
        <w:rPr>
          <w:rFonts w:hint="eastAsia" w:hAnsi="Verdana" w:cs="宋体"/>
          <w:color w:val="000000"/>
          <w:kern w:val="0"/>
          <w:highlight w:val="none"/>
        </w:rPr>
        <w:t>建设，不断提高了在临床上发现问题、研究问题和解决问题的实际能力，使本学科在中医理论、治疗手段、关键技术以及提高疗效等方面有了较大的飞跃，进一步提高了医疗机构中医药学术水平和人才力量，提升了疑难、危重、复杂疾病的中医临床诊疗水平。</w:t>
      </w:r>
    </w:p>
    <w:p w14:paraId="2618A8AF">
      <w:pPr>
        <w:widowControl/>
        <w:shd w:val="clear" w:color="auto" w:fill="FFFFFF"/>
        <w:spacing w:line="560" w:lineRule="exact"/>
        <w:rPr>
          <w:rFonts w:hint="eastAsia" w:hAnsi="Verdana" w:cs="宋体"/>
          <w:color w:val="000000"/>
          <w:kern w:val="0"/>
          <w:highlight w:val="none"/>
        </w:rPr>
      </w:pPr>
      <w:r>
        <w:rPr>
          <w:rFonts w:hint="eastAsia" w:hAnsi="Verdana" w:cs="宋体"/>
          <w:color w:val="000000"/>
          <w:kern w:val="0"/>
          <w:highlight w:val="none"/>
        </w:rPr>
        <w:t>（2）可持续影响</w:t>
      </w:r>
    </w:p>
    <w:p w14:paraId="73AD6859">
      <w:pPr>
        <w:widowControl/>
        <w:shd w:val="clear" w:color="auto" w:fill="FFFFFF"/>
        <w:spacing w:line="560" w:lineRule="exact"/>
        <w:rPr>
          <w:rFonts w:hint="eastAsia" w:hAnsi="Verdana" w:cs="宋体"/>
          <w:color w:val="000000"/>
          <w:kern w:val="0"/>
          <w:highlight w:val="none"/>
        </w:rPr>
      </w:pPr>
      <w:r>
        <w:rPr>
          <w:rFonts w:hint="eastAsia" w:ascii="仿宋_GB2312" w:hAnsi="宋体" w:eastAsia="仿宋_GB2312" w:cs="宋体"/>
          <w:color w:val="auto"/>
          <w:sz w:val="32"/>
          <w:szCs w:val="32"/>
          <w:highlight w:val="none"/>
          <w:lang w:val="en-US" w:eastAsia="zh-CN"/>
        </w:rPr>
        <w:t>中西医协同“旗舰”科室</w:t>
      </w:r>
      <w:r>
        <w:rPr>
          <w:rFonts w:hint="eastAsia" w:hAnsi="宋体" w:cs="宋体"/>
          <w:color w:val="auto"/>
          <w:sz w:val="32"/>
          <w:szCs w:val="32"/>
          <w:highlight w:val="none"/>
          <w:lang w:val="en-US" w:eastAsia="zh-CN"/>
        </w:rPr>
        <w:t>和7个“旗舰”中医馆</w:t>
      </w:r>
      <w:r>
        <w:rPr>
          <w:rFonts w:hint="eastAsia" w:hAnsi="Verdana" w:cs="宋体"/>
          <w:color w:val="000000"/>
          <w:kern w:val="0"/>
          <w:highlight w:val="none"/>
        </w:rPr>
        <w:t>的建成将对新区人民做到方便快捷及更优质服务，促进了新区中医药事业持续健康发展。</w:t>
      </w:r>
    </w:p>
    <w:p w14:paraId="069517C3">
      <w:pPr>
        <w:widowControl/>
        <w:shd w:val="clear" w:color="auto" w:fill="FFFFFF"/>
        <w:spacing w:line="560" w:lineRule="exact"/>
        <w:rPr>
          <w:rFonts w:hint="eastAsia" w:ascii="仿宋" w:hAnsi="仿宋" w:eastAsia="仿宋"/>
          <w:spacing w:val="-9"/>
          <w:highlight w:val="none"/>
        </w:rPr>
      </w:pPr>
      <w:r>
        <w:rPr>
          <w:rFonts w:hint="eastAsia" w:hAnsi="Verdana" w:cs="宋体"/>
          <w:color w:val="000000"/>
          <w:kern w:val="0"/>
          <w:highlight w:val="none"/>
        </w:rPr>
        <w:t>3.满意度指标完</w:t>
      </w:r>
      <w:r>
        <w:rPr>
          <w:rFonts w:hint="eastAsia" w:ascii="仿宋" w:hAnsi="仿宋" w:eastAsia="仿宋"/>
          <w:spacing w:val="-9"/>
          <w:highlight w:val="none"/>
        </w:rPr>
        <w:t>成情况分析</w:t>
      </w:r>
    </w:p>
    <w:p w14:paraId="1E486601">
      <w:pPr>
        <w:widowControl/>
        <w:kinsoku w:val="0"/>
        <w:autoSpaceDE w:val="0"/>
        <w:autoSpaceDN w:val="0"/>
        <w:adjustRightInd w:val="0"/>
        <w:snapToGrid w:val="0"/>
        <w:spacing w:line="560" w:lineRule="exact"/>
        <w:ind w:firstLine="604"/>
        <w:textAlignment w:val="baseline"/>
        <w:rPr>
          <w:rFonts w:hint="eastAsia" w:hAnsi="Verdana" w:cs="宋体"/>
          <w:color w:val="000000"/>
          <w:kern w:val="0"/>
          <w:highlight w:val="none"/>
        </w:rPr>
      </w:pPr>
      <w:r>
        <w:rPr>
          <w:rFonts w:hint="eastAsia" w:ascii="仿宋" w:hAnsi="仿宋" w:eastAsia="仿宋"/>
          <w:spacing w:val="-9"/>
          <w:highlight w:val="none"/>
        </w:rPr>
        <w:t>该项</w:t>
      </w:r>
      <w:r>
        <w:rPr>
          <w:rFonts w:hint="eastAsia" w:hAnsi="Verdana" w:cs="宋体"/>
          <w:color w:val="000000"/>
          <w:kern w:val="0"/>
          <w:highlight w:val="none"/>
        </w:rPr>
        <w:t>目资金执行情况达到预期目标，使新区第一人民医院</w:t>
      </w:r>
      <w:r>
        <w:rPr>
          <w:rFonts w:hint="eastAsia" w:hAnsi="Verdana" w:cs="宋体"/>
          <w:color w:val="000000"/>
          <w:kern w:val="0"/>
          <w:highlight w:val="none"/>
          <w:lang w:eastAsia="zh-CN"/>
        </w:rPr>
        <w:t>和基层医疗机构</w:t>
      </w:r>
      <w:r>
        <w:rPr>
          <w:rFonts w:hint="eastAsia" w:hAnsi="Verdana" w:cs="宋体"/>
          <w:color w:val="000000"/>
          <w:kern w:val="0"/>
          <w:highlight w:val="none"/>
        </w:rPr>
        <w:t>在中医药学科建设中稳步前行，提高了新中医药学术水平和人才力量，群众获得感、满意率进一步提高。</w:t>
      </w:r>
    </w:p>
    <w:p w14:paraId="488A7EFB">
      <w:pPr>
        <w:widowControl/>
        <w:kinsoku w:val="0"/>
        <w:autoSpaceDE w:val="0"/>
        <w:autoSpaceDN w:val="0"/>
        <w:adjustRightInd w:val="0"/>
        <w:snapToGrid w:val="0"/>
        <w:spacing w:line="560" w:lineRule="exact"/>
        <w:ind w:firstLine="632"/>
        <w:textAlignment w:val="baseline"/>
        <w:rPr>
          <w:rFonts w:hint="eastAsia" w:ascii="黑体" w:hAnsi="黑体" w:eastAsia="黑体"/>
          <w:spacing w:val="-2"/>
          <w:highlight w:val="none"/>
        </w:rPr>
      </w:pPr>
      <w:r>
        <w:rPr>
          <w:rFonts w:hint="eastAsia" w:ascii="黑体" w:hAnsi="黑体" w:eastAsia="黑体"/>
          <w:spacing w:val="-2"/>
          <w:highlight w:val="none"/>
        </w:rPr>
        <w:t>三、偏离绩效目标的原因和下一步改进措施</w:t>
      </w:r>
    </w:p>
    <w:p w14:paraId="56EC2050">
      <w:pPr>
        <w:widowControl/>
        <w:kinsoku w:val="0"/>
        <w:autoSpaceDE w:val="0"/>
        <w:autoSpaceDN w:val="0"/>
        <w:adjustRightInd w:val="0"/>
        <w:snapToGrid w:val="0"/>
        <w:spacing w:line="560" w:lineRule="exact"/>
        <w:ind w:firstLine="604"/>
        <w:textAlignment w:val="baseline"/>
        <w:rPr>
          <w:rFonts w:hint="eastAsia" w:ascii="仿宋" w:hAnsi="仿宋" w:eastAsia="仿宋"/>
          <w:spacing w:val="-9"/>
          <w:highlight w:val="none"/>
        </w:rPr>
      </w:pPr>
      <w:r>
        <w:rPr>
          <w:rFonts w:hint="eastAsia" w:ascii="仿宋" w:hAnsi="仿宋" w:eastAsia="仿宋"/>
          <w:spacing w:val="-9"/>
          <w:highlight w:val="none"/>
        </w:rPr>
        <w:t>该资金项目总体绩效目标和绩效指标基本完成，下一步将通过引进专家给予帮扶与指导，加大适宜技术的培训力度，并派业务骨干赴兰大二院</w:t>
      </w:r>
      <w:r>
        <w:rPr>
          <w:rFonts w:hint="eastAsia" w:ascii="仿宋" w:hAnsi="仿宋" w:eastAsia="仿宋"/>
          <w:spacing w:val="-9"/>
          <w:highlight w:val="none"/>
          <w:lang w:eastAsia="zh-CN"/>
        </w:rPr>
        <w:t>三级医疗机构</w:t>
      </w:r>
      <w:r>
        <w:rPr>
          <w:rFonts w:hint="eastAsia" w:ascii="仿宋" w:hAnsi="仿宋" w:eastAsia="仿宋"/>
          <w:spacing w:val="-9"/>
          <w:highlight w:val="none"/>
        </w:rPr>
        <w:t>进修学习提高业务技能，把医疗质量及服务态度提高以更好的服务于患者。</w:t>
      </w:r>
    </w:p>
    <w:p w14:paraId="08E6196C">
      <w:pPr>
        <w:widowControl/>
        <w:kinsoku w:val="0"/>
        <w:autoSpaceDE w:val="0"/>
        <w:autoSpaceDN w:val="0"/>
        <w:adjustRightInd w:val="0"/>
        <w:snapToGrid w:val="0"/>
        <w:spacing w:line="560" w:lineRule="exact"/>
        <w:ind w:firstLine="632"/>
        <w:textAlignment w:val="baseline"/>
        <w:rPr>
          <w:rFonts w:hint="eastAsia" w:ascii="黑体" w:hAnsi="黑体" w:eastAsia="黑体"/>
          <w:spacing w:val="-2"/>
          <w:highlight w:val="none"/>
        </w:rPr>
      </w:pPr>
      <w:r>
        <w:rPr>
          <w:rFonts w:hint="eastAsia" w:ascii="黑体" w:hAnsi="黑体" w:eastAsia="黑体"/>
          <w:spacing w:val="-2"/>
          <w:highlight w:val="none"/>
        </w:rPr>
        <w:t>四、绩效自评结果拟应用和公开情况</w:t>
      </w:r>
    </w:p>
    <w:p w14:paraId="38AE2A6A">
      <w:pPr>
        <w:autoSpaceDE w:val="0"/>
        <w:spacing w:line="560" w:lineRule="exact"/>
        <w:rPr>
          <w:rFonts w:hint="eastAsia" w:ascii="黑体" w:hAnsi="黑体" w:eastAsia="黑体"/>
          <w:spacing w:val="-2"/>
          <w:highlight w:val="none"/>
        </w:rPr>
      </w:pPr>
      <w:r>
        <w:rPr>
          <w:rFonts w:hint="eastAsia"/>
          <w:highlight w:val="none"/>
        </w:rPr>
        <w:t>督促新区第一人民医院</w:t>
      </w:r>
      <w:r>
        <w:rPr>
          <w:rFonts w:hint="eastAsia"/>
          <w:highlight w:val="none"/>
          <w:lang w:eastAsia="zh-CN"/>
        </w:rPr>
        <w:t>和各基层医疗机构</w:t>
      </w:r>
      <w:r>
        <w:rPr>
          <w:rFonts w:hint="eastAsia"/>
          <w:highlight w:val="none"/>
        </w:rPr>
        <w:t>在资金到账后及时将资金用于</w:t>
      </w:r>
      <w:r>
        <w:rPr>
          <w:rFonts w:hint="eastAsia"/>
          <w:highlight w:val="none"/>
          <w:lang w:eastAsia="zh-CN"/>
        </w:rPr>
        <w:t>项目</w:t>
      </w:r>
      <w:r>
        <w:rPr>
          <w:rFonts w:hint="eastAsia"/>
          <w:highlight w:val="none"/>
        </w:rPr>
        <w:t>建设，并做好资金使用公示工作。</w:t>
      </w:r>
    </w:p>
    <w:p w14:paraId="2ED5D76F">
      <w:pPr>
        <w:widowControl/>
        <w:kinsoku w:val="0"/>
        <w:autoSpaceDE w:val="0"/>
        <w:autoSpaceDN w:val="0"/>
        <w:adjustRightInd w:val="0"/>
        <w:snapToGrid w:val="0"/>
        <w:spacing w:line="560" w:lineRule="exact"/>
        <w:ind w:firstLine="632"/>
        <w:textAlignment w:val="baseline"/>
        <w:rPr>
          <w:rFonts w:hint="eastAsia" w:ascii="黑体" w:hAnsi="黑体" w:eastAsia="黑体"/>
          <w:spacing w:val="-2"/>
          <w:highlight w:val="none"/>
        </w:rPr>
      </w:pPr>
      <w:r>
        <w:rPr>
          <w:rFonts w:hint="eastAsia" w:ascii="黑体" w:hAnsi="黑体" w:eastAsia="黑体"/>
          <w:spacing w:val="-2"/>
          <w:highlight w:val="none"/>
        </w:rPr>
        <w:t>五、其他需要说明的问题</w:t>
      </w:r>
    </w:p>
    <w:p w14:paraId="7DE60D82">
      <w:pPr>
        <w:autoSpaceDE w:val="0"/>
        <w:spacing w:line="560" w:lineRule="exact"/>
        <w:ind w:firstLine="608"/>
      </w:pPr>
      <w:r>
        <w:rPr>
          <w:rFonts w:hint="eastAsia" w:ascii="仿宋" w:hAnsi="仿宋" w:eastAsia="仿宋"/>
          <w:spacing w:val="-8"/>
          <w:highlight w:val="none"/>
        </w:rPr>
        <w:t>审</w:t>
      </w:r>
      <w:r>
        <w:rPr>
          <w:rFonts w:hint="eastAsia"/>
          <w:highlight w:val="none"/>
        </w:rPr>
        <w:t>计和财政监督中未发现问题，专项拨款尽可能在建设周期内完成任务。</w:t>
      </w:r>
    </w:p>
    <w:p w14:paraId="7F705F64">
      <w:pPr>
        <w:pStyle w:val="3"/>
        <w:keepNext/>
        <w:keepLines/>
        <w:widowControl w:val="0"/>
        <w:numPr>
          <w:ilvl w:val="0"/>
          <w:numId w:val="0"/>
        </w:numPr>
        <w:spacing w:before="0" w:beforeAutospacing="0" w:after="0" w:afterAutospacing="0"/>
        <w:ind w:leftChars="200"/>
        <w:jc w:val="both"/>
        <w:rPr>
          <w:rFonts w:hint="eastAsia" w:ascii="楷体" w:hAnsi="楷体" w:eastAsia="楷体" w:cs="楷体"/>
          <w:bCs w:val="0"/>
          <w:kern w:val="44"/>
          <w:sz w:val="32"/>
          <w:szCs w:val="24"/>
        </w:rPr>
      </w:pPr>
      <w:r>
        <w:rPr>
          <w:rFonts w:hint="eastAsia" w:ascii="楷体" w:hAnsi="楷体" w:eastAsia="楷体" w:cs="楷体"/>
          <w:bCs w:val="0"/>
          <w:kern w:val="44"/>
          <w:sz w:val="32"/>
          <w:szCs w:val="24"/>
          <w:lang w:eastAsia="zh-CN"/>
        </w:rPr>
        <w:t>（四）</w:t>
      </w:r>
      <w:r>
        <w:rPr>
          <w:rFonts w:hint="eastAsia" w:ascii="楷体" w:hAnsi="楷体" w:eastAsia="楷体" w:cs="楷体"/>
          <w:bCs w:val="0"/>
          <w:kern w:val="44"/>
          <w:sz w:val="32"/>
          <w:szCs w:val="24"/>
        </w:rPr>
        <w:t>重大传染病防控经费项目</w:t>
      </w:r>
      <w:bookmarkEnd w:id="6"/>
    </w:p>
    <w:p w14:paraId="489858F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color w:val="000000"/>
          <w:spacing w:val="0"/>
          <w:w w:val="100"/>
          <w:position w:val="0"/>
          <w:sz w:val="32"/>
          <w:szCs w:val="32"/>
          <w:lang w:eastAsia="zh-CN"/>
        </w:rPr>
      </w:pPr>
      <w:r>
        <w:rPr>
          <w:rFonts w:hint="eastAsia" w:ascii="楷体" w:hAnsi="楷体" w:eastAsia="楷体" w:cs="楷体"/>
          <w:color w:val="000000"/>
          <w:spacing w:val="0"/>
          <w:w w:val="100"/>
          <w:position w:val="0"/>
          <w:sz w:val="32"/>
          <w:szCs w:val="32"/>
          <w:lang w:val="en-US" w:eastAsia="zh-CN"/>
        </w:rPr>
        <w:t>2023年</w:t>
      </w:r>
      <w:r>
        <w:rPr>
          <w:rFonts w:hint="eastAsia" w:ascii="楷体" w:hAnsi="楷体" w:eastAsia="楷体" w:cs="楷体"/>
          <w:color w:val="000000"/>
          <w:spacing w:val="0"/>
          <w:w w:val="100"/>
          <w:position w:val="0"/>
          <w:sz w:val="32"/>
          <w:szCs w:val="32"/>
          <w:lang w:eastAsia="zh-CN"/>
        </w:rPr>
        <w:t>艾滋病防治项目</w:t>
      </w:r>
    </w:p>
    <w:p w14:paraId="7F59E17C">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一、项目基本情况</w:t>
      </w:r>
    </w:p>
    <w:p w14:paraId="4968EC8A">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color w:val="000000"/>
          <w:spacing w:val="0"/>
          <w:w w:val="100"/>
          <w:position w:val="0"/>
          <w:sz w:val="32"/>
          <w:szCs w:val="32"/>
        </w:rPr>
      </w:pPr>
      <w:r>
        <w:rPr>
          <w:rFonts w:hint="eastAsia" w:ascii="楷体" w:hAnsi="楷体" w:eastAsia="楷体" w:cs="楷体"/>
          <w:color w:val="000000"/>
          <w:spacing w:val="0"/>
          <w:w w:val="100"/>
          <w:position w:val="0"/>
          <w:sz w:val="32"/>
          <w:szCs w:val="32"/>
          <w:lang w:eastAsia="zh-CN"/>
        </w:rPr>
        <w:t>（一）</w:t>
      </w:r>
      <w:r>
        <w:rPr>
          <w:rFonts w:hint="eastAsia" w:ascii="楷体" w:hAnsi="楷体" w:eastAsia="楷体" w:cs="楷体"/>
          <w:color w:val="000000"/>
          <w:spacing w:val="0"/>
          <w:w w:val="100"/>
          <w:position w:val="0"/>
          <w:sz w:val="32"/>
          <w:szCs w:val="32"/>
        </w:rPr>
        <w:t>项目概况。</w:t>
      </w:r>
      <w:r>
        <w:rPr>
          <w:rFonts w:hint="eastAsia" w:ascii="仿宋_GB2312" w:hAnsi="仿宋_GB2312" w:eastAsia="仿宋_GB2312" w:cs="仿宋_GB2312"/>
          <w:color w:val="000000"/>
          <w:spacing w:val="0"/>
          <w:w w:val="100"/>
          <w:position w:val="0"/>
          <w:sz w:val="32"/>
          <w:szCs w:val="32"/>
          <w:lang w:eastAsia="zh-CN"/>
        </w:rPr>
        <w:t>项目执行主体为兰州新区卫生健康委，项目覆盖新区辖区所有园区及乡镇。</w:t>
      </w:r>
    </w:p>
    <w:p w14:paraId="1FFF6AD7">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sz w:val="32"/>
          <w:szCs w:val="32"/>
        </w:rPr>
      </w:pPr>
      <w:r>
        <w:rPr>
          <w:rFonts w:hint="eastAsia" w:ascii="楷体" w:hAnsi="楷体" w:eastAsia="楷体" w:cs="楷体"/>
          <w:color w:val="000000"/>
          <w:spacing w:val="0"/>
          <w:w w:val="100"/>
          <w:position w:val="0"/>
          <w:sz w:val="32"/>
          <w:szCs w:val="32"/>
          <w:lang w:eastAsia="zh-CN"/>
        </w:rPr>
        <w:t>（二）项目绩效目标情况。</w:t>
      </w:r>
      <w:r>
        <w:rPr>
          <w:rFonts w:hint="eastAsia" w:ascii="仿宋_GB2312" w:hAnsi="仿宋_GB2312" w:eastAsia="仿宋_GB2312" w:cs="仿宋_GB2312"/>
          <w:color w:val="000000"/>
          <w:spacing w:val="0"/>
          <w:w w:val="100"/>
          <w:position w:val="0"/>
          <w:sz w:val="32"/>
          <w:szCs w:val="32"/>
          <w:lang w:eastAsia="zh-CN"/>
        </w:rPr>
        <w:t>项目的实施旨在</w:t>
      </w:r>
      <w:r>
        <w:rPr>
          <w:rFonts w:hint="eastAsia" w:ascii="仿宋_GB2312" w:hAnsi="仿宋_GB2312" w:eastAsia="仿宋_GB2312" w:cs="仿宋_GB2312"/>
          <w:sz w:val="32"/>
          <w:szCs w:val="32"/>
        </w:rPr>
        <w:t>最大限度发现艾滋病病毒感染者和艾滋病病人，有效控制性传播，持续减少注射吸毒传播、输血传播和母婴传播，进一步降低病死率，逐步提高感染者和病人生存质量，减少社会歧视，发挥社会组织的优势，引导扶持社区组织参与艾滋病防治工作,</w:t>
      </w:r>
      <w:r>
        <w:rPr>
          <w:rFonts w:hint="eastAsia" w:ascii="仿宋_GB2312" w:hAnsi="仿宋_GB2312" w:eastAsia="仿宋_GB2312" w:cs="仿宋_GB2312"/>
          <w:sz w:val="32"/>
          <w:szCs w:val="32"/>
          <w:lang w:val="en-US" w:eastAsia="zh-CN"/>
        </w:rPr>
        <w:t>遏制艾滋病在新区传播，</w:t>
      </w:r>
      <w:r>
        <w:rPr>
          <w:rFonts w:hint="eastAsia" w:ascii="仿宋_GB2312" w:hAnsi="仿宋_GB2312" w:eastAsia="仿宋_GB2312" w:cs="仿宋_GB2312"/>
          <w:sz w:val="32"/>
          <w:szCs w:val="32"/>
        </w:rPr>
        <w:t>将</w:t>
      </w:r>
      <w:r>
        <w:rPr>
          <w:rFonts w:hint="eastAsia" w:ascii="仿宋_GB2312" w:hAnsi="仿宋_GB2312" w:eastAsia="仿宋_GB2312" w:cs="仿宋_GB2312"/>
          <w:sz w:val="32"/>
          <w:szCs w:val="32"/>
          <w:lang w:val="en-US" w:eastAsia="zh-CN"/>
        </w:rPr>
        <w:t>新区</w:t>
      </w:r>
      <w:r>
        <w:rPr>
          <w:rFonts w:hint="eastAsia" w:ascii="仿宋_GB2312" w:hAnsi="仿宋_GB2312" w:eastAsia="仿宋_GB2312" w:cs="仿宋_GB2312"/>
          <w:sz w:val="32"/>
          <w:szCs w:val="32"/>
        </w:rPr>
        <w:t>艾滋病疫情继续控制在低流行水平。</w:t>
      </w:r>
    </w:p>
    <w:p w14:paraId="5159D150">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二</w:t>
      </w:r>
      <w:r>
        <w:rPr>
          <w:rFonts w:hint="eastAsia" w:ascii="黑体" w:hAnsi="黑体" w:eastAsia="黑体" w:cs="黑体"/>
          <w:color w:val="000000"/>
          <w:spacing w:val="0"/>
          <w:w w:val="100"/>
          <w:position w:val="0"/>
          <w:sz w:val="32"/>
          <w:szCs w:val="32"/>
          <w:lang w:eastAsia="zh-CN"/>
        </w:rPr>
        <w:t>、</w:t>
      </w:r>
      <w:r>
        <w:rPr>
          <w:rFonts w:hint="eastAsia" w:ascii="黑体" w:hAnsi="黑体" w:eastAsia="黑体" w:cs="黑体"/>
          <w:color w:val="000000"/>
          <w:spacing w:val="0"/>
          <w:w w:val="100"/>
          <w:position w:val="0"/>
          <w:sz w:val="32"/>
          <w:szCs w:val="32"/>
        </w:rPr>
        <w:t>项目实施及管理情况</w:t>
      </w:r>
    </w:p>
    <w:p w14:paraId="15AF07E3">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（一）资金到位情况。</w:t>
      </w:r>
    </w:p>
    <w:p w14:paraId="29DA580D">
      <w:pPr>
        <w:adjustRightInd w:val="0"/>
        <w:spacing w:line="56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本</w:t>
      </w:r>
      <w:r>
        <w:rPr>
          <w:rFonts w:hint="eastAsia" w:ascii="仿宋_GB2312" w:hAnsi="仿宋" w:eastAsia="仿宋_GB2312"/>
          <w:kern w:val="0"/>
          <w:sz w:val="32"/>
          <w:szCs w:val="32"/>
          <w:lang w:val="en-US" w:eastAsia="zh-CN"/>
        </w:rPr>
        <w:t>年度艾滋病中央转移支付项目</w:t>
      </w:r>
      <w:r>
        <w:rPr>
          <w:rFonts w:hint="eastAsia" w:ascii="仿宋_GB2312" w:hAnsi="仿宋" w:eastAsia="仿宋_GB2312"/>
          <w:kern w:val="0"/>
          <w:sz w:val="32"/>
          <w:szCs w:val="32"/>
        </w:rPr>
        <w:t>经费共计</w:t>
      </w:r>
      <w:r>
        <w:rPr>
          <w:rFonts w:hint="eastAsia" w:ascii="仿宋_GB2312" w:hAnsi="等线" w:eastAsia="仿宋_GB2312" w:cs="Times New Roman"/>
          <w:color w:val="000000"/>
          <w:kern w:val="2"/>
          <w:sz w:val="32"/>
          <w:szCs w:val="32"/>
          <w:lang w:val="en-US" w:eastAsia="zh-CN" w:bidi="ar-SA"/>
        </w:rPr>
        <w:t>5.5万元</w:t>
      </w:r>
      <w:r>
        <w:rPr>
          <w:rFonts w:hint="eastAsia" w:ascii="仿宋_GB2312" w:hAnsi="仿宋" w:eastAsia="仿宋_GB2312"/>
          <w:kern w:val="0"/>
          <w:sz w:val="32"/>
          <w:szCs w:val="32"/>
        </w:rPr>
        <w:t>。全部资金预算安排如下：</w:t>
      </w:r>
    </w:p>
    <w:p w14:paraId="3E5A329A">
      <w:pPr>
        <w:adjustRightInd w:val="0"/>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1.</w:t>
      </w:r>
      <w:r>
        <w:rPr>
          <w:rFonts w:hint="eastAsia" w:ascii="仿宋_GB2312" w:hAnsi="仿宋" w:eastAsia="仿宋_GB2312"/>
          <w:kern w:val="0"/>
          <w:sz w:val="32"/>
          <w:szCs w:val="32"/>
          <w:lang w:val="en-US" w:eastAsia="zh-CN"/>
        </w:rPr>
        <w:t>性病宣传及</w:t>
      </w:r>
      <w:r>
        <w:rPr>
          <w:rFonts w:hint="eastAsia" w:ascii="仿宋_GB2312" w:hAnsi="仿宋" w:eastAsia="仿宋_GB2312"/>
          <w:kern w:val="0"/>
          <w:sz w:val="32"/>
          <w:szCs w:val="32"/>
        </w:rPr>
        <w:t>检测咨询经费</w:t>
      </w:r>
      <w:r>
        <w:rPr>
          <w:rFonts w:hint="eastAsia" w:ascii="仿宋_GB2312" w:hAnsi="仿宋" w:eastAsia="仿宋_GB2312"/>
          <w:kern w:val="0"/>
          <w:sz w:val="32"/>
          <w:szCs w:val="32"/>
          <w:lang w:val="en-US" w:eastAsia="zh-CN"/>
        </w:rPr>
        <w:t>0.9</w:t>
      </w:r>
      <w:r>
        <w:rPr>
          <w:rFonts w:hint="eastAsia" w:ascii="仿宋_GB2312" w:hAnsi="仿宋" w:eastAsia="仿宋_GB2312"/>
          <w:kern w:val="0"/>
          <w:sz w:val="32"/>
          <w:szCs w:val="32"/>
        </w:rPr>
        <w:t>万元，用于</w:t>
      </w:r>
      <w:r>
        <w:rPr>
          <w:rFonts w:hint="eastAsia" w:ascii="仿宋_GB2312" w:hAnsi="仿宋" w:eastAsia="仿宋_GB2312"/>
          <w:kern w:val="0"/>
          <w:sz w:val="32"/>
          <w:szCs w:val="32"/>
          <w:lang w:eastAsia="zh-CN"/>
        </w:rPr>
        <w:t>宣传</w:t>
      </w:r>
      <w:r>
        <w:rPr>
          <w:rFonts w:hint="eastAsia" w:ascii="仿宋_GB2312" w:hAnsi="仿宋" w:eastAsia="仿宋_GB2312"/>
          <w:kern w:val="0"/>
          <w:sz w:val="32"/>
          <w:szCs w:val="32"/>
        </w:rPr>
        <w:t>培训、</w:t>
      </w:r>
      <w:r>
        <w:rPr>
          <w:rFonts w:hint="eastAsia" w:ascii="仿宋_GB2312" w:hAnsi="仿宋" w:eastAsia="仿宋_GB2312"/>
          <w:kern w:val="0"/>
          <w:sz w:val="32"/>
          <w:szCs w:val="32"/>
          <w:lang w:eastAsia="zh-CN"/>
        </w:rPr>
        <w:t>咨询检测</w:t>
      </w:r>
      <w:r>
        <w:rPr>
          <w:rFonts w:hint="eastAsia" w:ascii="仿宋_GB2312" w:hAnsi="仿宋" w:eastAsia="仿宋_GB2312"/>
          <w:kern w:val="0"/>
          <w:sz w:val="32"/>
          <w:szCs w:val="32"/>
        </w:rPr>
        <w:t>及工作人员补助；</w:t>
      </w:r>
    </w:p>
    <w:p w14:paraId="520B863D">
      <w:pPr>
        <w:adjustRightInd w:val="0"/>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lang w:val="en-US" w:eastAsia="zh-CN"/>
        </w:rPr>
        <w:t>2.治疗随访及耐药监测1.7</w:t>
      </w:r>
      <w:r>
        <w:rPr>
          <w:rFonts w:hint="eastAsia" w:ascii="仿宋_GB2312" w:hAnsi="仿宋" w:eastAsia="仿宋_GB2312"/>
          <w:kern w:val="0"/>
          <w:sz w:val="32"/>
          <w:szCs w:val="32"/>
        </w:rPr>
        <w:t>万元，用于</w:t>
      </w:r>
      <w:r>
        <w:rPr>
          <w:rFonts w:hint="eastAsia" w:ascii="仿宋_GB2312" w:hAnsi="仿宋" w:eastAsia="仿宋_GB2312"/>
          <w:kern w:val="0"/>
          <w:sz w:val="32"/>
          <w:szCs w:val="32"/>
          <w:lang w:val="en-US" w:eastAsia="zh-CN"/>
        </w:rPr>
        <w:t>患者治疗转介，随访，耐药监测</w:t>
      </w:r>
      <w:r>
        <w:rPr>
          <w:rFonts w:hint="eastAsia" w:ascii="仿宋_GB2312" w:hAnsi="仿宋" w:eastAsia="仿宋_GB2312"/>
          <w:kern w:val="0"/>
          <w:sz w:val="32"/>
          <w:szCs w:val="32"/>
        </w:rPr>
        <w:t>；</w:t>
      </w:r>
    </w:p>
    <w:p w14:paraId="5BECF622">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 w:eastAsia="仿宋_GB2312"/>
          <w:kern w:val="0"/>
          <w:sz w:val="32"/>
          <w:szCs w:val="32"/>
          <w:lang w:val="en-US" w:eastAsia="zh-CN"/>
        </w:rPr>
        <w:t>3.</w:t>
      </w:r>
      <w:r>
        <w:rPr>
          <w:rFonts w:hint="eastAsia" w:ascii="仿宋_GB2312" w:hAnsi="仿宋" w:eastAsia="仿宋_GB2312"/>
          <w:sz w:val="32"/>
          <w:szCs w:val="32"/>
        </w:rPr>
        <w:t>性病、丙肝防治能力建设和干预，安排资金</w:t>
      </w:r>
      <w:r>
        <w:rPr>
          <w:rFonts w:hint="eastAsia" w:ascii="仿宋_GB2312" w:hAnsi="仿宋" w:eastAsia="仿宋_GB2312"/>
          <w:sz w:val="32"/>
          <w:szCs w:val="32"/>
          <w:lang w:val="en-US" w:eastAsia="zh-CN"/>
        </w:rPr>
        <w:t>1.53</w:t>
      </w:r>
      <w:r>
        <w:rPr>
          <w:rFonts w:hint="eastAsia" w:ascii="仿宋_GB2312" w:hAnsi="仿宋" w:eastAsia="仿宋_GB2312"/>
          <w:sz w:val="32"/>
          <w:szCs w:val="32"/>
        </w:rPr>
        <w:t>万元，用于</w:t>
      </w:r>
      <w:r>
        <w:rPr>
          <w:rFonts w:hint="eastAsia" w:ascii="仿宋_GB2312" w:hAnsi="仿宋" w:eastAsia="仿宋_GB2312"/>
          <w:sz w:val="32"/>
          <w:szCs w:val="32"/>
          <w:lang w:val="en-US" w:eastAsia="zh-CN"/>
        </w:rPr>
        <w:t>实验室耗材，</w:t>
      </w:r>
      <w:r>
        <w:rPr>
          <w:rFonts w:hint="eastAsia" w:ascii="仿宋_GB2312" w:hAnsi="仿宋" w:eastAsia="仿宋_GB2312"/>
          <w:sz w:val="32"/>
          <w:szCs w:val="32"/>
        </w:rPr>
        <w:t>医务人员能力培训，性病、丙肝病例报告质量核查、宣传及工作人员补助。</w:t>
      </w:r>
    </w:p>
    <w:p w14:paraId="07F1CD73">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（二）项目开展情况。</w:t>
      </w:r>
    </w:p>
    <w:p w14:paraId="4E11D33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hAnsi="Tahoma" w:eastAsia="仿宋_GB2312" w:cs="Times New Roman"/>
          <w:color w:val="auto"/>
          <w:kern w:val="0"/>
          <w:sz w:val="32"/>
          <w:szCs w:val="32"/>
          <w:lang w:eastAsia="zh-CN" w:bidi="ar-SA"/>
        </w:rPr>
      </w:pPr>
      <w:r>
        <w:rPr>
          <w:rFonts w:hint="eastAsia" w:ascii="仿宋_GB2312" w:hAnsi="Tahoma" w:eastAsia="仿宋_GB2312" w:cs="Times New Roman"/>
          <w:b/>
          <w:bCs/>
          <w:color w:val="auto"/>
          <w:kern w:val="0"/>
          <w:sz w:val="32"/>
          <w:szCs w:val="32"/>
          <w:lang w:val="en-US" w:eastAsia="zh-CN" w:bidi="ar-SA"/>
        </w:rPr>
        <w:t>1.</w:t>
      </w:r>
      <w:r>
        <w:rPr>
          <w:rFonts w:hint="default" w:ascii="仿宋_GB2312" w:hAnsi="Tahoma" w:eastAsia="仿宋_GB2312" w:cs="Times New Roman"/>
          <w:b/>
          <w:bCs/>
          <w:color w:val="auto"/>
          <w:kern w:val="0"/>
          <w:sz w:val="32"/>
          <w:szCs w:val="32"/>
          <w:lang w:val="en-US" w:eastAsia="zh-CN" w:bidi="ar-SA"/>
        </w:rPr>
        <w:t>积极开展医务人员艾滋病性病防治业务培训。</w:t>
      </w:r>
      <w:r>
        <w:rPr>
          <w:rFonts w:hint="eastAsia" w:ascii="仿宋_GB2312" w:hAnsi="Tahoma" w:eastAsia="仿宋_GB2312" w:cs="Times New Roman"/>
          <w:color w:val="auto"/>
          <w:kern w:val="0"/>
          <w:sz w:val="32"/>
          <w:szCs w:val="32"/>
          <w:lang w:val="en-US" w:eastAsia="zh-CN" w:bidi="ar-SA"/>
        </w:rPr>
        <w:t>对各医疗机构开展艾滋病性病丙肝等传染病的防治工作技能提升培训；</w:t>
      </w:r>
      <w:r>
        <w:rPr>
          <w:rFonts w:hint="default" w:ascii="仿宋_GB2312" w:eastAsia="仿宋_GB2312" w:cs="Times New Roman"/>
          <w:color w:val="auto"/>
          <w:kern w:val="0"/>
          <w:sz w:val="32"/>
          <w:szCs w:val="32"/>
          <w:lang w:eastAsia="zh-CN" w:bidi="ar-SA"/>
        </w:rPr>
        <w:t>分别于4月、6月、11月对辖区医疗机构开展了艾滋病流行形势、诊疗知识、政策措施等方面的专题培训，培训人员</w:t>
      </w:r>
      <w:r>
        <w:rPr>
          <w:rFonts w:hint="eastAsia" w:ascii="仿宋_GB2312" w:eastAsia="仿宋_GB2312" w:cs="Times New Roman"/>
          <w:color w:val="auto"/>
          <w:kern w:val="0"/>
          <w:sz w:val="32"/>
          <w:szCs w:val="32"/>
          <w:lang w:val="en-US" w:eastAsia="zh-CN" w:bidi="ar-SA"/>
        </w:rPr>
        <w:t>100</w:t>
      </w:r>
      <w:r>
        <w:rPr>
          <w:rFonts w:hint="default" w:ascii="仿宋_GB2312" w:eastAsia="仿宋_GB2312" w:cs="Times New Roman"/>
          <w:color w:val="auto"/>
          <w:kern w:val="0"/>
          <w:sz w:val="32"/>
          <w:szCs w:val="32"/>
          <w:lang w:eastAsia="zh-CN" w:bidi="ar-SA"/>
        </w:rPr>
        <w:t>余人次。利用督导检查、初筛实验室考核验收时机对一线公卫科、妇产科、检验科等人员进行面对面的培训指导。</w:t>
      </w:r>
    </w:p>
    <w:p w14:paraId="77895F0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Tahoma" w:eastAsia="仿宋_GB2312" w:cs="Times New Roman"/>
          <w:color w:val="auto"/>
          <w:kern w:val="0"/>
          <w:sz w:val="32"/>
          <w:szCs w:val="32"/>
          <w:lang w:val="en-US" w:eastAsia="zh-CN" w:bidi="ar-SA"/>
        </w:rPr>
      </w:pPr>
      <w:r>
        <w:rPr>
          <w:rFonts w:hint="eastAsia" w:ascii="仿宋_GB2312" w:hAnsi="仿宋_GB2312" w:eastAsia="仿宋_GB2312" w:cs="仿宋_GB2312"/>
          <w:b/>
          <w:bCs/>
          <w:color w:val="auto"/>
          <w:kern w:val="0"/>
          <w:sz w:val="32"/>
          <w:szCs w:val="32"/>
          <w:lang w:val="en-US" w:eastAsia="zh-CN" w:bidi="ar-SA"/>
        </w:rPr>
        <w:t>2.</w:t>
      </w:r>
      <w:r>
        <w:rPr>
          <w:rFonts w:hint="eastAsia" w:ascii="仿宋_GB2312" w:hAnsi="仿宋_GB2312" w:eastAsia="仿宋_GB2312" w:cs="仿宋_GB2312"/>
          <w:b/>
          <w:bCs/>
          <w:color w:val="auto"/>
          <w:kern w:val="0"/>
          <w:sz w:val="32"/>
          <w:szCs w:val="32"/>
          <w:lang w:eastAsia="zh-CN" w:bidi="ar-SA"/>
        </w:rPr>
        <w:t>开展丰富多彩的艾滋病防治工作宣传活动。</w:t>
      </w:r>
      <w:r>
        <w:rPr>
          <w:rFonts w:hint="eastAsia" w:ascii="仿宋_GB2312" w:hAnsi="Tahoma" w:eastAsia="仿宋_GB2312" w:cs="Times New Roman"/>
          <w:color w:val="auto"/>
          <w:kern w:val="0"/>
          <w:sz w:val="32"/>
          <w:szCs w:val="32"/>
          <w:lang w:val="en-US" w:eastAsia="zh-CN" w:bidi="ar-SA"/>
        </w:rPr>
        <w:t>承办“凝聚社会力量合力共抗艾滋”主题宣传活动。按照省卫健委、省疾控局的安排部署，</w:t>
      </w:r>
      <w:r>
        <w:rPr>
          <w:rFonts w:hint="default" w:ascii="仿宋_GB2312" w:eastAsia="仿宋_GB2312" w:cs="Times New Roman"/>
          <w:color w:val="auto"/>
          <w:kern w:val="0"/>
          <w:sz w:val="32"/>
          <w:szCs w:val="32"/>
          <w:lang w:eastAsia="zh-CN" w:bidi="ar-SA"/>
        </w:rPr>
        <w:t>在第36个世界艾滋病日之际，</w:t>
      </w:r>
      <w:r>
        <w:rPr>
          <w:rFonts w:hint="eastAsia" w:ascii="仿宋_GB2312" w:hAnsi="Tahoma" w:eastAsia="仿宋_GB2312" w:cs="Times New Roman"/>
          <w:color w:val="auto"/>
          <w:kern w:val="0"/>
          <w:sz w:val="32"/>
          <w:szCs w:val="32"/>
          <w:lang w:val="en-US" w:eastAsia="zh-CN" w:bidi="ar-SA"/>
        </w:rPr>
        <w:t>在兰州信息科技学院体育馆举办了以“凝聚社会力量，合力共抗艾滋”为主题的</w:t>
      </w:r>
      <w:r>
        <w:rPr>
          <w:rFonts w:hint="default" w:ascii="仿宋_GB2312" w:eastAsia="仿宋_GB2312" w:cs="Times New Roman"/>
          <w:color w:val="auto"/>
          <w:kern w:val="0"/>
          <w:sz w:val="32"/>
          <w:szCs w:val="32"/>
          <w:lang w:eastAsia="zh-CN" w:bidi="ar-SA"/>
        </w:rPr>
        <w:t>全省防艾日</w:t>
      </w:r>
      <w:r>
        <w:rPr>
          <w:rFonts w:hint="eastAsia" w:ascii="仿宋_GB2312" w:hAnsi="Tahoma" w:eastAsia="仿宋_GB2312" w:cs="Times New Roman"/>
          <w:color w:val="auto"/>
          <w:kern w:val="0"/>
          <w:sz w:val="32"/>
          <w:szCs w:val="32"/>
          <w:lang w:val="en-US" w:eastAsia="zh-CN" w:bidi="ar-SA"/>
        </w:rPr>
        <w:t>大型现场宣传</w:t>
      </w:r>
      <w:r>
        <w:rPr>
          <w:rFonts w:hint="default" w:ascii="仿宋_GB2312" w:eastAsia="仿宋_GB2312" w:cs="Times New Roman"/>
          <w:color w:val="auto"/>
          <w:kern w:val="0"/>
          <w:sz w:val="32"/>
          <w:szCs w:val="32"/>
          <w:lang w:eastAsia="zh-CN" w:bidi="ar-SA"/>
        </w:rPr>
        <w:t>启动</w:t>
      </w:r>
      <w:r>
        <w:rPr>
          <w:rFonts w:hint="eastAsia" w:ascii="仿宋_GB2312" w:hAnsi="Tahoma" w:eastAsia="仿宋_GB2312" w:cs="Times New Roman"/>
          <w:color w:val="auto"/>
          <w:kern w:val="0"/>
          <w:sz w:val="32"/>
          <w:szCs w:val="32"/>
          <w:lang w:val="en-US" w:eastAsia="zh-CN" w:bidi="ar-SA"/>
        </w:rPr>
        <w:t>活动。</w:t>
      </w:r>
      <w:r>
        <w:rPr>
          <w:rFonts w:hint="default" w:ascii="仿宋_GB2312" w:eastAsia="仿宋_GB2312" w:cs="Times New Roman"/>
          <w:color w:val="auto"/>
          <w:kern w:val="0"/>
          <w:sz w:val="32"/>
          <w:szCs w:val="32"/>
          <w:lang w:eastAsia="zh-CN" w:bidi="ar-SA"/>
        </w:rPr>
        <w:t>设置</w:t>
      </w:r>
      <w:r>
        <w:rPr>
          <w:rFonts w:hint="eastAsia" w:ascii="仿宋_GB2312" w:hAnsi="Tahoma" w:eastAsia="仿宋_GB2312" w:cs="Times New Roman"/>
          <w:color w:val="auto"/>
          <w:kern w:val="0"/>
          <w:sz w:val="32"/>
          <w:szCs w:val="32"/>
          <w:lang w:val="en-US" w:eastAsia="zh-CN" w:bidi="ar-SA"/>
        </w:rPr>
        <w:t>主题宣传展览、“凝聚社会力量，合力共抗艾滋”主题签名墙、“以爱之名，一起向未来”文艺演出等活动。</w:t>
      </w:r>
    </w:p>
    <w:p w14:paraId="57052D5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Tahoma" w:eastAsia="仿宋_GB2312" w:cs="Times New Roman"/>
          <w:color w:val="auto"/>
          <w:kern w:val="0"/>
          <w:sz w:val="32"/>
          <w:szCs w:val="32"/>
          <w:lang w:val="en-US" w:eastAsia="zh-CN" w:bidi="ar-SA"/>
        </w:rPr>
      </w:pPr>
      <w:r>
        <w:rPr>
          <w:rFonts w:hint="eastAsia" w:ascii="仿宋_GB2312" w:hAnsi="Tahoma" w:eastAsia="仿宋_GB2312" w:cs="Times New Roman"/>
          <w:b/>
          <w:bCs/>
          <w:color w:val="auto"/>
          <w:kern w:val="0"/>
          <w:sz w:val="32"/>
          <w:szCs w:val="32"/>
          <w:lang w:val="en-US" w:eastAsia="zh-CN" w:bidi="ar-SA"/>
        </w:rPr>
        <w:t>3</w:t>
      </w:r>
      <w:r>
        <w:rPr>
          <w:rFonts w:hint="default" w:ascii="仿宋_GB2312" w:hAnsi="Tahoma" w:eastAsia="仿宋_GB2312" w:cs="Times New Roman"/>
          <w:b/>
          <w:bCs/>
          <w:color w:val="auto"/>
          <w:kern w:val="0"/>
          <w:sz w:val="32"/>
          <w:szCs w:val="32"/>
          <w:lang w:eastAsia="zh-CN" w:bidi="ar-SA"/>
        </w:rPr>
        <w:t>.</w:t>
      </w:r>
      <w:r>
        <w:rPr>
          <w:rFonts w:hint="eastAsia" w:ascii="仿宋_GB2312" w:hAnsi="Tahoma" w:eastAsia="仿宋_GB2312" w:cs="Times New Roman"/>
          <w:b/>
          <w:bCs/>
          <w:color w:val="auto"/>
          <w:kern w:val="0"/>
          <w:sz w:val="32"/>
          <w:szCs w:val="32"/>
          <w:lang w:val="en-US" w:eastAsia="zh-CN" w:bidi="ar-SA"/>
        </w:rPr>
        <w:t>开展“为艾守护”优秀宣传作品征集活动</w:t>
      </w:r>
      <w:r>
        <w:rPr>
          <w:rFonts w:hint="eastAsia" w:ascii="楷体_GB2312" w:hAnsi="楷体_GB2312" w:eastAsia="楷体_GB2312" w:cs="楷体_GB2312"/>
          <w:b w:val="0"/>
          <w:bCs w:val="0"/>
          <w:color w:val="auto"/>
          <w:kern w:val="0"/>
          <w:sz w:val="32"/>
          <w:szCs w:val="32"/>
          <w:lang w:val="en-US" w:eastAsia="zh-CN" w:bidi="ar-SA"/>
        </w:rPr>
        <w:t>。</w:t>
      </w:r>
      <w:r>
        <w:rPr>
          <w:rFonts w:hint="eastAsia" w:ascii="仿宋_GB2312" w:hAnsi="Tahoma" w:eastAsia="仿宋_GB2312" w:cs="Times New Roman"/>
          <w:color w:val="auto"/>
          <w:kern w:val="0"/>
          <w:sz w:val="32"/>
          <w:szCs w:val="32"/>
          <w:lang w:val="en-US" w:eastAsia="zh-CN" w:bidi="ar-SA"/>
        </w:rPr>
        <w:t>以“世界艾滋病日”“性病防治主题宣传周”为契机，在新区范围内组织开展了艾滋病性病防治宣传教育材料评比及优秀防艾宣传作品征集活动。活动期间共收到作品35个，经全省艾滋病性病防治宣传教育材料专家评选，兰州信息科技学院王玺成同学的作品“珍爱生命预防艾滋”获得三等奖。</w:t>
      </w:r>
    </w:p>
    <w:p w14:paraId="12A52A3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Tahoma" w:eastAsia="仿宋_GB2312" w:cs="Times New Roman"/>
          <w:color w:val="auto"/>
          <w:kern w:val="0"/>
          <w:sz w:val="32"/>
          <w:szCs w:val="32"/>
          <w:lang w:val="en-US" w:eastAsia="zh-CN" w:bidi="ar-SA"/>
        </w:rPr>
      </w:pPr>
      <w:r>
        <w:rPr>
          <w:rFonts w:hint="eastAsia" w:ascii="仿宋_GB2312" w:hAnsi="Tahoma" w:eastAsia="仿宋_GB2312" w:cs="Times New Roman"/>
          <w:b/>
          <w:bCs/>
          <w:color w:val="auto"/>
          <w:kern w:val="0"/>
          <w:sz w:val="32"/>
          <w:szCs w:val="32"/>
          <w:lang w:val="en-US" w:eastAsia="zh-CN" w:bidi="ar-SA"/>
        </w:rPr>
        <w:t>4</w:t>
      </w:r>
      <w:r>
        <w:rPr>
          <w:rFonts w:hint="default" w:ascii="仿宋_GB2312" w:hAnsi="Tahoma" w:eastAsia="仿宋_GB2312" w:cs="Times New Roman"/>
          <w:b/>
          <w:bCs/>
          <w:color w:val="auto"/>
          <w:kern w:val="0"/>
          <w:sz w:val="32"/>
          <w:szCs w:val="32"/>
          <w:lang w:eastAsia="zh-CN" w:bidi="ar-SA"/>
        </w:rPr>
        <w:t>.</w:t>
      </w:r>
      <w:r>
        <w:rPr>
          <w:rFonts w:hint="eastAsia" w:ascii="仿宋_GB2312" w:hAnsi="Tahoma" w:eastAsia="仿宋_GB2312" w:cs="Times New Roman"/>
          <w:b/>
          <w:bCs/>
          <w:color w:val="auto"/>
          <w:kern w:val="0"/>
          <w:sz w:val="32"/>
          <w:szCs w:val="32"/>
          <w:lang w:val="en-US" w:eastAsia="zh-CN" w:bidi="ar-SA"/>
        </w:rPr>
        <w:t>积极开展“五进”，“线上线下”结合做实健康宣教活动。</w:t>
      </w:r>
      <w:r>
        <w:rPr>
          <w:rFonts w:hint="eastAsia" w:ascii="仿宋_GB2312" w:hAnsi="Tahoma" w:eastAsia="仿宋_GB2312" w:cs="Times New Roman"/>
          <w:color w:val="auto"/>
          <w:kern w:val="0"/>
          <w:sz w:val="32"/>
          <w:szCs w:val="32"/>
          <w:lang w:val="en-US" w:eastAsia="zh-CN" w:bidi="ar-SA"/>
        </w:rPr>
        <w:t>推进艾滋病防治宣传教育“进社区、进企业、进医院、进校园、进家庭”，引导他们践行健康生活方式，增强自我防护意识及能力。广泛张贴宣传画、播放宣传影音、摆放宣传材料、设置咨询台、开展专题讲座等形式，宣传普及艾滋病性病防治知识和技能。据不完全统计，新区各有关单位在“艾滋病日”期间共举办大型演出1场，各类讲座20场次，大型广告墙（签名墙）2个，宣传展板100余个，横幅标语宣传屏30余条，短视频、微信公众号信息10余条，覆盖人群超过10万余人次，发放宣传折页（单）5万余张、安全套500余盒。</w:t>
      </w:r>
    </w:p>
    <w:p w14:paraId="617E46A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hAnsi="Tahoma" w:eastAsia="仿宋_GB2312" w:cs="Times New Roman"/>
          <w:color w:val="auto"/>
          <w:kern w:val="0"/>
          <w:sz w:val="32"/>
          <w:szCs w:val="32"/>
          <w:lang w:eastAsia="zh-CN" w:bidi="ar-SA"/>
        </w:rPr>
      </w:pPr>
      <w:r>
        <w:rPr>
          <w:rFonts w:hint="eastAsia" w:ascii="仿宋_GB2312" w:hAnsi="Tahoma" w:eastAsia="仿宋_GB2312" w:cs="Times New Roman"/>
          <w:b/>
          <w:bCs/>
          <w:color w:val="auto"/>
          <w:spacing w:val="0"/>
          <w:w w:val="100"/>
          <w:kern w:val="0"/>
          <w:position w:val="0"/>
          <w:sz w:val="32"/>
          <w:szCs w:val="32"/>
          <w:shd w:val="clear" w:color="auto" w:fill="auto"/>
          <w:lang w:val="en-US" w:eastAsia="zh-CN" w:bidi="ar-SA"/>
        </w:rPr>
        <w:t>5.开展专题讲座。</w:t>
      </w:r>
      <w:r>
        <w:rPr>
          <w:rFonts w:hint="eastAsia" w:ascii="仿宋_GB2312" w:hAnsi="Tahoma" w:eastAsia="仿宋_GB2312" w:cs="Times New Roman"/>
          <w:color w:val="auto"/>
          <w:kern w:val="0"/>
          <w:sz w:val="32"/>
          <w:szCs w:val="32"/>
          <w:lang w:val="en-US" w:eastAsia="zh-CN" w:bidi="ar-SA"/>
        </w:rPr>
        <w:t>走进大学校园课堂开展“防艾专家进校园、守护青春健康同行”专题讲座；与新区看守所、永登监狱开展羁押场所艾滋病防控政策及核心知识宣传。</w:t>
      </w:r>
      <w:r>
        <w:rPr>
          <w:rFonts w:hint="default" w:ascii="仿宋_GB2312" w:hAnsi="等线" w:eastAsia="仿宋_GB2312" w:cs="仿宋_GB2312"/>
          <w:color w:val="000000"/>
          <w:kern w:val="2"/>
          <w:sz w:val="32"/>
          <w:szCs w:val="32"/>
          <w:lang w:val="en-US" w:eastAsia="zh-CN" w:bidi="ar"/>
        </w:rPr>
        <w:t>联合兰州新区共青团兰州新区工作委员会、共青团兰州新区卫生健康委员会，开展干部职工艾滋病防治知识讲座；利用疾控中心微信公众号发布</w:t>
      </w:r>
      <w:r>
        <w:rPr>
          <w:rFonts w:hint="default" w:ascii="仿宋_GB2312" w:hAnsi="等线" w:eastAsia="仿宋_GB2312" w:cs="仿宋_GB2312"/>
          <w:color w:val="000000"/>
          <w:kern w:val="2"/>
          <w:sz w:val="32"/>
          <w:szCs w:val="32"/>
          <w:lang w:eastAsia="zh-CN" w:bidi="ar"/>
        </w:rPr>
        <w:t>艾滋病</w:t>
      </w:r>
      <w:r>
        <w:rPr>
          <w:rFonts w:hint="default" w:ascii="仿宋_GB2312" w:hAnsi="等线" w:eastAsia="仿宋_GB2312" w:cs="仿宋_GB2312"/>
          <w:color w:val="000000"/>
          <w:kern w:val="2"/>
          <w:sz w:val="32"/>
          <w:szCs w:val="32"/>
          <w:lang w:val="en-US" w:eastAsia="zh-CN" w:bidi="ar"/>
        </w:rPr>
        <w:t>防控</w:t>
      </w:r>
      <w:r>
        <w:rPr>
          <w:rFonts w:hint="default" w:ascii="仿宋_GB2312" w:hAnsi="等线" w:eastAsia="仿宋_GB2312" w:cs="仿宋_GB2312"/>
          <w:color w:val="000000"/>
          <w:kern w:val="2"/>
          <w:sz w:val="32"/>
          <w:szCs w:val="32"/>
          <w:lang w:eastAsia="zh-CN" w:bidi="ar"/>
        </w:rPr>
        <w:t>知识</w:t>
      </w:r>
      <w:r>
        <w:rPr>
          <w:rFonts w:hint="default" w:ascii="仿宋_GB2312" w:hAnsi="等线" w:eastAsia="仿宋_GB2312" w:cs="仿宋_GB2312"/>
          <w:color w:val="000000"/>
          <w:kern w:val="2"/>
          <w:sz w:val="32"/>
          <w:szCs w:val="32"/>
          <w:lang w:val="en-US" w:eastAsia="zh-CN" w:bidi="ar"/>
        </w:rPr>
        <w:t>信息</w:t>
      </w:r>
      <w:r>
        <w:rPr>
          <w:rFonts w:hint="default" w:ascii="仿宋_GB2312" w:hAnsi="等线" w:eastAsia="仿宋_GB2312" w:cs="仿宋_GB2312"/>
          <w:color w:val="000000"/>
          <w:kern w:val="2"/>
          <w:sz w:val="32"/>
          <w:szCs w:val="32"/>
          <w:lang w:eastAsia="zh-CN" w:bidi="ar"/>
        </w:rPr>
        <w:t>10</w:t>
      </w:r>
      <w:r>
        <w:rPr>
          <w:rFonts w:hint="default" w:ascii="仿宋_GB2312" w:hAnsi="等线" w:eastAsia="仿宋_GB2312" w:cs="仿宋_GB2312"/>
          <w:color w:val="000000"/>
          <w:kern w:val="2"/>
          <w:sz w:val="32"/>
          <w:szCs w:val="32"/>
          <w:lang w:val="en-US" w:eastAsia="zh-CN" w:bidi="ar"/>
        </w:rPr>
        <w:t>篇</w:t>
      </w:r>
      <w:r>
        <w:rPr>
          <w:rFonts w:hint="default" w:ascii="仿宋_GB2312" w:hAnsi="等线" w:eastAsia="仿宋_GB2312" w:cs="仿宋_GB2312"/>
          <w:color w:val="000000"/>
          <w:kern w:val="2"/>
          <w:sz w:val="32"/>
          <w:szCs w:val="32"/>
          <w:lang w:eastAsia="zh-CN" w:bidi="ar"/>
        </w:rPr>
        <w:t>。</w:t>
      </w:r>
    </w:p>
    <w:p w14:paraId="329A548D">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仿宋_GB2312" w:hAnsi="Tahoma" w:eastAsia="仿宋_GB2312" w:cs="Times New Roman"/>
          <w:color w:val="auto"/>
          <w:kern w:val="0"/>
          <w:sz w:val="32"/>
          <w:szCs w:val="32"/>
          <w:lang w:val="en-US" w:eastAsia="zh-CN" w:bidi="ar-SA"/>
        </w:rPr>
      </w:pPr>
      <w:r>
        <w:rPr>
          <w:rFonts w:hint="eastAsia" w:ascii="仿宋_GB2312" w:hAnsi="Tahoma" w:eastAsia="仿宋_GB2312" w:cs="Times New Roman"/>
          <w:b/>
          <w:bCs/>
          <w:color w:val="auto"/>
          <w:kern w:val="0"/>
          <w:sz w:val="32"/>
          <w:szCs w:val="32"/>
          <w:lang w:val="en-US" w:eastAsia="zh-CN" w:bidi="ar-SA"/>
        </w:rPr>
        <w:t>6.强化“外展干预”防艾服务贴近高危人群。</w:t>
      </w:r>
      <w:r>
        <w:rPr>
          <w:rFonts w:hint="eastAsia" w:ascii="仿宋_GB2312" w:hAnsi="Tahoma" w:eastAsia="仿宋_GB2312" w:cs="Times New Roman"/>
          <w:color w:val="auto"/>
          <w:kern w:val="0"/>
          <w:sz w:val="32"/>
          <w:szCs w:val="32"/>
          <w:lang w:val="en-US" w:eastAsia="zh-CN" w:bidi="ar-SA"/>
        </w:rPr>
        <w:t>为增强高危人群、重点人群的防艾、控艾意识，采取“外展干预”的工作模式，组织第三方深入重点场所，开展高危行为干预、咨询和检测工作，</w:t>
      </w:r>
      <w:r>
        <w:rPr>
          <w:rFonts w:hint="eastAsia" w:ascii="仿宋_GB2312" w:hAnsi="仿宋_GB2312" w:eastAsia="仿宋_GB2312" w:cs="仿宋_GB2312"/>
          <w:color w:val="000000"/>
          <w:sz w:val="32"/>
          <w:szCs w:val="32"/>
          <w:highlight w:val="none"/>
        </w:rPr>
        <w:t>干预辖区中低档场所女性工作者50</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rPr>
        <w:t>人、开展HIV抗体检测500人</w:t>
      </w:r>
      <w:r>
        <w:rPr>
          <w:rFonts w:hint="eastAsia" w:ascii="仿宋_GB2312" w:hAnsi="仿宋_GB2312" w:eastAsia="仿宋_GB2312" w:cs="仿宋_GB2312"/>
          <w:color w:val="000000"/>
          <w:sz w:val="32"/>
          <w:szCs w:val="32"/>
          <w:highlight w:val="none"/>
          <w:lang w:eastAsia="zh-CN"/>
        </w:rPr>
        <w:t>。</w:t>
      </w:r>
      <w:r>
        <w:rPr>
          <w:rFonts w:hint="eastAsia" w:ascii="仿宋_GB2312" w:hAnsi="Tahoma" w:eastAsia="仿宋_GB2312" w:cs="Times New Roman"/>
          <w:color w:val="auto"/>
          <w:kern w:val="0"/>
          <w:sz w:val="32"/>
          <w:szCs w:val="32"/>
          <w:lang w:val="en-US" w:eastAsia="zh-CN" w:bidi="ar-SA"/>
        </w:rPr>
        <w:t>并为重点人群和监管场所发放各类艾滋病性病等防控宣传资料。</w:t>
      </w:r>
    </w:p>
    <w:p w14:paraId="3B686F90">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7.多</w:t>
      </w:r>
      <w:r>
        <w:rPr>
          <w:rFonts w:hint="default" w:ascii="仿宋_GB2312" w:hAnsi="仿宋_GB2312" w:eastAsia="仿宋_GB2312" w:cs="仿宋_GB2312"/>
          <w:b/>
          <w:bCs/>
          <w:color w:val="000000"/>
          <w:sz w:val="32"/>
          <w:szCs w:val="32"/>
          <w:highlight w:val="none"/>
          <w:lang w:val="en-US" w:eastAsia="zh-CN"/>
        </w:rPr>
        <w:t>措</w:t>
      </w:r>
      <w:r>
        <w:rPr>
          <w:rFonts w:hint="eastAsia" w:ascii="仿宋_GB2312" w:hAnsi="仿宋_GB2312" w:eastAsia="仿宋_GB2312" w:cs="仿宋_GB2312"/>
          <w:b/>
          <w:bCs/>
          <w:color w:val="000000"/>
          <w:sz w:val="32"/>
          <w:szCs w:val="32"/>
          <w:highlight w:val="none"/>
          <w:lang w:val="en-US" w:eastAsia="zh-CN"/>
        </w:rPr>
        <w:t>并举</w:t>
      </w:r>
      <w:r>
        <w:rPr>
          <w:rFonts w:hint="default" w:ascii="仿宋_GB2312" w:hAnsi="仿宋_GB2312" w:eastAsia="仿宋_GB2312" w:cs="仿宋_GB2312"/>
          <w:b/>
          <w:bCs/>
          <w:color w:val="000000"/>
          <w:sz w:val="32"/>
          <w:szCs w:val="32"/>
          <w:highlight w:val="none"/>
          <w:lang w:val="en-US" w:eastAsia="zh-CN"/>
        </w:rPr>
        <w:t>，</w:t>
      </w:r>
      <w:r>
        <w:rPr>
          <w:rFonts w:hint="eastAsia" w:ascii="仿宋_GB2312" w:hAnsi="仿宋_GB2312" w:eastAsia="仿宋_GB2312" w:cs="仿宋_GB2312"/>
          <w:b/>
          <w:bCs/>
          <w:color w:val="000000"/>
          <w:sz w:val="32"/>
          <w:szCs w:val="32"/>
          <w:highlight w:val="none"/>
          <w:lang w:val="en-US" w:eastAsia="zh-CN"/>
        </w:rPr>
        <w:t>开展VCT咨询检测工作。</w:t>
      </w:r>
      <w:r>
        <w:rPr>
          <w:rFonts w:hint="eastAsia" w:ascii="仿宋_GB2312" w:hAnsi="仿宋_GB2312" w:eastAsia="仿宋_GB2312" w:cs="仿宋_GB2312"/>
          <w:color w:val="000000"/>
          <w:sz w:val="32"/>
          <w:szCs w:val="32"/>
          <w:highlight w:val="none"/>
          <w:lang w:val="en-US" w:eastAsia="zh-CN"/>
        </w:rPr>
        <w:t>积极开展</w:t>
      </w:r>
      <w:r>
        <w:rPr>
          <w:rFonts w:hint="eastAsia" w:ascii="仿宋_GB2312" w:hAnsi="仿宋_GB2312" w:eastAsia="仿宋_GB2312" w:cs="仿宋_GB2312"/>
          <w:color w:val="000000"/>
          <w:sz w:val="32"/>
          <w:szCs w:val="32"/>
          <w:highlight w:val="none"/>
        </w:rPr>
        <w:t>VCT咨询检测工作</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全年累计开展咨询检测25人，采集感染者血样5份送省疾控中心实验室进行</w:t>
      </w:r>
      <w:r>
        <w:rPr>
          <w:rFonts w:hint="eastAsia" w:ascii="仿宋_GB2312" w:eastAsia="仿宋_GB2312"/>
          <w:color w:val="auto"/>
          <w:sz w:val="32"/>
          <w:szCs w:val="32"/>
          <w:lang w:val="en-US" w:eastAsia="zh-CN"/>
        </w:rPr>
        <w:t>CD4和病毒载量检测。</w:t>
      </w:r>
      <w:r>
        <w:rPr>
          <w:rFonts w:hint="eastAsia" w:ascii="仿宋_GB2312" w:hAnsi="仿宋_GB2312" w:eastAsia="仿宋_GB2312" w:cs="仿宋_GB2312"/>
          <w:color w:val="000000"/>
          <w:sz w:val="32"/>
          <w:szCs w:val="32"/>
          <w:highlight w:val="none"/>
        </w:rPr>
        <w:t>指导</w:t>
      </w:r>
      <w:r>
        <w:rPr>
          <w:rFonts w:hint="eastAsia" w:ascii="仿宋_GB2312" w:hAnsi="仿宋_GB2312" w:eastAsia="仿宋_GB2312" w:cs="仿宋_GB2312"/>
          <w:color w:val="000000"/>
          <w:sz w:val="32"/>
          <w:szCs w:val="32"/>
          <w:highlight w:val="none"/>
          <w:lang w:val="en-US" w:eastAsia="zh-CN"/>
        </w:rPr>
        <w:t>甘肃省人民医院新区分院和</w:t>
      </w:r>
      <w:r>
        <w:rPr>
          <w:rFonts w:hint="eastAsia" w:ascii="仿宋_GB2312" w:hAnsi="仿宋_GB2312" w:eastAsia="仿宋_GB2312" w:cs="仿宋_GB2312"/>
          <w:color w:val="000000"/>
          <w:sz w:val="32"/>
          <w:szCs w:val="32"/>
          <w:highlight w:val="none"/>
        </w:rPr>
        <w:t>新区第一人民医院开展VCT咨询检测工作</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对羁押人员</w:t>
      </w:r>
      <w:r>
        <w:rPr>
          <w:rFonts w:hint="eastAsia" w:ascii="仿宋_GB2312" w:hAnsi="仿宋_GB2312" w:eastAsia="仿宋_GB2312" w:cs="仿宋_GB2312"/>
          <w:color w:val="000000"/>
          <w:sz w:val="32"/>
          <w:szCs w:val="32"/>
          <w:highlight w:val="none"/>
        </w:rPr>
        <w:t>开展HIV抗体检测500</w:t>
      </w:r>
      <w:r>
        <w:rPr>
          <w:rFonts w:hint="eastAsia" w:ascii="仿宋_GB2312" w:hAnsi="仿宋_GB2312" w:eastAsia="仿宋_GB2312" w:cs="仿宋_GB2312"/>
          <w:color w:val="000000"/>
          <w:sz w:val="32"/>
          <w:szCs w:val="32"/>
          <w:highlight w:val="none"/>
          <w:lang w:val="en-US" w:eastAsia="zh-CN"/>
        </w:rPr>
        <w:t>余</w:t>
      </w:r>
      <w:r>
        <w:rPr>
          <w:rFonts w:hint="eastAsia" w:ascii="仿宋_GB2312" w:hAnsi="仿宋_GB2312" w:eastAsia="仿宋_GB2312" w:cs="仿宋_GB2312"/>
          <w:color w:val="000000"/>
          <w:sz w:val="32"/>
          <w:szCs w:val="32"/>
          <w:highlight w:val="none"/>
        </w:rPr>
        <w:t>人。</w:t>
      </w:r>
      <w:r>
        <w:rPr>
          <w:rFonts w:hint="eastAsia" w:ascii="仿宋_GB2312" w:hAnsi="仿宋_GB2312" w:eastAsia="仿宋_GB2312" w:cs="仿宋_GB2312"/>
          <w:color w:val="000000"/>
          <w:sz w:val="32"/>
          <w:szCs w:val="32"/>
          <w:highlight w:val="none"/>
          <w:lang w:val="en-US" w:eastAsia="zh-CN"/>
        </w:rPr>
        <w:t>辖区医疗机构扩大检测人数达到34918人次，检测阳性并确诊上报11例。</w:t>
      </w:r>
    </w:p>
    <w:p w14:paraId="79A336EC">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三、项目绩效自评开展情况</w:t>
      </w:r>
    </w:p>
    <w:p w14:paraId="5CC1B90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新区卫生健康委高度重视疾控类项目绩效自评估工作，专门召开会议传达上级要求，结合新区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2023年实施方案及对各单位绩效考核目标责任，</w:t>
      </w:r>
      <w:r>
        <w:rPr>
          <w:rFonts w:hint="eastAsia" w:ascii="仿宋_GB2312" w:hAnsi="仿宋_GB2312" w:eastAsia="仿宋_GB2312" w:cs="仿宋_GB2312"/>
          <w:color w:val="000000"/>
          <w:spacing w:val="0"/>
          <w:w w:val="100"/>
          <w:position w:val="0"/>
          <w:sz w:val="32"/>
          <w:szCs w:val="32"/>
          <w:lang w:eastAsia="zh-CN"/>
        </w:rPr>
        <w:t>认真组织自评报告。将此项工作纳入对各单位的考核指标，及时总结一年来工作成效，寻找短板和工作差距，为</w:t>
      </w:r>
      <w:r>
        <w:rPr>
          <w:rFonts w:hint="eastAsia" w:ascii="仿宋_GB2312" w:hAnsi="仿宋_GB2312" w:eastAsia="仿宋_GB2312" w:cs="仿宋_GB2312"/>
          <w:color w:val="000000"/>
          <w:spacing w:val="0"/>
          <w:w w:val="100"/>
          <w:position w:val="0"/>
          <w:sz w:val="32"/>
          <w:szCs w:val="32"/>
          <w:lang w:val="en-US" w:eastAsia="zh-CN"/>
        </w:rPr>
        <w:t>2023年各项工作提供依据。</w:t>
      </w:r>
    </w:p>
    <w:p w14:paraId="74929C32">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四、</w:t>
      </w:r>
      <w:r>
        <w:rPr>
          <w:rFonts w:hint="eastAsia" w:ascii="黑体" w:hAnsi="黑体" w:eastAsia="黑体" w:cs="黑体"/>
          <w:color w:val="000000"/>
          <w:spacing w:val="0"/>
          <w:w w:val="100"/>
          <w:position w:val="0"/>
          <w:sz w:val="32"/>
          <w:szCs w:val="32"/>
        </w:rPr>
        <w:t>绩效目标完成情况分析</w:t>
      </w:r>
    </w:p>
    <w:p w14:paraId="4821EFA6">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sz w:val="32"/>
          <w:szCs w:val="32"/>
        </w:rPr>
      </w:pPr>
      <w:r>
        <w:rPr>
          <w:rFonts w:hint="eastAsia" w:ascii="楷体" w:hAnsi="楷体" w:eastAsia="楷体" w:cs="楷体"/>
          <w:b w:val="0"/>
          <w:bCs w:val="0"/>
          <w:color w:val="000000"/>
          <w:spacing w:val="0"/>
          <w:w w:val="100"/>
          <w:position w:val="0"/>
          <w:sz w:val="32"/>
          <w:szCs w:val="32"/>
        </w:rPr>
        <w:t>（一）产出指标完成情况分析。</w:t>
      </w:r>
    </w:p>
    <w:p w14:paraId="3AE4D5BA">
      <w:pPr>
        <w:keepNext w:val="0"/>
        <w:keepLines w:val="0"/>
        <w:pageBreakBefore w:val="0"/>
        <w:widowControl w:val="0"/>
        <w:kinsoku/>
        <w:wordWrap/>
        <w:overflowPunct/>
        <w:topLinePunct w:val="0"/>
        <w:autoSpaceDE/>
        <w:autoSpaceDN/>
        <w:bidi w:val="0"/>
        <w:snapToGrid/>
        <w:spacing w:after="0" w:line="560" w:lineRule="exact"/>
        <w:ind w:firstLine="643"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数量指标。</w:t>
      </w:r>
      <w:r>
        <w:rPr>
          <w:rFonts w:hint="eastAsia" w:ascii="仿宋_GB2312" w:hAnsi="仿宋_GB2312" w:eastAsia="仿宋_GB2312" w:cs="仿宋_GB2312"/>
          <w:color w:val="000000"/>
          <w:spacing w:val="0"/>
          <w:w w:val="100"/>
          <w:position w:val="0"/>
          <w:sz w:val="32"/>
          <w:szCs w:val="32"/>
          <w:u w:val="none"/>
          <w:shd w:val="clear" w:color="auto" w:fill="auto"/>
          <w:lang w:val="en-US" w:eastAsia="zh-CN" w:bidi="en-US"/>
        </w:rPr>
        <w:t>年初设置如下指标：开展检测咨询总数150人次；实际完成咨询检测150人次。</w:t>
      </w:r>
    </w:p>
    <w:p w14:paraId="70E17146">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质量指标。</w:t>
      </w:r>
      <w:r>
        <w:rPr>
          <w:rFonts w:hint="eastAsia" w:ascii="仿宋_GB2312" w:hAnsi="仿宋_GB2312" w:eastAsia="仿宋_GB2312" w:cs="仿宋_GB2312"/>
          <w:color w:val="000000"/>
          <w:spacing w:val="0"/>
          <w:w w:val="100"/>
          <w:position w:val="0"/>
          <w:sz w:val="32"/>
          <w:szCs w:val="32"/>
          <w:lang w:eastAsia="zh-CN"/>
        </w:rPr>
        <w:t>项目填写完整性，准确性均达到上级要求。</w:t>
      </w:r>
    </w:p>
    <w:p w14:paraId="0EE5E826">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时效指标。</w:t>
      </w:r>
      <w:r>
        <w:rPr>
          <w:rFonts w:hint="eastAsia" w:ascii="仿宋_GB2312" w:hAnsi="仿宋_GB2312" w:eastAsia="仿宋_GB2312" w:cs="仿宋_GB2312"/>
          <w:color w:val="000000"/>
          <w:spacing w:val="0"/>
          <w:w w:val="100"/>
          <w:position w:val="0"/>
          <w:sz w:val="32"/>
          <w:szCs w:val="32"/>
          <w:lang w:eastAsia="zh-CN"/>
        </w:rPr>
        <w:t>均按照年初预期的</w:t>
      </w:r>
      <w:r>
        <w:rPr>
          <w:rFonts w:hint="eastAsia" w:ascii="仿宋_GB2312" w:hAnsi="仿宋_GB2312" w:eastAsia="仿宋_GB2312" w:cs="仿宋_GB2312"/>
          <w:color w:val="000000"/>
          <w:spacing w:val="0"/>
          <w:w w:val="100"/>
          <w:position w:val="0"/>
          <w:sz w:val="32"/>
          <w:szCs w:val="32"/>
          <w:lang w:val="en-US" w:eastAsia="zh-CN"/>
        </w:rPr>
        <w:t>12月底前予以完成。</w:t>
      </w:r>
    </w:p>
    <w:p w14:paraId="109E94C8">
      <w:pPr>
        <w:pStyle w:val="43"/>
        <w:keepNext w:val="0"/>
        <w:keepLines w:val="0"/>
        <w:pageBreakBefore w:val="0"/>
        <w:widowControl w:val="0"/>
        <w:numPr>
          <w:ilvl w:val="0"/>
          <w:numId w:val="0"/>
        </w:numPr>
        <w:shd w:val="clear" w:color="auto" w:fill="auto"/>
        <w:tabs>
          <w:tab w:val="left" w:pos="2397"/>
        </w:tabs>
        <w:kinsoku/>
        <w:wordWrap/>
        <w:overflowPunct/>
        <w:topLinePunct w:val="0"/>
        <w:autoSpaceDE/>
        <w:autoSpaceDN/>
        <w:bidi w:val="0"/>
        <w:snapToGrid/>
        <w:spacing w:before="0" w:after="100" w:line="560" w:lineRule="exact"/>
        <w:ind w:right="0" w:rightChars="0" w:firstLine="643"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4.成本指标</w:t>
      </w:r>
      <w:r>
        <w:rPr>
          <w:rFonts w:hint="eastAsia" w:ascii="仿宋_GB2312" w:hAnsi="仿宋_GB2312" w:eastAsia="仿宋_GB2312" w:cs="仿宋_GB2312"/>
          <w:b/>
          <w:bCs/>
          <w:color w:val="000000"/>
          <w:spacing w:val="0"/>
          <w:w w:val="100"/>
          <w:position w:val="0"/>
          <w:sz w:val="32"/>
          <w:szCs w:val="32"/>
        </w:rPr>
        <w:t>。</w:t>
      </w:r>
      <w:r>
        <w:rPr>
          <w:rFonts w:hint="eastAsia" w:ascii="仿宋_GB2312" w:hAnsi="仿宋_GB2312" w:eastAsia="仿宋_GB2312" w:cs="仿宋_GB2312"/>
          <w:color w:val="000000"/>
          <w:spacing w:val="0"/>
          <w:w w:val="100"/>
          <w:position w:val="0"/>
          <w:sz w:val="32"/>
          <w:szCs w:val="32"/>
          <w:lang w:eastAsia="zh-CN"/>
        </w:rPr>
        <w:t>严格控制经费。</w:t>
      </w:r>
    </w:p>
    <w:p w14:paraId="446A0F4A">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lang w:eastAsia="zh-CN"/>
        </w:rPr>
        <w:t>（二）</w:t>
      </w:r>
      <w:r>
        <w:rPr>
          <w:rFonts w:hint="eastAsia" w:ascii="楷体" w:hAnsi="楷体" w:eastAsia="楷体" w:cs="楷体"/>
          <w:b w:val="0"/>
          <w:bCs w:val="0"/>
          <w:color w:val="000000"/>
          <w:spacing w:val="0"/>
          <w:w w:val="100"/>
          <w:position w:val="0"/>
          <w:sz w:val="32"/>
          <w:szCs w:val="32"/>
        </w:rPr>
        <w:t>效益指标完成情况分析。</w:t>
      </w:r>
    </w:p>
    <w:p w14:paraId="661B7C56">
      <w:pPr>
        <w:pStyle w:val="43"/>
        <w:keepNext w:val="0"/>
        <w:keepLines w:val="0"/>
        <w:pageBreakBefore w:val="0"/>
        <w:widowControl w:val="0"/>
        <w:numPr>
          <w:ilvl w:val="0"/>
          <w:numId w:val="0"/>
        </w:numPr>
        <w:shd w:val="clear" w:color="auto" w:fill="auto"/>
        <w:tabs>
          <w:tab w:val="left" w:pos="2487"/>
        </w:tabs>
        <w:kinsoku/>
        <w:wordWrap/>
        <w:overflowPunct/>
        <w:topLinePunct w:val="0"/>
        <w:autoSpaceDE/>
        <w:autoSpaceDN/>
        <w:bidi w:val="0"/>
        <w:adjustRightInd/>
        <w:snapToGrid/>
        <w:spacing w:before="0" w:after="120" w:line="560" w:lineRule="exact"/>
        <w:ind w:right="0" w:rightChars="0" w:firstLine="643"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经济效益。</w:t>
      </w:r>
      <w:r>
        <w:rPr>
          <w:rFonts w:hint="eastAsia" w:ascii="仿宋_GB2312" w:hAnsi="仿宋_GB2312" w:eastAsia="仿宋_GB2312" w:cs="仿宋_GB2312"/>
          <w:color w:val="000000"/>
          <w:spacing w:val="0"/>
          <w:w w:val="100"/>
          <w:position w:val="0"/>
          <w:sz w:val="32"/>
          <w:szCs w:val="32"/>
          <w:lang w:eastAsia="zh-CN"/>
        </w:rPr>
        <w:t>艾滋病防治项目为公益类防疫项目，主要以社会效益为主要产出，经济效益不适用。</w:t>
      </w:r>
    </w:p>
    <w:p w14:paraId="1744AA11">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社会效益。</w:t>
      </w:r>
      <w:r>
        <w:rPr>
          <w:rFonts w:hint="eastAsia" w:ascii="仿宋_GB2312" w:hAnsi="仿宋_GB2312" w:eastAsia="仿宋_GB2312" w:cs="仿宋_GB2312"/>
          <w:color w:val="000000"/>
          <w:spacing w:val="0"/>
          <w:w w:val="100"/>
          <w:position w:val="0"/>
          <w:sz w:val="32"/>
          <w:szCs w:val="32"/>
          <w:lang w:val="en-US" w:eastAsia="zh-CN"/>
        </w:rPr>
        <w:t>2023年，</w:t>
      </w:r>
      <w:r>
        <w:rPr>
          <w:rFonts w:hint="eastAsia" w:ascii="仿宋_GB2312" w:hAnsi="仿宋_GB2312" w:eastAsia="仿宋_GB2312" w:cs="仿宋_GB2312"/>
          <w:b w:val="0"/>
          <w:bCs w:val="0"/>
          <w:sz w:val="32"/>
          <w:szCs w:val="32"/>
          <w:lang w:val="en-US" w:eastAsia="zh-CN"/>
        </w:rPr>
        <w:t>开展</w:t>
      </w:r>
      <w:r>
        <w:rPr>
          <w:rFonts w:hint="eastAsia" w:ascii="仿宋_GB2312" w:hAnsi="仿宋_GB2312" w:eastAsia="仿宋_GB2312" w:cs="仿宋_GB2312"/>
          <w:color w:val="000000"/>
          <w:spacing w:val="0"/>
          <w:w w:val="100"/>
          <w:position w:val="0"/>
          <w:sz w:val="32"/>
          <w:szCs w:val="32"/>
          <w:u w:val="none"/>
          <w:shd w:val="clear" w:color="auto" w:fill="auto"/>
          <w:lang w:val="en-US" w:eastAsia="zh-CN" w:bidi="en-US"/>
        </w:rPr>
        <w:t>娱乐场所人群艾滋病高位行为干预</w:t>
      </w:r>
      <w:r>
        <w:rPr>
          <w:rFonts w:hint="eastAsia" w:ascii="仿宋_GB2312" w:hAnsi="仿宋_GB2312" w:eastAsia="仿宋_GB2312" w:cs="仿宋_GB2312"/>
          <w:sz w:val="32"/>
          <w:szCs w:val="32"/>
          <w:highlight w:val="none"/>
          <w:lang w:eastAsia="zh-CN"/>
        </w:rPr>
        <w:t>；为因疫情影响人员提供药物紧急药物支援</w:t>
      </w:r>
      <w:r>
        <w:rPr>
          <w:rFonts w:hint="eastAsia" w:ascii="仿宋_GB2312" w:hAnsi="仿宋_GB2312" w:eastAsia="仿宋_GB2312" w:cs="仿宋_GB2312"/>
          <w:b w:val="0"/>
          <w:bCs w:val="0"/>
          <w:sz w:val="32"/>
          <w:szCs w:val="32"/>
          <w:lang w:val="en-US" w:eastAsia="zh-CN"/>
        </w:rPr>
        <w:t>；世界艾滋病日系列宣传活动等，提高了新区社会、医疗卫生单位对艾滋病防治工作对重视程度，进一步提高了有关部门及公众艾滋病防治政策、知识的认识，为艾滋病防控工作创造了较好的氛围环境。</w:t>
      </w:r>
    </w:p>
    <w:p w14:paraId="50CFB324">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生态</w:t>
      </w:r>
      <w:r>
        <w:rPr>
          <w:rFonts w:hint="eastAsia" w:ascii="仿宋_GB2312" w:hAnsi="仿宋_GB2312" w:eastAsia="仿宋_GB2312" w:cs="仿宋_GB2312"/>
          <w:b/>
          <w:bCs/>
          <w:color w:val="000000"/>
          <w:spacing w:val="0"/>
          <w:w w:val="100"/>
          <w:position w:val="0"/>
          <w:sz w:val="32"/>
          <w:szCs w:val="32"/>
          <w:lang w:val="zh-CN" w:eastAsia="zh-CN" w:bidi="zh-CN"/>
        </w:rPr>
        <w:t>效益。</w:t>
      </w:r>
      <w:r>
        <w:rPr>
          <w:rFonts w:hint="eastAsia" w:ascii="仿宋_GB2312" w:hAnsi="仿宋_GB2312" w:eastAsia="仿宋_GB2312" w:cs="仿宋_GB2312"/>
          <w:color w:val="000000"/>
          <w:spacing w:val="0"/>
          <w:w w:val="100"/>
          <w:position w:val="0"/>
          <w:sz w:val="32"/>
          <w:szCs w:val="32"/>
          <w:lang w:val="zh-CN" w:eastAsia="zh-CN" w:bidi="zh-CN"/>
        </w:rPr>
        <w:t>该项目对生态环境友好，无污染事项。</w:t>
      </w:r>
    </w:p>
    <w:p w14:paraId="4069E647">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4.</w:t>
      </w:r>
      <w:r>
        <w:rPr>
          <w:rFonts w:hint="eastAsia" w:ascii="仿宋_GB2312" w:hAnsi="仿宋_GB2312" w:eastAsia="仿宋_GB2312" w:cs="仿宋_GB2312"/>
          <w:b/>
          <w:bCs/>
          <w:color w:val="000000"/>
          <w:spacing w:val="0"/>
          <w:w w:val="100"/>
          <w:position w:val="0"/>
          <w:sz w:val="32"/>
          <w:szCs w:val="32"/>
        </w:rPr>
        <w:t>可持续影响。</w:t>
      </w:r>
      <w:r>
        <w:rPr>
          <w:rFonts w:hint="eastAsia" w:ascii="仿宋_GB2312" w:hAnsi="仿宋_GB2312" w:eastAsia="仿宋_GB2312" w:cs="仿宋_GB2312"/>
          <w:color w:val="000000"/>
          <w:spacing w:val="0"/>
          <w:w w:val="100"/>
          <w:position w:val="0"/>
          <w:sz w:val="32"/>
          <w:szCs w:val="32"/>
          <w:lang w:eastAsia="zh-CN"/>
        </w:rPr>
        <w:t>该项目作为公益项目，对各行各业大众人群，特别是</w:t>
      </w:r>
      <w:r>
        <w:rPr>
          <w:rFonts w:hint="eastAsia" w:ascii="仿宋_GB2312" w:hAnsi="仿宋_GB2312" w:eastAsia="仿宋_GB2312" w:cs="仿宋_GB2312"/>
          <w:b w:val="0"/>
          <w:bCs w:val="0"/>
          <w:sz w:val="32"/>
          <w:szCs w:val="32"/>
          <w:lang w:val="en-US" w:eastAsia="zh-CN"/>
        </w:rPr>
        <w:t>AIDS/HIV感染者具有长期健康扶助效益，可持续性良好。</w:t>
      </w:r>
    </w:p>
    <w:p w14:paraId="16EDFB9B">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rPr>
        <w:t>（三）满意度指标完成情况分析。</w:t>
      </w:r>
    </w:p>
    <w:p w14:paraId="0DB725F5">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服务对象对此项工作的认可程度，达到</w:t>
      </w:r>
      <w:r>
        <w:rPr>
          <w:rFonts w:hint="eastAsia" w:ascii="仿宋_GB2312" w:hAnsi="仿宋_GB2312" w:eastAsia="仿宋_GB2312" w:cs="仿宋_GB2312"/>
          <w:color w:val="000000"/>
          <w:spacing w:val="0"/>
          <w:w w:val="100"/>
          <w:position w:val="0"/>
          <w:sz w:val="32"/>
          <w:szCs w:val="32"/>
          <w:lang w:val="en-US" w:eastAsia="zh-CN"/>
        </w:rPr>
        <w:t>100%；社会大众对此项工作的认可度，达到100%。</w:t>
      </w:r>
    </w:p>
    <w:p w14:paraId="149E7243">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楷体" w:hAnsi="楷体" w:eastAsia="楷体" w:cs="楷体"/>
          <w:b w:val="0"/>
          <w:bCs w:val="0"/>
          <w:color w:val="000000"/>
          <w:spacing w:val="0"/>
          <w:w w:val="100"/>
          <w:position w:val="0"/>
          <w:sz w:val="32"/>
          <w:szCs w:val="32"/>
        </w:rPr>
        <w:t>（四）其他需要说明的事项。</w:t>
      </w:r>
      <w:r>
        <w:rPr>
          <w:rFonts w:hint="eastAsia" w:ascii="仿宋_GB2312" w:hAnsi="仿宋_GB2312" w:eastAsia="仿宋_GB2312" w:cs="仿宋_GB2312"/>
          <w:color w:val="000000"/>
          <w:spacing w:val="0"/>
          <w:w w:val="100"/>
          <w:position w:val="0"/>
          <w:sz w:val="32"/>
          <w:szCs w:val="32"/>
          <w:lang w:eastAsia="zh-CN"/>
        </w:rPr>
        <w:t>无</w:t>
      </w:r>
    </w:p>
    <w:p w14:paraId="728A769E">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五、</w:t>
      </w:r>
      <w:r>
        <w:rPr>
          <w:rFonts w:hint="eastAsia" w:ascii="黑体" w:hAnsi="黑体" w:eastAsia="黑体" w:cs="黑体"/>
          <w:color w:val="000000"/>
          <w:spacing w:val="0"/>
          <w:w w:val="100"/>
          <w:position w:val="0"/>
          <w:sz w:val="32"/>
          <w:szCs w:val="32"/>
        </w:rPr>
        <w:t>结论</w:t>
      </w:r>
    </w:p>
    <w:p w14:paraId="5BEC2CFD">
      <w:pPr>
        <w:pStyle w:val="4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仿宋_GB2312" w:hAnsi="仿宋_GB2312" w:eastAsia="仿宋_GB2312" w:cs="仿宋_GB2312"/>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rPr>
        <w:t>（一）主要指标情况及结论。</w:t>
      </w:r>
      <w:r>
        <w:rPr>
          <w:rFonts w:hint="eastAsia" w:ascii="仿宋_GB2312" w:hAnsi="仿宋_GB2312" w:eastAsia="仿宋_GB2312" w:cs="仿宋_GB2312"/>
          <w:b w:val="0"/>
          <w:bCs w:val="0"/>
          <w:color w:val="000000"/>
          <w:spacing w:val="0"/>
          <w:w w:val="100"/>
          <w:position w:val="0"/>
          <w:sz w:val="32"/>
          <w:szCs w:val="32"/>
          <w:lang w:eastAsia="zh-CN"/>
        </w:rPr>
        <w:t>兰州新区</w:t>
      </w:r>
      <w:r>
        <w:rPr>
          <w:rFonts w:hint="eastAsia" w:ascii="仿宋_GB2312" w:hAnsi="仿宋_GB2312" w:eastAsia="仿宋_GB2312" w:cs="仿宋_GB2312"/>
          <w:b w:val="0"/>
          <w:bCs w:val="0"/>
          <w:color w:val="000000"/>
          <w:spacing w:val="0"/>
          <w:w w:val="100"/>
          <w:position w:val="0"/>
          <w:sz w:val="32"/>
          <w:szCs w:val="32"/>
          <w:lang w:val="en-US" w:eastAsia="zh-CN"/>
        </w:rPr>
        <w:t>2023年</w:t>
      </w:r>
      <w:r>
        <w:rPr>
          <w:rFonts w:hint="eastAsia" w:ascii="仿宋_GB2312" w:hAnsi="仿宋_GB2312" w:eastAsia="仿宋_GB2312" w:cs="仿宋_GB2312"/>
          <w:b w:val="0"/>
          <w:bCs w:val="0"/>
          <w:color w:val="000000"/>
          <w:spacing w:val="0"/>
          <w:w w:val="100"/>
          <w:position w:val="0"/>
          <w:sz w:val="32"/>
          <w:szCs w:val="32"/>
          <w:lang w:eastAsia="zh-CN"/>
        </w:rPr>
        <w:t>艾滋病防治项目达到了省卫生健康委及新区党工委年初设定的预期目标。主要表现在防治体系进一步完善，医疗卫生机构医务人员对艾滋病防治政策和对患者的指导能力得到提高。</w:t>
      </w:r>
    </w:p>
    <w:p w14:paraId="3BA0EC4A">
      <w:pPr>
        <w:keepNext w:val="0"/>
        <w:keepLines w:val="0"/>
        <w:pageBreakBefore w:val="0"/>
        <w:widowControl w:val="0"/>
        <w:kinsoku/>
        <w:wordWrap/>
        <w:overflowPunct/>
        <w:topLinePunct w:val="0"/>
        <w:autoSpaceDE/>
        <w:autoSpaceDN/>
        <w:bidi w:val="0"/>
        <w:snapToGrid/>
        <w:spacing w:after="0" w:line="560" w:lineRule="exact"/>
        <w:ind w:firstLine="640" w:firstLineChars="200"/>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（二）存在的问题和不足。</w:t>
      </w:r>
    </w:p>
    <w:p w14:paraId="525D35C8">
      <w:pPr>
        <w:keepNext w:val="0"/>
        <w:keepLines w:val="0"/>
        <w:pageBreakBefore w:val="0"/>
        <w:widowControl/>
        <w:kinsoku/>
        <w:wordWrap/>
        <w:overflowPunct/>
        <w:topLinePunct w:val="0"/>
        <w:autoSpaceDE/>
        <w:autoSpaceDN/>
        <w:bidi w:val="0"/>
        <w:spacing w:after="0" w:line="560" w:lineRule="exact"/>
        <w:ind w:firstLine="643" w:firstLineChars="200"/>
        <w:jc w:val="both"/>
        <w:textAlignment w:val="auto"/>
        <w:rPr>
          <w:rFonts w:hint="eastAsia" w:ascii="仿宋_GB2312" w:eastAsia="仿宋_GB2312"/>
          <w:color w:val="auto"/>
          <w:sz w:val="32"/>
          <w:szCs w:val="32"/>
          <w:lang w:val="en-US" w:eastAsia="zh-CN"/>
        </w:rPr>
      </w:pPr>
      <w:r>
        <w:rPr>
          <w:rFonts w:hint="eastAsia" w:ascii="仿宋_GB2312" w:hAnsi="Times New Roman" w:eastAsia="仿宋_GB2312" w:cs="Times New Roman"/>
          <w:b/>
          <w:bCs/>
          <w:color w:val="auto"/>
          <w:sz w:val="32"/>
          <w:szCs w:val="32"/>
          <w:lang w:val="en-US" w:eastAsia="zh-CN"/>
        </w:rPr>
        <w:t>1.艾滋病干预能力严重不足。</w:t>
      </w:r>
      <w:r>
        <w:rPr>
          <w:rFonts w:hint="eastAsia" w:ascii="仿宋_GB2312" w:eastAsia="仿宋_GB2312"/>
          <w:b/>
          <w:bCs/>
          <w:color w:val="auto"/>
          <w:sz w:val="32"/>
          <w:szCs w:val="32"/>
          <w:lang w:val="en-US" w:eastAsia="zh-CN"/>
        </w:rPr>
        <w:t>一是</w:t>
      </w:r>
      <w:r>
        <w:rPr>
          <w:rFonts w:hint="eastAsia" w:ascii="仿宋_GB2312" w:eastAsia="仿宋_GB2312"/>
          <w:color w:val="auto"/>
          <w:sz w:val="32"/>
          <w:szCs w:val="32"/>
          <w:lang w:eastAsia="zh-CN"/>
        </w:rPr>
        <w:t>新区</w:t>
      </w:r>
      <w:r>
        <w:rPr>
          <w:rFonts w:hint="eastAsia" w:ascii="仿宋_GB2312" w:eastAsia="仿宋_GB2312"/>
          <w:color w:val="auto"/>
          <w:sz w:val="32"/>
          <w:szCs w:val="32"/>
          <w:lang w:val="en-US" w:eastAsia="zh-CN"/>
        </w:rPr>
        <w:t>尚无定点医疗机构，导致患者接受治疗及咨询服务的可及性不高；</w:t>
      </w:r>
      <w:r>
        <w:rPr>
          <w:rFonts w:hint="eastAsia" w:ascii="仿宋_GB2312" w:eastAsia="仿宋_GB2312"/>
          <w:b/>
          <w:bCs/>
          <w:color w:val="auto"/>
          <w:sz w:val="32"/>
          <w:szCs w:val="32"/>
          <w:lang w:val="en-US" w:eastAsia="zh-CN"/>
        </w:rPr>
        <w:t>二是</w:t>
      </w:r>
      <w:r>
        <w:rPr>
          <w:rFonts w:hint="eastAsia" w:ascii="仿宋_GB2312" w:eastAsia="仿宋_GB2312"/>
          <w:color w:val="auto"/>
          <w:sz w:val="32"/>
          <w:szCs w:val="32"/>
          <w:lang w:eastAsia="zh-CN"/>
        </w:rPr>
        <w:t>医疗卫生机构</w:t>
      </w:r>
      <w:r>
        <w:rPr>
          <w:rFonts w:hint="eastAsia" w:ascii="仿宋_GB2312" w:eastAsia="仿宋_GB2312"/>
          <w:color w:val="auto"/>
          <w:sz w:val="32"/>
          <w:szCs w:val="32"/>
          <w:lang w:val="en-US" w:eastAsia="zh-CN"/>
        </w:rPr>
        <w:t>目前</w:t>
      </w:r>
      <w:r>
        <w:rPr>
          <w:rFonts w:hint="eastAsia" w:ascii="仿宋_GB2312" w:eastAsia="仿宋_GB2312"/>
          <w:color w:val="auto"/>
          <w:sz w:val="32"/>
          <w:szCs w:val="32"/>
          <w:lang w:eastAsia="zh-CN"/>
        </w:rPr>
        <w:t>仅有</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家</w:t>
      </w:r>
      <w:r>
        <w:rPr>
          <w:rFonts w:hint="eastAsia" w:ascii="仿宋_GB2312" w:eastAsia="仿宋_GB2312"/>
          <w:color w:val="auto"/>
          <w:sz w:val="32"/>
          <w:szCs w:val="32"/>
          <w:lang w:val="en-US" w:eastAsia="zh-CN"/>
        </w:rPr>
        <w:t>HIV抗体初筛实验室，没有确诊实验室，对疾病诊断、CD4检测、病毒载量检测极其依赖区外机构，不利于病人的管理</w:t>
      </w:r>
      <w:r>
        <w:rPr>
          <w:rFonts w:hint="eastAsia" w:ascii="仿宋_GB2312" w:eastAsia="仿宋_GB2312"/>
          <w:color w:val="auto"/>
          <w:sz w:val="32"/>
          <w:szCs w:val="32"/>
          <w:lang w:eastAsia="zh-CN"/>
        </w:rPr>
        <w:t>；</w:t>
      </w:r>
      <w:r>
        <w:rPr>
          <w:rFonts w:hint="eastAsia" w:ascii="仿宋_GB2312" w:eastAsia="仿宋_GB2312"/>
          <w:b/>
          <w:bCs/>
          <w:color w:val="auto"/>
          <w:sz w:val="32"/>
          <w:szCs w:val="32"/>
          <w:lang w:val="en-US" w:eastAsia="zh-CN"/>
        </w:rPr>
        <w:t>三是</w:t>
      </w:r>
      <w:r>
        <w:rPr>
          <w:rFonts w:hint="eastAsia" w:ascii="仿宋_GB2312" w:eastAsia="仿宋_GB2312"/>
          <w:color w:val="auto"/>
          <w:sz w:val="32"/>
          <w:szCs w:val="32"/>
          <w:lang w:val="en-US" w:eastAsia="zh-CN"/>
        </w:rPr>
        <w:t>医疗机构自愿咨询检测服务能力十分薄弱，缺乏受过专业训练的咨询人员；</w:t>
      </w:r>
      <w:r>
        <w:rPr>
          <w:rFonts w:hint="eastAsia" w:ascii="仿宋_GB2312" w:eastAsia="仿宋_GB2312"/>
          <w:b/>
          <w:bCs/>
          <w:color w:val="auto"/>
          <w:sz w:val="32"/>
          <w:szCs w:val="32"/>
          <w:lang w:val="en-US" w:eastAsia="zh-CN"/>
        </w:rPr>
        <w:t>四是</w:t>
      </w:r>
      <w:r>
        <w:rPr>
          <w:rFonts w:hint="eastAsia" w:ascii="仿宋_GB2312" w:eastAsia="仿宋_GB2312"/>
          <w:color w:val="auto"/>
          <w:sz w:val="32"/>
          <w:szCs w:val="32"/>
          <w:lang w:val="en-US" w:eastAsia="zh-CN"/>
        </w:rPr>
        <w:t>新型社交方式，陌生人交友发生高危行为干预难度大。</w:t>
      </w:r>
    </w:p>
    <w:p w14:paraId="42D656B9">
      <w:pPr>
        <w:keepNext w:val="0"/>
        <w:keepLines w:val="0"/>
        <w:pageBreakBefore w:val="0"/>
        <w:widowControl/>
        <w:kinsoku/>
        <w:wordWrap/>
        <w:overflowPunct/>
        <w:topLinePunct w:val="0"/>
        <w:autoSpaceDE/>
        <w:autoSpaceDN/>
        <w:bidi w:val="0"/>
        <w:spacing w:after="0" w:line="560" w:lineRule="exact"/>
        <w:ind w:firstLine="643"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b/>
          <w:bCs/>
          <w:color w:val="auto"/>
          <w:sz w:val="32"/>
          <w:szCs w:val="32"/>
          <w:lang w:val="en-US" w:eastAsia="zh-CN"/>
        </w:rPr>
        <w:t>2.外来人口集聚，人员流动性大，艾滋病毒感染风险日趋增大。</w:t>
      </w:r>
      <w:r>
        <w:rPr>
          <w:rFonts w:hint="eastAsia" w:ascii="仿宋_GB2312" w:eastAsia="仿宋_GB2312"/>
          <w:b/>
          <w:bCs/>
          <w:color w:val="auto"/>
          <w:sz w:val="32"/>
          <w:szCs w:val="32"/>
          <w:lang w:val="en-US" w:eastAsia="zh-CN"/>
        </w:rPr>
        <w:t>一是</w:t>
      </w:r>
      <w:r>
        <w:rPr>
          <w:rFonts w:hint="eastAsia" w:ascii="仿宋_GB2312" w:eastAsia="仿宋_GB2312"/>
          <w:color w:val="auto"/>
          <w:sz w:val="32"/>
          <w:szCs w:val="32"/>
          <w:lang w:val="en-US" w:eastAsia="zh-CN"/>
        </w:rPr>
        <w:t>新区产业集聚，外来打工者迅速增加；</w:t>
      </w:r>
      <w:r>
        <w:rPr>
          <w:rFonts w:hint="eastAsia" w:ascii="仿宋_GB2312" w:eastAsia="仿宋_GB2312"/>
          <w:b/>
          <w:bCs/>
          <w:color w:val="auto"/>
          <w:sz w:val="32"/>
          <w:szCs w:val="32"/>
          <w:lang w:val="en-US" w:eastAsia="zh-CN"/>
        </w:rPr>
        <w:t>二是</w:t>
      </w:r>
      <w:r>
        <w:rPr>
          <w:rFonts w:hint="eastAsia" w:ascii="仿宋_GB2312" w:eastAsia="仿宋_GB2312"/>
          <w:color w:val="auto"/>
          <w:sz w:val="32"/>
          <w:szCs w:val="32"/>
          <w:lang w:val="en-US" w:eastAsia="zh-CN"/>
        </w:rPr>
        <w:t>新区入驻高职院校学生人数众多；</w:t>
      </w:r>
      <w:r>
        <w:rPr>
          <w:rFonts w:hint="eastAsia" w:ascii="仿宋_GB2312" w:eastAsia="仿宋_GB2312"/>
          <w:b/>
          <w:bCs/>
          <w:color w:val="auto"/>
          <w:sz w:val="32"/>
          <w:szCs w:val="32"/>
          <w:lang w:val="en-US" w:eastAsia="zh-CN"/>
        </w:rPr>
        <w:t>三是</w:t>
      </w:r>
      <w:r>
        <w:rPr>
          <w:rFonts w:hint="eastAsia" w:ascii="仿宋_GB2312" w:eastAsia="仿宋_GB2312"/>
          <w:color w:val="auto"/>
          <w:sz w:val="32"/>
          <w:szCs w:val="32"/>
          <w:lang w:val="en-US" w:eastAsia="zh-CN"/>
        </w:rPr>
        <w:t>大量移民涌入，缺乏必要的防病意识</w:t>
      </w:r>
      <w:r>
        <w:rPr>
          <w:rFonts w:hint="eastAsia" w:ascii="仿宋_GB2312" w:eastAsia="仿宋_GB2312"/>
          <w:color w:val="auto"/>
          <w:sz w:val="32"/>
          <w:szCs w:val="32"/>
        </w:rPr>
        <w:t>。</w:t>
      </w:r>
    </w:p>
    <w:p w14:paraId="4AE3B3AD">
      <w:pPr>
        <w:keepNext w:val="0"/>
        <w:keepLines w:val="0"/>
        <w:pageBreakBefore w:val="0"/>
        <w:widowControl/>
        <w:kinsoku/>
        <w:wordWrap/>
        <w:overflowPunct/>
        <w:topLinePunct w:val="0"/>
        <w:autoSpaceDE/>
        <w:autoSpaceDN/>
        <w:bidi w:val="0"/>
        <w:spacing w:after="0" w:line="560" w:lineRule="exact"/>
        <w:ind w:firstLine="640" w:firstLineChars="200"/>
        <w:jc w:val="both"/>
        <w:textAlignment w:val="auto"/>
        <w:rPr>
          <w:rFonts w:hint="default"/>
          <w:lang w:val="en-US" w:eastAsia="zh-CN"/>
        </w:rPr>
      </w:pPr>
      <w:r>
        <w:rPr>
          <w:rFonts w:hint="eastAsia" w:ascii="楷体" w:hAnsi="楷体" w:eastAsia="楷体" w:cs="楷体"/>
          <w:sz w:val="32"/>
          <w:szCs w:val="32"/>
          <w:highlight w:val="none"/>
          <w:lang w:val="en-US" w:eastAsia="zh-CN"/>
        </w:rPr>
        <w:t>（三）工作建议。</w:t>
      </w:r>
      <w:r>
        <w:rPr>
          <w:rFonts w:hint="eastAsia" w:ascii="仿宋_GB2312" w:hAnsi="Times New Roman" w:eastAsia="仿宋_GB2312" w:cs="Times New Roman"/>
          <w:color w:val="auto"/>
          <w:sz w:val="32"/>
          <w:szCs w:val="32"/>
          <w:lang w:val="en-US" w:eastAsia="zh-CN"/>
        </w:rPr>
        <w:t>无</w:t>
      </w:r>
    </w:p>
    <w:p w14:paraId="7601FB8A">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left="0" w:leftChars="0" w:right="0" w:firstLine="640" w:firstLineChars="200"/>
        <w:jc w:val="both"/>
        <w:rPr>
          <w:rFonts w:hint="eastAsia" w:ascii="楷体" w:hAnsi="楷体" w:eastAsia="楷体" w:cs="楷体"/>
          <w:color w:val="000000"/>
          <w:spacing w:val="0"/>
          <w:w w:val="100"/>
          <w:position w:val="0"/>
          <w:sz w:val="32"/>
          <w:szCs w:val="32"/>
          <w:lang w:eastAsia="zh-CN"/>
        </w:rPr>
      </w:pPr>
      <w:r>
        <w:rPr>
          <w:rFonts w:hint="eastAsia" w:ascii="楷体" w:hAnsi="楷体" w:eastAsia="楷体" w:cs="楷体"/>
          <w:color w:val="000000"/>
          <w:spacing w:val="0"/>
          <w:w w:val="100"/>
          <w:position w:val="0"/>
          <w:sz w:val="32"/>
          <w:szCs w:val="32"/>
          <w:lang w:val="en-US" w:eastAsia="zh-CN"/>
        </w:rPr>
        <w:t>2023年</w:t>
      </w:r>
      <w:r>
        <w:rPr>
          <w:rFonts w:hint="eastAsia" w:ascii="楷体" w:hAnsi="楷体" w:eastAsia="楷体" w:cs="楷体"/>
          <w:color w:val="000000"/>
          <w:spacing w:val="0"/>
          <w:w w:val="100"/>
          <w:position w:val="0"/>
          <w:sz w:val="32"/>
          <w:szCs w:val="32"/>
          <w:lang w:eastAsia="zh-CN"/>
        </w:rPr>
        <w:t>结核病防治项目</w:t>
      </w:r>
    </w:p>
    <w:p w14:paraId="66E61836">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一、项目基本情况</w:t>
      </w:r>
    </w:p>
    <w:p w14:paraId="38CC83C1">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color w:val="000000"/>
          <w:spacing w:val="0"/>
          <w:w w:val="100"/>
          <w:position w:val="0"/>
          <w:sz w:val="32"/>
          <w:szCs w:val="32"/>
        </w:rPr>
      </w:pPr>
      <w:r>
        <w:rPr>
          <w:rFonts w:hint="eastAsia" w:ascii="楷体" w:hAnsi="楷体" w:eastAsia="楷体" w:cs="楷体"/>
          <w:color w:val="000000"/>
          <w:spacing w:val="0"/>
          <w:w w:val="100"/>
          <w:position w:val="0"/>
          <w:sz w:val="32"/>
          <w:szCs w:val="32"/>
          <w:lang w:eastAsia="zh-CN"/>
        </w:rPr>
        <w:t>（一）</w:t>
      </w:r>
      <w:r>
        <w:rPr>
          <w:rFonts w:hint="eastAsia" w:ascii="楷体" w:hAnsi="楷体" w:eastAsia="楷体" w:cs="楷体"/>
          <w:color w:val="000000"/>
          <w:spacing w:val="0"/>
          <w:w w:val="100"/>
          <w:position w:val="0"/>
          <w:sz w:val="32"/>
          <w:szCs w:val="32"/>
        </w:rPr>
        <w:t>项目概况。</w:t>
      </w:r>
      <w:r>
        <w:rPr>
          <w:rFonts w:hint="eastAsia" w:ascii="仿宋_GB2312" w:hAnsi="仿宋_GB2312" w:eastAsia="仿宋_GB2312" w:cs="仿宋_GB2312"/>
          <w:color w:val="000000"/>
          <w:spacing w:val="0"/>
          <w:w w:val="100"/>
          <w:position w:val="0"/>
          <w:sz w:val="32"/>
          <w:szCs w:val="32"/>
          <w:lang w:eastAsia="zh-CN"/>
        </w:rPr>
        <w:t>项目执行主体为兰州新区卫生健康委，项目覆盖新区辖区所有园区及乡镇。</w:t>
      </w:r>
    </w:p>
    <w:p w14:paraId="18F90CEE">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sz w:val="32"/>
          <w:szCs w:val="32"/>
        </w:rPr>
      </w:pPr>
      <w:r>
        <w:rPr>
          <w:rFonts w:hint="eastAsia" w:ascii="楷体" w:hAnsi="楷体" w:eastAsia="楷体" w:cs="楷体"/>
          <w:color w:val="000000"/>
          <w:spacing w:val="0"/>
          <w:w w:val="100"/>
          <w:position w:val="0"/>
          <w:sz w:val="32"/>
          <w:szCs w:val="32"/>
          <w:lang w:eastAsia="zh-CN"/>
        </w:rPr>
        <w:t>（二）项目绩效目标情况。</w:t>
      </w:r>
      <w:r>
        <w:rPr>
          <w:rFonts w:hint="eastAsia" w:ascii="仿宋_GB2312" w:hAnsi="仿宋_GB2312" w:eastAsia="仿宋_GB2312" w:cs="仿宋_GB2312"/>
          <w:color w:val="000000"/>
          <w:spacing w:val="0"/>
          <w:w w:val="100"/>
          <w:position w:val="0"/>
          <w:sz w:val="32"/>
          <w:szCs w:val="32"/>
          <w:lang w:eastAsia="zh-CN"/>
        </w:rPr>
        <w:t>项目的实施旨在</w:t>
      </w:r>
      <w:r>
        <w:rPr>
          <w:rFonts w:hint="eastAsia" w:ascii="仿宋_GB2312" w:hAnsi="仿宋_GB2312" w:eastAsia="仿宋_GB2312" w:cs="仿宋_GB2312"/>
          <w:sz w:val="32"/>
          <w:szCs w:val="32"/>
        </w:rPr>
        <w:t>最大限度发现艾滋病病毒感染者和艾滋病病人，有效控制性传播，持续减少注射吸毒传播、输血传播和母婴传播，进一步降低病死率，逐步提高感染者和病人生存质量，减少社会歧视，发挥社会组织的优势，引导扶持社区组织参与艾滋病防治工作,</w:t>
      </w:r>
      <w:r>
        <w:rPr>
          <w:rFonts w:hint="eastAsia" w:ascii="仿宋_GB2312" w:hAnsi="仿宋_GB2312" w:eastAsia="仿宋_GB2312" w:cs="仿宋_GB2312"/>
          <w:sz w:val="32"/>
          <w:szCs w:val="32"/>
          <w:lang w:val="en-US" w:eastAsia="zh-CN"/>
        </w:rPr>
        <w:t>遏制艾滋病在新区传播，</w:t>
      </w:r>
      <w:r>
        <w:rPr>
          <w:rFonts w:hint="eastAsia" w:ascii="仿宋_GB2312" w:hAnsi="仿宋_GB2312" w:eastAsia="仿宋_GB2312" w:cs="仿宋_GB2312"/>
          <w:sz w:val="32"/>
          <w:szCs w:val="32"/>
        </w:rPr>
        <w:t>将</w:t>
      </w:r>
      <w:r>
        <w:rPr>
          <w:rFonts w:hint="eastAsia" w:ascii="仿宋_GB2312" w:hAnsi="仿宋_GB2312" w:eastAsia="仿宋_GB2312" w:cs="仿宋_GB2312"/>
          <w:sz w:val="32"/>
          <w:szCs w:val="32"/>
          <w:lang w:val="en-US" w:eastAsia="zh-CN"/>
        </w:rPr>
        <w:t>新区</w:t>
      </w:r>
      <w:r>
        <w:rPr>
          <w:rFonts w:hint="eastAsia" w:ascii="仿宋_GB2312" w:hAnsi="仿宋_GB2312" w:eastAsia="仿宋_GB2312" w:cs="仿宋_GB2312"/>
          <w:sz w:val="32"/>
          <w:szCs w:val="32"/>
        </w:rPr>
        <w:t>艾滋病疫情继续控制在低流行水平。</w:t>
      </w:r>
      <w:bookmarkStart w:id="7" w:name="bookmark17"/>
    </w:p>
    <w:bookmarkEnd w:id="7"/>
    <w:p w14:paraId="5373461D">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二</w:t>
      </w:r>
      <w:r>
        <w:rPr>
          <w:rFonts w:hint="eastAsia" w:ascii="黑体" w:hAnsi="黑体" w:eastAsia="黑体" w:cs="黑体"/>
          <w:color w:val="000000"/>
          <w:spacing w:val="0"/>
          <w:w w:val="100"/>
          <w:position w:val="0"/>
          <w:sz w:val="32"/>
          <w:szCs w:val="32"/>
          <w:lang w:eastAsia="zh-CN"/>
        </w:rPr>
        <w:t>、</w:t>
      </w:r>
      <w:r>
        <w:rPr>
          <w:rFonts w:hint="eastAsia" w:ascii="黑体" w:hAnsi="黑体" w:eastAsia="黑体" w:cs="黑体"/>
          <w:color w:val="000000"/>
          <w:spacing w:val="0"/>
          <w:w w:val="100"/>
          <w:position w:val="0"/>
          <w:sz w:val="32"/>
          <w:szCs w:val="32"/>
        </w:rPr>
        <w:t>项目实施及管理情况</w:t>
      </w:r>
    </w:p>
    <w:p w14:paraId="2405BB83">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（一）资金到位情况。</w:t>
      </w:r>
    </w:p>
    <w:p w14:paraId="561A528E">
      <w:pPr>
        <w:adjustRightInd w:val="0"/>
        <w:spacing w:line="56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本</w:t>
      </w:r>
      <w:r>
        <w:rPr>
          <w:rFonts w:hint="eastAsia" w:ascii="仿宋_GB2312" w:hAnsi="仿宋" w:eastAsia="仿宋_GB2312"/>
          <w:kern w:val="0"/>
          <w:sz w:val="32"/>
          <w:szCs w:val="32"/>
          <w:lang w:val="en-US" w:eastAsia="zh-CN"/>
        </w:rPr>
        <w:t>年度艾滋病中央转移支付项目</w:t>
      </w:r>
      <w:r>
        <w:rPr>
          <w:rFonts w:hint="eastAsia" w:ascii="仿宋_GB2312" w:hAnsi="仿宋" w:eastAsia="仿宋_GB2312"/>
          <w:kern w:val="0"/>
          <w:sz w:val="32"/>
          <w:szCs w:val="32"/>
        </w:rPr>
        <w:t>经费共计</w:t>
      </w:r>
      <w:r>
        <w:rPr>
          <w:rFonts w:hint="eastAsia" w:ascii="仿宋_GB2312" w:hAnsi="等线" w:eastAsia="仿宋_GB2312" w:cs="Times New Roman"/>
          <w:color w:val="000000"/>
          <w:kern w:val="2"/>
          <w:sz w:val="32"/>
          <w:szCs w:val="32"/>
          <w:lang w:val="en-US" w:eastAsia="zh-CN" w:bidi="ar-SA"/>
        </w:rPr>
        <w:t>8.6万元</w:t>
      </w:r>
      <w:r>
        <w:rPr>
          <w:rFonts w:hint="eastAsia" w:ascii="仿宋_GB2312" w:hAnsi="仿宋" w:eastAsia="仿宋_GB2312"/>
          <w:kern w:val="0"/>
          <w:sz w:val="32"/>
          <w:szCs w:val="32"/>
        </w:rPr>
        <w:t>。全部资金预算安排如下：</w:t>
      </w:r>
    </w:p>
    <w:p w14:paraId="6D7D3126">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1.学校相关结核病疫情现场处置：用于发现学校相关结核病病例时的现场调查、处置等工作。</w:t>
      </w:r>
    </w:p>
    <w:p w14:paraId="3C0E965A">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2.重点人群、重点场所结核病防治：用于结核病患者密切接触者、老年人、糖尿病患者、HIV/AIDS患者等重点人群和学校/托幼机构、羁押场所、厂矿企业、养老院、福利院等重点场所结核病筛查等防治工作。</w:t>
      </w:r>
    </w:p>
    <w:p w14:paraId="010C80EB">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3.项目管理费：</w:t>
      </w:r>
    </w:p>
    <w:p w14:paraId="26E90F39">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（1）用于结核病防治督导、技术指导，召开结核病防治工作、督导反馈等会议，举办结核病防治工作培训班和实验室培训班；</w:t>
      </w:r>
    </w:p>
    <w:p w14:paraId="463FCF7F">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（2）用于2023年结核病防治健康促进，包括宣传品采购，宣传活动、微信公众号运维；</w:t>
      </w:r>
    </w:p>
    <w:p w14:paraId="663BD3CA">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（3）参加国家举办的培训、会议，配合国家开展的现场督导、数据质量核查经费，</w:t>
      </w:r>
    </w:p>
    <w:p w14:paraId="1EE3C1D3">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（4）信息化网络建设及维护，主要包括信息系统运行维护、安全维护费用，信息网络安全相关设备、耗材购置、更新及宽带通讯费；</w:t>
      </w:r>
    </w:p>
    <w:p w14:paraId="347B9F3E">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（5）用于结核病临床技能竟赛以及赛前培训；</w:t>
      </w:r>
    </w:p>
    <w:p w14:paraId="3E85FA10">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（6）用于防痨协会结核病防治工作。</w:t>
      </w:r>
    </w:p>
    <w:p w14:paraId="01A22E84">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（二）项目开展情况。</w:t>
      </w:r>
    </w:p>
    <w:p w14:paraId="7480795A">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lang w:val="en-US" w:eastAsia="zh-CN"/>
        </w:rPr>
      </w:pPr>
      <w:bookmarkStart w:id="8" w:name="bookmark18"/>
      <w:r>
        <w:rPr>
          <w:rFonts w:hint="eastAsia" w:ascii="仿宋_GB2312" w:hAnsi="仿宋" w:eastAsia="仿宋_GB2312"/>
          <w:kern w:val="0"/>
          <w:sz w:val="32"/>
          <w:szCs w:val="32"/>
          <w:lang w:val="en-US" w:eastAsia="zh-CN"/>
        </w:rPr>
        <w:t>一是为加强学校结核病防控，保护师生身体健康与生命安全，实现“无核校园”目标，开展2023年新区学校结核病筛查工作，筛查3747人，检出阳性人员2人。</w:t>
      </w:r>
    </w:p>
    <w:p w14:paraId="14349413">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lang w:val="en-US" w:eastAsia="zh-CN"/>
        </w:rPr>
        <w:t>二是为提高辖区居民健康，培养良好的生活习惯，开发结核病健康宣传品。</w:t>
      </w:r>
    </w:p>
    <w:p w14:paraId="6BA4FFE1">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三</w:t>
      </w:r>
      <w:bookmarkEnd w:id="8"/>
      <w:r>
        <w:rPr>
          <w:rFonts w:hint="eastAsia" w:ascii="黑体" w:hAnsi="黑体" w:eastAsia="黑体" w:cs="黑体"/>
          <w:color w:val="000000"/>
          <w:spacing w:val="0"/>
          <w:w w:val="100"/>
          <w:position w:val="0"/>
          <w:sz w:val="32"/>
          <w:szCs w:val="32"/>
        </w:rPr>
        <w:t>、项目绩效自评开展情况</w:t>
      </w:r>
      <w:bookmarkStart w:id="9" w:name="bookmark19"/>
    </w:p>
    <w:p w14:paraId="0F7DE77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新区卫生健康委高度重视疾控类项目绩效自评估工作，专门召开会议传达上级要求，结合新区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2023年实施方案及对各单位绩效考核目标责任，</w:t>
      </w:r>
      <w:r>
        <w:rPr>
          <w:rFonts w:hint="eastAsia" w:ascii="仿宋_GB2312" w:hAnsi="仿宋_GB2312" w:eastAsia="仿宋_GB2312" w:cs="仿宋_GB2312"/>
          <w:color w:val="000000"/>
          <w:spacing w:val="0"/>
          <w:w w:val="100"/>
          <w:position w:val="0"/>
          <w:sz w:val="32"/>
          <w:szCs w:val="32"/>
          <w:lang w:eastAsia="zh-CN"/>
        </w:rPr>
        <w:t>认真组织自评报告。将此项工作纳入对各单位的考核指标，及时总结一年来工作成效，寻找短板和工作差距，为</w:t>
      </w:r>
      <w:r>
        <w:rPr>
          <w:rFonts w:hint="eastAsia" w:ascii="仿宋_GB2312" w:hAnsi="仿宋_GB2312" w:eastAsia="仿宋_GB2312" w:cs="仿宋_GB2312"/>
          <w:color w:val="000000"/>
          <w:spacing w:val="0"/>
          <w:w w:val="100"/>
          <w:position w:val="0"/>
          <w:sz w:val="32"/>
          <w:szCs w:val="32"/>
          <w:lang w:val="en-US" w:eastAsia="zh-CN"/>
        </w:rPr>
        <w:t>2023年各项工作提供依据。</w:t>
      </w:r>
    </w:p>
    <w:bookmarkEnd w:id="9"/>
    <w:p w14:paraId="74A4CEA4">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四、</w:t>
      </w:r>
      <w:r>
        <w:rPr>
          <w:rFonts w:hint="eastAsia" w:ascii="黑体" w:hAnsi="黑体" w:eastAsia="黑体" w:cs="黑体"/>
          <w:color w:val="000000"/>
          <w:spacing w:val="0"/>
          <w:w w:val="100"/>
          <w:position w:val="0"/>
          <w:sz w:val="32"/>
          <w:szCs w:val="32"/>
        </w:rPr>
        <w:t>绩效目标完成情况分析</w:t>
      </w:r>
    </w:p>
    <w:p w14:paraId="474CC4BF">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sz w:val="32"/>
          <w:szCs w:val="32"/>
        </w:rPr>
      </w:pPr>
      <w:bookmarkStart w:id="10" w:name="bookmark21"/>
      <w:r>
        <w:rPr>
          <w:rFonts w:hint="eastAsia" w:ascii="楷体" w:hAnsi="楷体" w:eastAsia="楷体" w:cs="楷体"/>
          <w:b w:val="0"/>
          <w:bCs w:val="0"/>
          <w:color w:val="000000"/>
          <w:spacing w:val="0"/>
          <w:w w:val="100"/>
          <w:position w:val="0"/>
          <w:sz w:val="32"/>
          <w:szCs w:val="32"/>
        </w:rPr>
        <w:t>（</w:t>
      </w:r>
      <w:bookmarkEnd w:id="10"/>
      <w:r>
        <w:rPr>
          <w:rFonts w:hint="eastAsia" w:ascii="楷体" w:hAnsi="楷体" w:eastAsia="楷体" w:cs="楷体"/>
          <w:b w:val="0"/>
          <w:bCs w:val="0"/>
          <w:color w:val="000000"/>
          <w:spacing w:val="0"/>
          <w:w w:val="100"/>
          <w:position w:val="0"/>
          <w:sz w:val="32"/>
          <w:szCs w:val="32"/>
        </w:rPr>
        <w:t>一）产出指标完成情况分析。</w:t>
      </w:r>
    </w:p>
    <w:p w14:paraId="4CE42977">
      <w:pPr>
        <w:keepNext w:val="0"/>
        <w:keepLines w:val="0"/>
        <w:pageBreakBefore w:val="0"/>
        <w:widowControl w:val="0"/>
        <w:kinsoku/>
        <w:wordWrap/>
        <w:overflowPunct/>
        <w:topLinePunct w:val="0"/>
        <w:autoSpaceDE/>
        <w:autoSpaceDN/>
        <w:bidi w:val="0"/>
        <w:snapToGrid/>
        <w:spacing w:after="0" w:line="560" w:lineRule="exact"/>
        <w:ind w:firstLine="643" w:firstLineChars="200"/>
        <w:rPr>
          <w:rFonts w:hint="eastAsia" w:ascii="仿宋_GB2312" w:hAnsi="仿宋_GB2312" w:eastAsia="仿宋_GB2312" w:cs="仿宋_GB2312"/>
          <w:b w:val="0"/>
          <w:bCs w:val="0"/>
          <w:sz w:val="32"/>
          <w:szCs w:val="32"/>
          <w:lang w:val="en-US" w:eastAsia="zh-CN"/>
        </w:rPr>
      </w:pPr>
      <w:bookmarkStart w:id="11" w:name="bookmark22"/>
      <w:bookmarkEnd w:id="11"/>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数量指标。</w:t>
      </w:r>
      <w:r>
        <w:rPr>
          <w:rFonts w:hint="eastAsia" w:ascii="仿宋_GB2312" w:hAnsi="仿宋" w:eastAsia="仿宋_GB2312"/>
          <w:kern w:val="0"/>
          <w:sz w:val="32"/>
          <w:szCs w:val="32"/>
          <w:lang w:val="en-US" w:eastAsia="zh-CN"/>
        </w:rPr>
        <w:t>开展2023年新区学校结核病筛查工作。</w:t>
      </w:r>
    </w:p>
    <w:p w14:paraId="47EE8E30">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color w:val="000000"/>
          <w:spacing w:val="0"/>
          <w:w w:val="100"/>
          <w:position w:val="0"/>
          <w:sz w:val="32"/>
          <w:szCs w:val="32"/>
          <w:lang w:eastAsia="zh-CN"/>
        </w:rPr>
      </w:pPr>
      <w:bookmarkStart w:id="12" w:name="bookmark23"/>
      <w:bookmarkEnd w:id="12"/>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质量指标。</w:t>
      </w:r>
      <w:r>
        <w:rPr>
          <w:rFonts w:hint="eastAsia" w:ascii="仿宋_GB2312" w:hAnsi="仿宋_GB2312" w:eastAsia="仿宋_GB2312" w:cs="仿宋_GB2312"/>
          <w:color w:val="000000"/>
          <w:spacing w:val="0"/>
          <w:w w:val="100"/>
          <w:position w:val="0"/>
          <w:sz w:val="32"/>
          <w:szCs w:val="32"/>
          <w:lang w:eastAsia="zh-CN"/>
        </w:rPr>
        <w:t>项目填写完整性，准确性均达到上级要求。</w:t>
      </w:r>
      <w:bookmarkStart w:id="13" w:name="bookmark24"/>
      <w:bookmarkEnd w:id="13"/>
    </w:p>
    <w:p w14:paraId="4F02BD95">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时效指标。</w:t>
      </w:r>
      <w:r>
        <w:rPr>
          <w:rFonts w:hint="eastAsia" w:ascii="仿宋_GB2312" w:hAnsi="仿宋_GB2312" w:eastAsia="仿宋_GB2312" w:cs="仿宋_GB2312"/>
          <w:color w:val="000000"/>
          <w:spacing w:val="0"/>
          <w:w w:val="100"/>
          <w:position w:val="0"/>
          <w:sz w:val="32"/>
          <w:szCs w:val="32"/>
          <w:lang w:eastAsia="zh-CN"/>
        </w:rPr>
        <w:t>均按照年初预期的</w:t>
      </w:r>
      <w:r>
        <w:rPr>
          <w:rFonts w:hint="eastAsia" w:ascii="仿宋_GB2312" w:hAnsi="仿宋_GB2312" w:eastAsia="仿宋_GB2312" w:cs="仿宋_GB2312"/>
          <w:color w:val="000000"/>
          <w:spacing w:val="0"/>
          <w:w w:val="100"/>
          <w:position w:val="0"/>
          <w:sz w:val="32"/>
          <w:szCs w:val="32"/>
          <w:lang w:val="en-US" w:eastAsia="zh-CN"/>
        </w:rPr>
        <w:t>12月底前予以完成。</w:t>
      </w:r>
    </w:p>
    <w:p w14:paraId="5275B839">
      <w:pPr>
        <w:pStyle w:val="43"/>
        <w:keepNext w:val="0"/>
        <w:keepLines w:val="0"/>
        <w:pageBreakBefore w:val="0"/>
        <w:widowControl w:val="0"/>
        <w:numPr>
          <w:ilvl w:val="0"/>
          <w:numId w:val="0"/>
        </w:numPr>
        <w:shd w:val="clear" w:color="auto" w:fill="auto"/>
        <w:tabs>
          <w:tab w:val="left" w:pos="2397"/>
        </w:tabs>
        <w:kinsoku/>
        <w:wordWrap/>
        <w:overflowPunct/>
        <w:topLinePunct w:val="0"/>
        <w:autoSpaceDE/>
        <w:autoSpaceDN/>
        <w:bidi w:val="0"/>
        <w:snapToGrid/>
        <w:spacing w:before="0" w:after="100" w:line="560" w:lineRule="exact"/>
        <w:ind w:right="0" w:rightChars="0" w:firstLine="643" w:firstLineChars="200"/>
        <w:jc w:val="both"/>
        <w:rPr>
          <w:rFonts w:hint="eastAsia" w:ascii="仿宋_GB2312" w:hAnsi="仿宋_GB2312" w:eastAsia="仿宋_GB2312" w:cs="仿宋_GB2312"/>
          <w:sz w:val="32"/>
          <w:szCs w:val="32"/>
          <w:lang w:eastAsia="zh-CN"/>
        </w:rPr>
      </w:pPr>
      <w:bookmarkStart w:id="14" w:name="bookmark25"/>
      <w:bookmarkEnd w:id="14"/>
      <w:r>
        <w:rPr>
          <w:rFonts w:hint="eastAsia" w:ascii="仿宋_GB2312" w:hAnsi="仿宋_GB2312" w:eastAsia="仿宋_GB2312" w:cs="仿宋_GB2312"/>
          <w:b/>
          <w:bCs/>
          <w:color w:val="000000"/>
          <w:spacing w:val="0"/>
          <w:w w:val="100"/>
          <w:position w:val="0"/>
          <w:sz w:val="32"/>
          <w:szCs w:val="32"/>
          <w:lang w:val="en-US" w:eastAsia="zh-CN"/>
        </w:rPr>
        <w:t>4.成本指标</w:t>
      </w:r>
      <w:r>
        <w:rPr>
          <w:rFonts w:hint="eastAsia" w:ascii="仿宋_GB2312" w:hAnsi="仿宋_GB2312" w:eastAsia="仿宋_GB2312" w:cs="仿宋_GB2312"/>
          <w:b/>
          <w:bCs/>
          <w:color w:val="000000"/>
          <w:spacing w:val="0"/>
          <w:w w:val="100"/>
          <w:position w:val="0"/>
          <w:sz w:val="32"/>
          <w:szCs w:val="32"/>
        </w:rPr>
        <w:t>。</w:t>
      </w:r>
      <w:r>
        <w:rPr>
          <w:rFonts w:hint="eastAsia" w:ascii="仿宋_GB2312" w:hAnsi="仿宋_GB2312" w:eastAsia="仿宋_GB2312" w:cs="仿宋_GB2312"/>
          <w:color w:val="000000"/>
          <w:spacing w:val="0"/>
          <w:w w:val="100"/>
          <w:position w:val="0"/>
          <w:sz w:val="32"/>
          <w:szCs w:val="32"/>
          <w:lang w:eastAsia="zh-CN"/>
        </w:rPr>
        <w:t>严格控制经费。</w:t>
      </w:r>
    </w:p>
    <w:p w14:paraId="794A947C">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lang w:eastAsia="zh-CN"/>
        </w:rPr>
        <w:t>（二）</w:t>
      </w:r>
      <w:r>
        <w:rPr>
          <w:rFonts w:hint="eastAsia" w:ascii="楷体" w:hAnsi="楷体" w:eastAsia="楷体" w:cs="楷体"/>
          <w:b w:val="0"/>
          <w:bCs w:val="0"/>
          <w:color w:val="000000"/>
          <w:spacing w:val="0"/>
          <w:w w:val="100"/>
          <w:position w:val="0"/>
          <w:sz w:val="32"/>
          <w:szCs w:val="32"/>
        </w:rPr>
        <w:t>效益指标完成情况分析。</w:t>
      </w:r>
    </w:p>
    <w:p w14:paraId="0DD769A4">
      <w:pPr>
        <w:pStyle w:val="43"/>
        <w:keepNext w:val="0"/>
        <w:keepLines w:val="0"/>
        <w:pageBreakBefore w:val="0"/>
        <w:widowControl w:val="0"/>
        <w:numPr>
          <w:ilvl w:val="0"/>
          <w:numId w:val="0"/>
        </w:numPr>
        <w:shd w:val="clear" w:color="auto" w:fill="auto"/>
        <w:tabs>
          <w:tab w:val="left" w:pos="2487"/>
        </w:tabs>
        <w:kinsoku/>
        <w:wordWrap/>
        <w:overflowPunct/>
        <w:topLinePunct w:val="0"/>
        <w:autoSpaceDE/>
        <w:autoSpaceDN/>
        <w:bidi w:val="0"/>
        <w:adjustRightInd/>
        <w:snapToGrid/>
        <w:spacing w:before="0" w:after="120" w:line="560" w:lineRule="exact"/>
        <w:ind w:right="0" w:rightChars="0" w:firstLine="643" w:firstLineChars="200"/>
        <w:jc w:val="left"/>
        <w:textAlignment w:val="auto"/>
        <w:rPr>
          <w:rFonts w:hint="eastAsia" w:ascii="仿宋_GB2312" w:hAnsi="仿宋_GB2312" w:eastAsia="仿宋_GB2312" w:cs="仿宋_GB2312"/>
          <w:sz w:val="32"/>
          <w:szCs w:val="32"/>
          <w:lang w:eastAsia="zh-CN"/>
        </w:rPr>
      </w:pPr>
      <w:bookmarkStart w:id="15" w:name="bookmark27"/>
      <w:bookmarkEnd w:id="15"/>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经济效益。</w:t>
      </w:r>
      <w:r>
        <w:rPr>
          <w:rFonts w:hint="eastAsia" w:ascii="仿宋_GB2312" w:hAnsi="仿宋_GB2312" w:eastAsia="仿宋_GB2312" w:cs="仿宋_GB2312"/>
          <w:color w:val="000000"/>
          <w:spacing w:val="0"/>
          <w:w w:val="100"/>
          <w:position w:val="0"/>
          <w:sz w:val="32"/>
          <w:szCs w:val="32"/>
          <w:lang w:eastAsia="zh-CN"/>
        </w:rPr>
        <w:t>结核病防治项目为公益类防疫项目，主要以社会效益为主要产出，经济效益不适用。</w:t>
      </w:r>
    </w:p>
    <w:p w14:paraId="50E1D882">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eastAsia="仿宋_GB2312"/>
          <w:sz w:val="32"/>
          <w:szCs w:val="32"/>
          <w:lang w:eastAsia="zh-CN"/>
        </w:rPr>
      </w:pPr>
      <w:bookmarkStart w:id="16" w:name="bookmark28"/>
      <w:bookmarkEnd w:id="16"/>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社会效益。</w:t>
      </w:r>
      <w:r>
        <w:rPr>
          <w:rFonts w:hint="eastAsia" w:ascii="仿宋_GB2312" w:hAnsi="仿宋_GB2312" w:eastAsia="仿宋_GB2312" w:cs="仿宋_GB2312"/>
          <w:color w:val="000000"/>
          <w:spacing w:val="0"/>
          <w:w w:val="100"/>
          <w:position w:val="0"/>
          <w:sz w:val="32"/>
          <w:szCs w:val="32"/>
          <w:lang w:val="en-US" w:eastAsia="zh-CN"/>
        </w:rPr>
        <w:t>2023年，</w:t>
      </w:r>
      <w:r>
        <w:rPr>
          <w:rFonts w:hint="eastAsia" w:ascii="仿宋_GB2312" w:hAnsi="仿宋_GB2312" w:eastAsia="仿宋_GB2312" w:cs="仿宋_GB2312"/>
          <w:b w:val="0"/>
          <w:bCs w:val="0"/>
          <w:sz w:val="32"/>
          <w:szCs w:val="32"/>
          <w:lang w:val="en-US" w:eastAsia="zh-CN"/>
        </w:rPr>
        <w:t>开展</w:t>
      </w:r>
      <w:bookmarkStart w:id="17" w:name="bookmark29"/>
      <w:bookmarkEnd w:id="17"/>
      <w:r>
        <w:rPr>
          <w:rFonts w:hint="eastAsia" w:ascii="仿宋_GB2312" w:eastAsia="仿宋_GB2312"/>
          <w:sz w:val="32"/>
          <w:szCs w:val="32"/>
        </w:rPr>
        <w:t>病人随访检查。结核病定点医疗机构每例病人治疗期间需3次随访痰涂片检查，治疗末需1次胸片检查。患者治疗药品费。对新区发现并登记的活动性肺结核患者给予免费抗结核治疗药品</w:t>
      </w:r>
      <w:r>
        <w:rPr>
          <w:rFonts w:hint="eastAsia" w:ascii="仿宋_GB2312" w:eastAsia="仿宋_GB2312"/>
          <w:sz w:val="32"/>
          <w:szCs w:val="32"/>
          <w:lang w:eastAsia="zh-CN"/>
        </w:rPr>
        <w:t>。</w:t>
      </w:r>
    </w:p>
    <w:p w14:paraId="51530FAD">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生态</w:t>
      </w:r>
      <w:r>
        <w:rPr>
          <w:rFonts w:hint="eastAsia" w:ascii="仿宋_GB2312" w:hAnsi="仿宋_GB2312" w:eastAsia="仿宋_GB2312" w:cs="仿宋_GB2312"/>
          <w:b/>
          <w:bCs/>
          <w:color w:val="000000"/>
          <w:spacing w:val="0"/>
          <w:w w:val="100"/>
          <w:position w:val="0"/>
          <w:sz w:val="32"/>
          <w:szCs w:val="32"/>
          <w:lang w:val="zh-CN" w:eastAsia="zh-CN" w:bidi="zh-CN"/>
        </w:rPr>
        <w:t>效益。</w:t>
      </w:r>
      <w:r>
        <w:rPr>
          <w:rFonts w:hint="eastAsia" w:ascii="仿宋_GB2312" w:hAnsi="仿宋_GB2312" w:eastAsia="仿宋_GB2312" w:cs="仿宋_GB2312"/>
          <w:color w:val="000000"/>
          <w:spacing w:val="0"/>
          <w:w w:val="100"/>
          <w:position w:val="0"/>
          <w:sz w:val="32"/>
          <w:szCs w:val="32"/>
          <w:lang w:val="zh-CN" w:eastAsia="zh-CN" w:bidi="zh-CN"/>
        </w:rPr>
        <w:t>该项目对生态环境友好，无污染事项。</w:t>
      </w:r>
    </w:p>
    <w:p w14:paraId="40015247">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b w:val="0"/>
          <w:bCs w:val="0"/>
          <w:sz w:val="32"/>
          <w:szCs w:val="32"/>
          <w:lang w:val="en-US" w:eastAsia="zh-CN"/>
        </w:rPr>
      </w:pPr>
      <w:bookmarkStart w:id="18" w:name="bookmark30"/>
      <w:bookmarkEnd w:id="18"/>
      <w:r>
        <w:rPr>
          <w:rFonts w:hint="eastAsia" w:ascii="仿宋_GB2312" w:hAnsi="仿宋_GB2312" w:eastAsia="仿宋_GB2312" w:cs="仿宋_GB2312"/>
          <w:b/>
          <w:bCs/>
          <w:color w:val="000000"/>
          <w:spacing w:val="0"/>
          <w:w w:val="100"/>
          <w:position w:val="0"/>
          <w:sz w:val="32"/>
          <w:szCs w:val="32"/>
          <w:lang w:val="en-US" w:eastAsia="zh-CN"/>
        </w:rPr>
        <w:t>4.</w:t>
      </w:r>
      <w:r>
        <w:rPr>
          <w:rFonts w:hint="eastAsia" w:ascii="仿宋_GB2312" w:hAnsi="仿宋_GB2312" w:eastAsia="仿宋_GB2312" w:cs="仿宋_GB2312"/>
          <w:b/>
          <w:bCs/>
          <w:color w:val="000000"/>
          <w:spacing w:val="0"/>
          <w:w w:val="100"/>
          <w:position w:val="0"/>
          <w:sz w:val="32"/>
          <w:szCs w:val="32"/>
        </w:rPr>
        <w:t>可持续影响。</w:t>
      </w:r>
      <w:r>
        <w:rPr>
          <w:rFonts w:hint="eastAsia" w:ascii="仿宋_GB2312" w:hAnsi="仿宋_GB2312" w:eastAsia="仿宋_GB2312" w:cs="仿宋_GB2312"/>
          <w:color w:val="000000"/>
          <w:spacing w:val="0"/>
          <w:w w:val="100"/>
          <w:position w:val="0"/>
          <w:sz w:val="32"/>
          <w:szCs w:val="32"/>
          <w:lang w:eastAsia="zh-CN"/>
        </w:rPr>
        <w:t>该项目作为公益项目，</w:t>
      </w:r>
      <w:r>
        <w:rPr>
          <w:rFonts w:hint="eastAsia" w:ascii="仿宋_GB2312" w:hAnsi="仿宋_GB2312" w:eastAsia="仿宋_GB2312" w:cs="仿宋_GB2312"/>
          <w:b w:val="0"/>
          <w:bCs w:val="0"/>
          <w:sz w:val="32"/>
          <w:szCs w:val="32"/>
          <w:lang w:val="en-US" w:eastAsia="zh-CN"/>
        </w:rPr>
        <w:t>可持续性良好。</w:t>
      </w:r>
      <w:bookmarkStart w:id="19" w:name="bookmark31"/>
    </w:p>
    <w:p w14:paraId="77A732BD">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rPr>
        <w:t>（</w:t>
      </w:r>
      <w:bookmarkEnd w:id="19"/>
      <w:r>
        <w:rPr>
          <w:rFonts w:hint="eastAsia" w:ascii="楷体" w:hAnsi="楷体" w:eastAsia="楷体" w:cs="楷体"/>
          <w:b w:val="0"/>
          <w:bCs w:val="0"/>
          <w:color w:val="000000"/>
          <w:spacing w:val="0"/>
          <w:w w:val="100"/>
          <w:position w:val="0"/>
          <w:sz w:val="32"/>
          <w:szCs w:val="32"/>
        </w:rPr>
        <w:t>三）满意度指标完成情况分析。</w:t>
      </w:r>
    </w:p>
    <w:p w14:paraId="44B38D06">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服务对象对此项工作的认可程度，达到</w:t>
      </w:r>
      <w:r>
        <w:rPr>
          <w:rFonts w:hint="eastAsia" w:ascii="仿宋_GB2312" w:hAnsi="仿宋_GB2312" w:eastAsia="仿宋_GB2312" w:cs="仿宋_GB2312"/>
          <w:color w:val="000000"/>
          <w:spacing w:val="0"/>
          <w:w w:val="100"/>
          <w:position w:val="0"/>
          <w:sz w:val="32"/>
          <w:szCs w:val="32"/>
          <w:lang w:val="en-US" w:eastAsia="zh-CN"/>
        </w:rPr>
        <w:t>100%；社会大众对此项工作的认可度，达到100%。</w:t>
      </w:r>
    </w:p>
    <w:p w14:paraId="3D7C0B99">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lang w:eastAsia="zh-CN"/>
        </w:rPr>
      </w:pPr>
      <w:bookmarkStart w:id="20" w:name="bookmark32"/>
      <w:r>
        <w:rPr>
          <w:rFonts w:hint="eastAsia" w:ascii="楷体" w:hAnsi="楷体" w:eastAsia="楷体" w:cs="楷体"/>
          <w:b w:val="0"/>
          <w:bCs w:val="0"/>
          <w:color w:val="000000"/>
          <w:spacing w:val="0"/>
          <w:w w:val="100"/>
          <w:position w:val="0"/>
          <w:sz w:val="32"/>
          <w:szCs w:val="32"/>
        </w:rPr>
        <w:t>（</w:t>
      </w:r>
      <w:bookmarkEnd w:id="20"/>
      <w:r>
        <w:rPr>
          <w:rFonts w:hint="eastAsia" w:ascii="楷体" w:hAnsi="楷体" w:eastAsia="楷体" w:cs="楷体"/>
          <w:b w:val="0"/>
          <w:bCs w:val="0"/>
          <w:color w:val="000000"/>
          <w:spacing w:val="0"/>
          <w:w w:val="100"/>
          <w:position w:val="0"/>
          <w:sz w:val="32"/>
          <w:szCs w:val="32"/>
        </w:rPr>
        <w:t>四）其他需要说明的事项。</w:t>
      </w:r>
      <w:r>
        <w:rPr>
          <w:rFonts w:hint="eastAsia" w:ascii="仿宋_GB2312" w:hAnsi="仿宋_GB2312" w:eastAsia="仿宋_GB2312" w:cs="仿宋_GB2312"/>
          <w:color w:val="000000"/>
          <w:spacing w:val="0"/>
          <w:w w:val="100"/>
          <w:position w:val="0"/>
          <w:sz w:val="32"/>
          <w:szCs w:val="32"/>
          <w:lang w:eastAsia="zh-CN"/>
        </w:rPr>
        <w:t>无</w:t>
      </w:r>
    </w:p>
    <w:p w14:paraId="1D03CA2F">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五、</w:t>
      </w:r>
      <w:r>
        <w:rPr>
          <w:rFonts w:hint="eastAsia" w:ascii="黑体" w:hAnsi="黑体" w:eastAsia="黑体" w:cs="黑体"/>
          <w:color w:val="000000"/>
          <w:spacing w:val="0"/>
          <w:w w:val="100"/>
          <w:position w:val="0"/>
          <w:sz w:val="32"/>
          <w:szCs w:val="32"/>
        </w:rPr>
        <w:t>结论</w:t>
      </w:r>
      <w:bookmarkStart w:id="21" w:name="bookmark33"/>
    </w:p>
    <w:p w14:paraId="498FA3BF">
      <w:pPr>
        <w:pStyle w:val="4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仿宋_GB2312" w:hAnsi="仿宋_GB2312" w:eastAsia="仿宋_GB2312" w:cs="仿宋_GB2312"/>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rPr>
        <w:t>（</w:t>
      </w:r>
      <w:bookmarkEnd w:id="21"/>
      <w:r>
        <w:rPr>
          <w:rFonts w:hint="eastAsia" w:ascii="楷体" w:hAnsi="楷体" w:eastAsia="楷体" w:cs="楷体"/>
          <w:b w:val="0"/>
          <w:bCs w:val="0"/>
          <w:color w:val="000000"/>
          <w:spacing w:val="0"/>
          <w:w w:val="100"/>
          <w:position w:val="0"/>
          <w:sz w:val="32"/>
          <w:szCs w:val="32"/>
        </w:rPr>
        <w:t>一）主要指标情况及结论。</w:t>
      </w:r>
      <w:r>
        <w:rPr>
          <w:rFonts w:hint="eastAsia" w:ascii="仿宋_GB2312" w:hAnsi="仿宋_GB2312" w:eastAsia="仿宋_GB2312" w:cs="仿宋_GB2312"/>
          <w:b w:val="0"/>
          <w:bCs w:val="0"/>
          <w:color w:val="000000"/>
          <w:spacing w:val="0"/>
          <w:w w:val="100"/>
          <w:position w:val="0"/>
          <w:sz w:val="32"/>
          <w:szCs w:val="32"/>
          <w:lang w:eastAsia="zh-CN"/>
        </w:rPr>
        <w:t>兰州新区</w:t>
      </w:r>
      <w:r>
        <w:rPr>
          <w:rFonts w:hint="eastAsia" w:ascii="仿宋_GB2312" w:hAnsi="仿宋_GB2312" w:eastAsia="仿宋_GB2312" w:cs="仿宋_GB2312"/>
          <w:b w:val="0"/>
          <w:bCs w:val="0"/>
          <w:color w:val="000000"/>
          <w:spacing w:val="0"/>
          <w:w w:val="100"/>
          <w:position w:val="0"/>
          <w:sz w:val="32"/>
          <w:szCs w:val="32"/>
          <w:lang w:val="en-US" w:eastAsia="zh-CN"/>
        </w:rPr>
        <w:t>2023年</w:t>
      </w:r>
      <w:r>
        <w:rPr>
          <w:rFonts w:hint="eastAsia" w:ascii="仿宋_GB2312" w:hAnsi="仿宋_GB2312" w:eastAsia="仿宋_GB2312" w:cs="仿宋_GB2312"/>
          <w:b w:val="0"/>
          <w:bCs w:val="0"/>
          <w:color w:val="000000"/>
          <w:spacing w:val="0"/>
          <w:w w:val="100"/>
          <w:position w:val="0"/>
          <w:sz w:val="32"/>
          <w:szCs w:val="32"/>
          <w:lang w:eastAsia="zh-CN"/>
        </w:rPr>
        <w:t>结核病防治项目达到了省卫生健康委及新区党工委年初设定的预期目标。主要表现在防治体系进一步完善，医疗卫生机构医务人员对结核病防治政策和对患者的指导能力得到提高。</w:t>
      </w:r>
    </w:p>
    <w:p w14:paraId="6285699C">
      <w:pPr>
        <w:keepNext w:val="0"/>
        <w:keepLines w:val="0"/>
        <w:pageBreakBefore w:val="0"/>
        <w:widowControl w:val="0"/>
        <w:kinsoku/>
        <w:wordWrap/>
        <w:overflowPunct/>
        <w:topLinePunct w:val="0"/>
        <w:autoSpaceDE/>
        <w:autoSpaceDN/>
        <w:bidi w:val="0"/>
        <w:snapToGrid/>
        <w:spacing w:after="0" w:line="560" w:lineRule="exact"/>
        <w:ind w:firstLine="640" w:firstLineChars="200"/>
        <w:rPr>
          <w:rFonts w:hint="eastAsia" w:ascii="仿宋_GB2312" w:eastAsia="仿宋_GB2312" w:cs="Times New Roman"/>
          <w:b/>
          <w:bCs/>
          <w:color w:val="auto"/>
          <w:sz w:val="32"/>
          <w:szCs w:val="32"/>
          <w:lang w:val="en-US" w:eastAsia="zh-CN"/>
        </w:rPr>
      </w:pPr>
      <w:bookmarkStart w:id="22" w:name="bookmark35"/>
      <w:r>
        <w:rPr>
          <w:rFonts w:hint="eastAsia" w:ascii="楷体" w:hAnsi="楷体" w:eastAsia="楷体" w:cs="楷体"/>
          <w:b w:val="0"/>
          <w:bCs w:val="0"/>
          <w:sz w:val="32"/>
          <w:szCs w:val="32"/>
          <w:lang w:eastAsia="zh-CN"/>
        </w:rPr>
        <w:t>（二）存在的问题和不足。</w:t>
      </w:r>
      <w:bookmarkEnd w:id="22"/>
      <w:r>
        <w:rPr>
          <w:rFonts w:hint="eastAsia" w:ascii="仿宋_GB2312" w:hAnsi="仿宋_GB2312" w:eastAsia="仿宋_GB2312" w:cs="仿宋_GB2312"/>
          <w:b w:val="0"/>
          <w:bCs w:val="0"/>
          <w:color w:val="000000"/>
          <w:spacing w:val="0"/>
          <w:w w:val="100"/>
          <w:position w:val="0"/>
          <w:sz w:val="32"/>
          <w:szCs w:val="32"/>
          <w:u w:val="none"/>
          <w:shd w:val="clear" w:color="auto" w:fill="auto"/>
          <w:lang w:val="en-US" w:eastAsia="zh-CN" w:bidi="zh-TW"/>
        </w:rPr>
        <w:t>无</w:t>
      </w:r>
    </w:p>
    <w:p w14:paraId="5150D023">
      <w:pPr>
        <w:keepNext w:val="0"/>
        <w:keepLines w:val="0"/>
        <w:pageBreakBefore w:val="0"/>
        <w:widowControl/>
        <w:kinsoku/>
        <w:wordWrap/>
        <w:overflowPunct/>
        <w:topLinePunct w:val="0"/>
        <w:autoSpaceDE/>
        <w:autoSpaceDN/>
        <w:bidi w:val="0"/>
        <w:spacing w:after="0" w:line="560" w:lineRule="exact"/>
        <w:ind w:firstLine="640" w:firstLineChars="200"/>
        <w:jc w:val="both"/>
        <w:textAlignment w:val="auto"/>
        <w:rPr>
          <w:rFonts w:hint="default"/>
          <w:lang w:val="en-US" w:eastAsia="zh-CN"/>
        </w:rPr>
      </w:pPr>
      <w:r>
        <w:rPr>
          <w:rFonts w:hint="eastAsia" w:ascii="楷体" w:hAnsi="楷体" w:eastAsia="楷体" w:cs="楷体"/>
          <w:sz w:val="32"/>
          <w:szCs w:val="32"/>
          <w:highlight w:val="none"/>
          <w:lang w:val="en-US" w:eastAsia="zh-CN"/>
        </w:rPr>
        <w:t>（三）工作建议。</w:t>
      </w:r>
      <w:r>
        <w:rPr>
          <w:rFonts w:hint="eastAsia" w:ascii="仿宋_GB2312" w:hAnsi="Times New Roman" w:eastAsia="仿宋_GB2312" w:cs="Times New Roman"/>
          <w:color w:val="auto"/>
          <w:sz w:val="32"/>
          <w:szCs w:val="32"/>
          <w:lang w:val="en-US" w:eastAsia="zh-CN"/>
        </w:rPr>
        <w:t>无</w:t>
      </w:r>
    </w:p>
    <w:p w14:paraId="73353338">
      <w:pPr>
        <w:pStyle w:val="43"/>
        <w:keepNext w:val="0"/>
        <w:keepLines w:val="0"/>
        <w:pageBreakBefore w:val="0"/>
        <w:widowControl w:val="0"/>
        <w:shd w:val="clear" w:color="auto" w:fill="auto"/>
        <w:kinsoku/>
        <w:wordWrap/>
        <w:overflowPunct/>
        <w:topLinePunct w:val="0"/>
        <w:autoSpaceDE/>
        <w:autoSpaceDN/>
        <w:bidi w:val="0"/>
        <w:snapToGrid/>
        <w:spacing w:before="0" w:after="280" w:line="560" w:lineRule="exact"/>
        <w:ind w:left="0" w:leftChars="0" w:right="0" w:firstLine="640" w:firstLineChars="200"/>
        <w:jc w:val="left"/>
        <w:rPr>
          <w:rFonts w:hint="eastAsia" w:ascii="楷体" w:hAnsi="楷体" w:eastAsia="楷体" w:cs="楷体"/>
          <w:sz w:val="32"/>
          <w:szCs w:val="32"/>
        </w:rPr>
      </w:pPr>
      <w:r>
        <w:rPr>
          <w:rFonts w:hint="eastAsia" w:ascii="楷体" w:hAnsi="楷体" w:eastAsia="楷体" w:cs="楷体"/>
          <w:sz w:val="32"/>
          <w:szCs w:val="32"/>
        </w:rPr>
        <w:t>202</w:t>
      </w:r>
      <w:r>
        <w:rPr>
          <w:rFonts w:hint="eastAsia" w:ascii="楷体" w:hAnsi="楷体" w:eastAsia="楷体" w:cs="楷体"/>
          <w:sz w:val="32"/>
          <w:szCs w:val="32"/>
          <w:lang w:val="en-US" w:eastAsia="zh-CN"/>
        </w:rPr>
        <w:t>3</w:t>
      </w:r>
      <w:r>
        <w:rPr>
          <w:rFonts w:hint="eastAsia" w:ascii="楷体" w:hAnsi="楷体" w:eastAsia="楷体" w:cs="楷体"/>
          <w:sz w:val="32"/>
          <w:szCs w:val="32"/>
        </w:rPr>
        <w:t>年兰州新区</w:t>
      </w:r>
      <w:r>
        <w:rPr>
          <w:rFonts w:hint="eastAsia" w:ascii="楷体" w:hAnsi="楷体" w:eastAsia="楷体" w:cs="楷体"/>
          <w:sz w:val="32"/>
          <w:szCs w:val="32"/>
          <w:lang w:eastAsia="zh-CN"/>
        </w:rPr>
        <w:t>新冠、病毒性腹泻、致病菌识别网</w:t>
      </w:r>
      <w:r>
        <w:rPr>
          <w:rFonts w:hint="eastAsia" w:ascii="楷体" w:hAnsi="楷体" w:eastAsia="楷体" w:cs="楷体"/>
          <w:sz w:val="32"/>
          <w:szCs w:val="32"/>
        </w:rPr>
        <w:t>项目</w:t>
      </w:r>
    </w:p>
    <w:p w14:paraId="0B8E2CEE">
      <w:pPr>
        <w:spacing w:line="560" w:lineRule="exact"/>
        <w:ind w:firstLine="640" w:firstLineChars="200"/>
        <w:rPr>
          <w:rFonts w:hint="eastAsia" w:ascii="仿宋_GB2312" w:eastAsia="仿宋_GB2312"/>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项目基本情况</w:t>
      </w:r>
    </w:p>
    <w:p w14:paraId="3D3A534C">
      <w:pPr>
        <w:spacing w:line="560" w:lineRule="exact"/>
        <w:ind w:firstLine="640" w:firstLineChars="200"/>
        <w:rPr>
          <w:rFonts w:hint="eastAsia" w:ascii="仿宋_GB2312" w:hAnsi="仿宋_GB2312" w:eastAsia="仿宋_GB2312" w:cs="仿宋_GB2312"/>
          <w:sz w:val="32"/>
          <w:szCs w:val="32"/>
          <w:lang w:eastAsia="zh-CN"/>
        </w:rPr>
      </w:pPr>
      <w:r>
        <w:rPr>
          <w:rFonts w:hint="eastAsia" w:ascii="楷体" w:hAnsi="楷体" w:eastAsia="楷体"/>
          <w:sz w:val="32"/>
          <w:szCs w:val="32"/>
        </w:rPr>
        <w:t>(一)项目概况</w:t>
      </w:r>
      <w:r>
        <w:rPr>
          <w:rFonts w:hint="eastAsia" w:ascii="仿宋_GB2312" w:eastAsia="仿宋_GB2312"/>
          <w:sz w:val="32"/>
          <w:szCs w:val="32"/>
        </w:rPr>
        <w:t>。</w:t>
      </w:r>
      <w:r>
        <w:rPr>
          <w:rFonts w:hint="eastAsia" w:ascii="仿宋_GB2312" w:hAnsi="仿宋" w:eastAsia="仿宋_GB2312"/>
          <w:color w:val="auto"/>
          <w:spacing w:val="-4"/>
          <w:sz w:val="32"/>
          <w:szCs w:val="32"/>
        </w:rPr>
        <w:t>根据省财政厅、省卫生</w:t>
      </w:r>
      <w:r>
        <w:rPr>
          <w:rFonts w:ascii="仿宋_GB2312" w:hAnsi="仿宋" w:eastAsia="仿宋_GB2312"/>
          <w:color w:val="auto"/>
          <w:spacing w:val="-4"/>
          <w:sz w:val="32"/>
          <w:szCs w:val="32"/>
        </w:rPr>
        <w:t>健康委</w:t>
      </w:r>
      <w:r>
        <w:rPr>
          <w:rFonts w:hint="eastAsia" w:ascii="仿宋_GB2312" w:hAnsi="仿宋" w:eastAsia="仿宋_GB2312"/>
          <w:color w:val="auto"/>
          <w:spacing w:val="-4"/>
          <w:sz w:val="32"/>
          <w:szCs w:val="32"/>
        </w:rPr>
        <w:t>员会《</w:t>
      </w:r>
      <w:r>
        <w:rPr>
          <w:rFonts w:ascii="仿宋_GB2312" w:hAnsi="仿宋" w:eastAsia="仿宋_GB2312"/>
          <w:color w:val="auto"/>
          <w:spacing w:val="-4"/>
          <w:sz w:val="32"/>
          <w:szCs w:val="32"/>
        </w:rPr>
        <w:t>关于提前下达202</w:t>
      </w:r>
      <w:r>
        <w:rPr>
          <w:rFonts w:hint="eastAsia" w:ascii="仿宋_GB2312" w:hAnsi="仿宋" w:eastAsia="仿宋_GB2312"/>
          <w:color w:val="auto"/>
          <w:spacing w:val="-4"/>
          <w:sz w:val="32"/>
          <w:szCs w:val="32"/>
        </w:rPr>
        <w:t>3</w:t>
      </w:r>
      <w:r>
        <w:rPr>
          <w:rFonts w:ascii="仿宋_GB2312" w:hAnsi="仿宋" w:eastAsia="仿宋_GB2312"/>
          <w:color w:val="auto"/>
          <w:spacing w:val="-4"/>
          <w:sz w:val="32"/>
          <w:szCs w:val="32"/>
        </w:rPr>
        <w:t>年中央转移支付重大传染病防控经费预算的通知</w:t>
      </w:r>
      <w:r>
        <w:rPr>
          <w:rFonts w:hint="eastAsia" w:ascii="仿宋_GB2312" w:hAnsi="仿宋" w:eastAsia="仿宋_GB2312"/>
          <w:color w:val="auto"/>
          <w:spacing w:val="-4"/>
          <w:sz w:val="32"/>
          <w:szCs w:val="32"/>
        </w:rPr>
        <w:t>》（甘财社〔</w:t>
      </w:r>
      <w:r>
        <w:rPr>
          <w:rFonts w:ascii="仿宋_GB2312" w:hAnsi="仿宋" w:eastAsia="仿宋_GB2312"/>
          <w:color w:val="auto"/>
          <w:spacing w:val="-4"/>
          <w:sz w:val="32"/>
          <w:szCs w:val="32"/>
        </w:rPr>
        <w:t>2022</w:t>
      </w:r>
      <w:r>
        <w:rPr>
          <w:rFonts w:hint="eastAsia" w:ascii="仿宋_GB2312" w:hAnsi="仿宋" w:eastAsia="仿宋_GB2312"/>
          <w:color w:val="auto"/>
          <w:spacing w:val="-4"/>
          <w:sz w:val="32"/>
          <w:szCs w:val="32"/>
        </w:rPr>
        <w:t>〕</w:t>
      </w:r>
      <w:r>
        <w:rPr>
          <w:rFonts w:ascii="仿宋_GB2312" w:hAnsi="仿宋" w:eastAsia="仿宋_GB2312"/>
          <w:color w:val="auto"/>
          <w:spacing w:val="-4"/>
          <w:sz w:val="32"/>
          <w:szCs w:val="32"/>
        </w:rPr>
        <w:t>1</w:t>
      </w:r>
      <w:r>
        <w:rPr>
          <w:rFonts w:hint="eastAsia" w:ascii="仿宋_GB2312" w:hAnsi="仿宋" w:eastAsia="仿宋_GB2312"/>
          <w:color w:val="auto"/>
          <w:spacing w:val="-4"/>
          <w:sz w:val="32"/>
          <w:szCs w:val="32"/>
        </w:rPr>
        <w:t>01号）</w:t>
      </w:r>
      <w:r>
        <w:rPr>
          <w:rFonts w:hint="eastAsia" w:ascii="仿宋_GB2312" w:hAnsi="仿宋_GB2312" w:eastAsia="仿宋_GB2312" w:cs="仿宋_GB2312"/>
          <w:sz w:val="32"/>
          <w:szCs w:val="32"/>
          <w:lang w:eastAsia="zh-CN"/>
        </w:rPr>
        <w:t>精神、</w:t>
      </w:r>
      <w:r>
        <w:rPr>
          <w:rFonts w:hint="eastAsia" w:ascii="仿宋_GB2312" w:hAnsi="仿宋_GB2312" w:eastAsia="仿宋_GB2312" w:cs="仿宋_GB2312"/>
          <w:sz w:val="32"/>
          <w:szCs w:val="32"/>
        </w:rPr>
        <w:t>省卫生健康委《关于印发2023年中央资金补助地方扩大国家免疫规划等29个重大传染病防控项目实施方案的通知》（</w:t>
      </w:r>
      <w:r>
        <w:rPr>
          <w:rFonts w:hint="eastAsia" w:ascii="仿宋_GB2312" w:hAnsi="仿宋_GB2312" w:eastAsia="仿宋_GB2312" w:cs="仿宋_GB2312"/>
          <w:sz w:val="32"/>
          <w:szCs w:val="32"/>
          <w:shd w:val="clear" w:color="auto" w:fill="FFFFFF"/>
        </w:rPr>
        <w:t>甘卫疾控函〔202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18</w:t>
      </w:r>
      <w:r>
        <w:rPr>
          <w:rFonts w:hint="eastAsia" w:ascii="仿宋_GB2312" w:hAnsi="仿宋_GB2312" w:eastAsia="仿宋_GB2312" w:cs="仿宋_GB2312"/>
          <w:sz w:val="32"/>
          <w:szCs w:val="32"/>
          <w:shd w:val="clear" w:color="auto" w:fill="FFFFFF"/>
        </w:rPr>
        <w:t>号</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lang w:bidi="ar"/>
        </w:rPr>
        <w:t>202</w:t>
      </w:r>
      <w:r>
        <w:rPr>
          <w:rFonts w:hint="eastAsia" w:ascii="仿宋_GB2312" w:hAnsi="仿宋_GB2312" w:eastAsia="仿宋_GB2312" w:cs="仿宋_GB2312"/>
          <w:kern w:val="0"/>
          <w:sz w:val="32"/>
          <w:szCs w:val="32"/>
          <w:lang w:val="en-US" w:eastAsia="zh-CN" w:bidi="ar"/>
        </w:rPr>
        <w:t>3</w:t>
      </w:r>
      <w:r>
        <w:rPr>
          <w:rFonts w:hint="eastAsia" w:ascii="仿宋_GB2312" w:hAnsi="仿宋_GB2312" w:eastAsia="仿宋_GB2312" w:cs="仿宋_GB2312"/>
          <w:kern w:val="0"/>
          <w:sz w:val="32"/>
          <w:szCs w:val="32"/>
          <w:lang w:bidi="ar"/>
        </w:rPr>
        <w:t>年兰州新区开展了</w:t>
      </w:r>
      <w:r>
        <w:rPr>
          <w:rFonts w:hint="eastAsia" w:ascii="仿宋_GB2312" w:hAnsi="仿宋_GB2312" w:eastAsia="仿宋_GB2312" w:cs="仿宋_GB2312"/>
          <w:sz w:val="32"/>
          <w:szCs w:val="32"/>
          <w:lang w:eastAsia="zh-CN"/>
        </w:rPr>
        <w:t>新冠、病毒性腹泻、致病菌识别网</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w:t>
      </w:r>
    </w:p>
    <w:p w14:paraId="4D0EBEC8">
      <w:pPr>
        <w:overflowPunct w:val="0"/>
        <w:spacing w:line="580" w:lineRule="exact"/>
        <w:ind w:firstLine="640" w:firstLineChars="200"/>
        <w:rPr>
          <w:rFonts w:hint="eastAsia" w:ascii="仿宋_GB2312" w:eastAsia="仿宋_GB2312"/>
          <w:sz w:val="32"/>
          <w:szCs w:val="28"/>
          <w:lang w:eastAsia="zh-CN"/>
        </w:rPr>
      </w:pPr>
      <w:r>
        <w:rPr>
          <w:rFonts w:hint="eastAsia" w:ascii="楷体" w:hAnsi="楷体" w:eastAsia="楷体"/>
          <w:sz w:val="32"/>
          <w:szCs w:val="32"/>
        </w:rPr>
        <w:t>(二）项目绩效目标情况。</w:t>
      </w:r>
      <w:r>
        <w:rPr>
          <w:rFonts w:hint="eastAsia" w:ascii="仿宋_GB2312" w:hAnsi="仿宋_GB2312" w:eastAsia="仿宋_GB2312" w:cs="仿宋_GB2312"/>
          <w:sz w:val="32"/>
          <w:szCs w:val="32"/>
          <w:highlight w:val="none"/>
        </w:rPr>
        <w:t>规范执行新冠</w:t>
      </w:r>
      <w:r>
        <w:rPr>
          <w:rFonts w:hint="eastAsia" w:ascii="仿宋_GB2312" w:hAnsi="仿宋_GB2312" w:eastAsia="仿宋_GB2312" w:cs="仿宋_GB2312"/>
          <w:sz w:val="32"/>
          <w:szCs w:val="32"/>
          <w:highlight w:val="none"/>
          <w:lang w:eastAsia="zh-CN"/>
        </w:rPr>
        <w:t>病毒感染</w:t>
      </w:r>
      <w:r>
        <w:rPr>
          <w:rFonts w:hint="eastAsia" w:ascii="仿宋_GB2312" w:hAnsi="仿宋_GB2312" w:eastAsia="仿宋_GB2312" w:cs="仿宋_GB2312"/>
          <w:sz w:val="32"/>
          <w:szCs w:val="32"/>
          <w:highlight w:val="none"/>
        </w:rPr>
        <w:t>等重点传染病监测及能力建设项目，实时监测新冠病毒的流行和变异，进一步提升疫情防控能力</w:t>
      </w:r>
      <w:r>
        <w:rPr>
          <w:rFonts w:hint="eastAsia" w:ascii="仿宋_GB2312" w:hAnsi="仿宋_GB2312" w:eastAsia="仿宋_GB2312" w:cs="仿宋_GB2312"/>
          <w:sz w:val="32"/>
          <w:szCs w:val="32"/>
          <w:highlight w:val="none"/>
          <w:lang w:eastAsia="zh-CN"/>
        </w:rPr>
        <w:t>；</w:t>
      </w:r>
      <w:r>
        <w:rPr>
          <w:rFonts w:hint="eastAsia" w:ascii="仿宋_GB2312" w:hAnsi="Calibri" w:eastAsia="仿宋_GB2312" w:cs="Times New Roman"/>
          <w:kern w:val="0"/>
          <w:sz w:val="32"/>
          <w:szCs w:val="32"/>
          <w:lang w:bidi="ar"/>
        </w:rPr>
        <w:t>掌握引起</w:t>
      </w:r>
      <w:r>
        <w:rPr>
          <w:rFonts w:hint="eastAsia" w:ascii="仿宋_GB2312" w:hAnsi="Calibri" w:eastAsia="仿宋_GB2312" w:cs="Times New Roman"/>
          <w:kern w:val="0"/>
          <w:sz w:val="32"/>
          <w:szCs w:val="32"/>
          <w:lang w:eastAsia="zh-CN" w:bidi="ar"/>
        </w:rPr>
        <w:t>新区</w:t>
      </w:r>
      <w:r>
        <w:rPr>
          <w:rFonts w:hint="eastAsia" w:ascii="仿宋_GB2312" w:hAnsi="Calibri" w:eastAsia="仿宋_GB2312" w:cs="Times New Roman"/>
          <w:kern w:val="0"/>
          <w:sz w:val="32"/>
          <w:szCs w:val="32"/>
          <w:lang w:bidi="ar"/>
        </w:rPr>
        <w:t>病毒性腹泻主要病原的流行病学特征、病原谱、基因型别及变化，以及诺如病毒等病原引起病毒性腹泻暴发疫情的病原特征及毒株变化</w:t>
      </w:r>
      <w:r>
        <w:rPr>
          <w:rFonts w:hint="eastAsia" w:ascii="仿宋_GB2312" w:hAnsi="Calibri" w:eastAsia="仿宋_GB2312" w:cs="Times New Roman"/>
          <w:kern w:val="0"/>
          <w:sz w:val="32"/>
          <w:szCs w:val="32"/>
          <w:lang w:eastAsia="zh-CN" w:bidi="ar"/>
        </w:rPr>
        <w:t>。</w:t>
      </w:r>
    </w:p>
    <w:p w14:paraId="4D148C15">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二、项目实施及管理情况</w:t>
      </w:r>
    </w:p>
    <w:p w14:paraId="5B8032EC">
      <w:pPr>
        <w:shd w:val="clear" w:color="auto" w:fill="auto"/>
        <w:overflowPunct w:val="0"/>
        <w:adjustRightInd w:val="0"/>
        <w:spacing w:line="580" w:lineRule="exact"/>
        <w:ind w:firstLine="640" w:firstLineChars="200"/>
        <w:rPr>
          <w:rFonts w:hint="eastAsia" w:ascii="仿宋_GB2312" w:hAnsi="仿宋_GB2312" w:eastAsia="仿宋_GB2312" w:cs="仿宋_GB2312"/>
          <w:sz w:val="32"/>
          <w:szCs w:val="32"/>
          <w:highlight w:val="none"/>
          <w:lang w:eastAsia="zh-CN"/>
        </w:rPr>
      </w:pPr>
      <w:r>
        <w:rPr>
          <w:rFonts w:hint="eastAsia" w:ascii="楷体_GB2312" w:hAnsi="仿宋_GB2312" w:eastAsia="楷体_GB2312" w:cs="仿宋_GB2312"/>
          <w:sz w:val="32"/>
        </w:rPr>
        <w:t>（一）组织管理方面。</w:t>
      </w:r>
      <w:r>
        <w:rPr>
          <w:rFonts w:hint="eastAsia" w:ascii="仿宋_GB2312" w:hAnsi="仿宋_GB2312" w:eastAsia="仿宋_GB2312" w:cs="仿宋_GB2312"/>
          <w:sz w:val="32"/>
          <w:szCs w:val="32"/>
          <w:highlight w:val="none"/>
          <w:lang w:val="en-US" w:eastAsia="zh-CN"/>
        </w:rPr>
        <w:t>新区卫生健康委员会</w:t>
      </w:r>
      <w:r>
        <w:rPr>
          <w:rFonts w:hint="eastAsia" w:ascii="仿宋_GB2312" w:hAnsi="仿宋_GB2312" w:eastAsia="仿宋_GB2312" w:cs="仿宋_GB2312"/>
          <w:sz w:val="32"/>
          <w:szCs w:val="32"/>
          <w:highlight w:val="none"/>
        </w:rPr>
        <w:t>负责组织对辖区内新冠工作部署和监督管理，保障新冠相关专项经费及时拨付和实施</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新区第一人民</w:t>
      </w:r>
      <w:r>
        <w:rPr>
          <w:rFonts w:hint="eastAsia" w:ascii="仿宋_GB2312" w:hAnsi="仿宋_GB2312" w:eastAsia="仿宋_GB2312" w:cs="仿宋_GB2312"/>
          <w:sz w:val="32"/>
          <w:szCs w:val="32"/>
          <w:highlight w:val="none"/>
        </w:rPr>
        <w:t>医院</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负责完成</w:t>
      </w:r>
      <w:r>
        <w:rPr>
          <w:rFonts w:hint="eastAsia" w:ascii="仿宋_GB2312" w:hAnsi="仿宋_GB2312" w:eastAsia="仿宋_GB2312" w:cs="仿宋_GB2312"/>
          <w:sz w:val="32"/>
          <w:szCs w:val="32"/>
          <w:highlight w:val="none"/>
          <w:lang w:eastAsia="zh-CN"/>
        </w:rPr>
        <w:t>血清学</w:t>
      </w:r>
      <w:r>
        <w:rPr>
          <w:rFonts w:hint="eastAsia" w:ascii="仿宋_GB2312" w:hAnsi="仿宋_GB2312" w:eastAsia="仿宋_GB2312" w:cs="仿宋_GB2312"/>
          <w:sz w:val="32"/>
          <w:szCs w:val="32"/>
          <w:highlight w:val="none"/>
        </w:rPr>
        <w:t>样本的采集</w:t>
      </w:r>
      <w:r>
        <w:rPr>
          <w:rFonts w:hint="eastAsia" w:ascii="仿宋_GB2312" w:hAnsi="仿宋_GB2312" w:eastAsia="仿宋_GB2312" w:cs="仿宋_GB2312"/>
          <w:sz w:val="32"/>
          <w:szCs w:val="32"/>
          <w:highlight w:val="none"/>
          <w:lang w:eastAsia="zh-CN"/>
        </w:rPr>
        <w:t>并送省疾控中心检测，完成核酸检测任务，与新区疾控中心开展室间质控</w:t>
      </w:r>
      <w:r>
        <w:rPr>
          <w:rFonts w:hint="eastAsia" w:ascii="仿宋_GB2312" w:hAnsi="仿宋_GB2312" w:eastAsia="仿宋_GB2312" w:cs="仿宋_GB2312"/>
          <w:sz w:val="32"/>
          <w:szCs w:val="32"/>
          <w:highlight w:val="none"/>
        </w:rPr>
        <w:t>；每年至少开展2次医院内部人员的培训</w:t>
      </w:r>
      <w:r>
        <w:rPr>
          <w:rFonts w:hint="eastAsia" w:ascii="仿宋_GB2312" w:hAnsi="仿宋_GB2312" w:eastAsia="仿宋_GB2312" w:cs="仿宋_GB2312"/>
          <w:sz w:val="32"/>
          <w:szCs w:val="32"/>
          <w:highlight w:val="none"/>
          <w:lang w:eastAsia="zh-CN"/>
        </w:rPr>
        <w:t>；接受上级部门和技术机构的督导和检查。</w:t>
      </w:r>
    </w:p>
    <w:p w14:paraId="554E9549">
      <w:pPr>
        <w:overflowPunct w:val="0"/>
        <w:spacing w:line="580" w:lineRule="exact"/>
        <w:ind w:firstLine="640" w:firstLineChars="200"/>
        <w:rPr>
          <w:rFonts w:hint="eastAsia" w:ascii="仿宋_GB2312" w:eastAsia="仿宋_GB2312"/>
          <w:sz w:val="32"/>
          <w:szCs w:val="28"/>
          <w:lang w:eastAsia="zh-CN"/>
        </w:rPr>
      </w:pPr>
      <w:r>
        <w:rPr>
          <w:rFonts w:hint="eastAsia" w:ascii="楷体_GB2312" w:eastAsia="楷体_GB2312"/>
          <w:sz w:val="32"/>
          <w:szCs w:val="28"/>
        </w:rPr>
        <w:t>（二）资金安排。</w:t>
      </w:r>
      <w:r>
        <w:rPr>
          <w:rFonts w:hint="eastAsia" w:ascii="仿宋_GB2312" w:eastAsia="仿宋_GB2312"/>
          <w:sz w:val="32"/>
          <w:szCs w:val="28"/>
        </w:rPr>
        <w:t>202</w:t>
      </w:r>
      <w:r>
        <w:rPr>
          <w:rFonts w:hint="eastAsia" w:ascii="仿宋_GB2312" w:eastAsia="仿宋_GB2312"/>
          <w:sz w:val="32"/>
          <w:szCs w:val="28"/>
          <w:lang w:val="en-US" w:eastAsia="zh-CN"/>
        </w:rPr>
        <w:t>3</w:t>
      </w:r>
      <w:r>
        <w:rPr>
          <w:rFonts w:hint="eastAsia" w:ascii="仿宋_GB2312" w:eastAsia="仿宋_GB2312"/>
          <w:sz w:val="32"/>
          <w:szCs w:val="28"/>
        </w:rPr>
        <w:t>年本项目下达</w:t>
      </w:r>
      <w:r>
        <w:rPr>
          <w:rFonts w:hint="eastAsia" w:ascii="仿宋_GB2312" w:eastAsia="仿宋_GB2312"/>
          <w:sz w:val="32"/>
          <w:szCs w:val="28"/>
          <w:lang w:eastAsia="zh-CN"/>
        </w:rPr>
        <w:t>中央转移支付</w:t>
      </w:r>
      <w:r>
        <w:rPr>
          <w:rFonts w:hint="eastAsia" w:ascii="仿宋_GB2312" w:eastAsia="仿宋_GB2312"/>
          <w:sz w:val="32"/>
          <w:szCs w:val="28"/>
        </w:rPr>
        <w:t>专项资金</w:t>
      </w:r>
      <w:r>
        <w:rPr>
          <w:rFonts w:hint="eastAsia" w:ascii="仿宋_GB2312" w:eastAsia="仿宋_GB2312"/>
          <w:sz w:val="32"/>
          <w:szCs w:val="28"/>
          <w:lang w:val="en-US" w:eastAsia="zh-CN"/>
        </w:rPr>
        <w:t>84</w:t>
      </w:r>
      <w:r>
        <w:rPr>
          <w:rFonts w:hint="eastAsia" w:ascii="仿宋_GB2312" w:eastAsia="仿宋_GB2312"/>
          <w:sz w:val="32"/>
          <w:szCs w:val="28"/>
        </w:rPr>
        <w:t>万元，主要用于</w:t>
      </w:r>
      <w:r>
        <w:rPr>
          <w:rFonts w:hint="eastAsia" w:ascii="仿宋_GB2312" w:eastAsia="仿宋_GB2312"/>
          <w:sz w:val="32"/>
          <w:szCs w:val="28"/>
          <w:lang w:eastAsia="zh-CN"/>
        </w:rPr>
        <w:t>开展监测。</w:t>
      </w:r>
    </w:p>
    <w:p w14:paraId="5D1C8643">
      <w:pPr>
        <w:spacing w:line="560" w:lineRule="exact"/>
        <w:rPr>
          <w:rFonts w:hint="eastAsia" w:ascii="黑体" w:hAnsi="黑体" w:eastAsia="黑体"/>
          <w:sz w:val="32"/>
          <w:szCs w:val="32"/>
        </w:rPr>
      </w:pPr>
      <w:r>
        <w:rPr>
          <w:rFonts w:hint="eastAsia" w:ascii="黑体" w:hAnsi="黑体" w:eastAsia="黑体"/>
          <w:sz w:val="32"/>
          <w:szCs w:val="32"/>
        </w:rPr>
        <w:t>三、项目绩效自评开展情况</w:t>
      </w:r>
    </w:p>
    <w:p w14:paraId="3ACF07E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新区</w:t>
      </w:r>
      <w:r>
        <w:rPr>
          <w:rFonts w:hint="eastAsia" w:ascii="仿宋_GB2312" w:hAnsi="仿宋_GB2312" w:eastAsia="仿宋_GB2312" w:cs="仿宋_GB2312"/>
          <w:color w:val="000000"/>
          <w:sz w:val="32"/>
          <w:szCs w:val="32"/>
          <w:lang w:eastAsia="zh-CN"/>
        </w:rPr>
        <w:t>卫生健康委</w:t>
      </w:r>
      <w:r>
        <w:rPr>
          <w:rFonts w:hint="eastAsia" w:ascii="仿宋_GB2312" w:hAnsi="仿宋_GB2312" w:eastAsia="仿宋_GB2312" w:cs="仿宋_GB2312"/>
          <w:color w:val="000000"/>
          <w:sz w:val="32"/>
          <w:szCs w:val="32"/>
        </w:rPr>
        <w:t>高度重视疾控类项目绩效自评工作，自任务下达以来，专门召开会议传达上级要求，结合202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实施方案</w:t>
      </w:r>
      <w:r>
        <w:rPr>
          <w:rFonts w:hint="eastAsia" w:ascii="仿宋_GB2312" w:hAnsi="仿宋_GB2312" w:eastAsia="仿宋_GB2312" w:cs="仿宋_GB2312"/>
          <w:color w:val="000000"/>
          <w:sz w:val="32"/>
          <w:szCs w:val="32"/>
        </w:rPr>
        <w:t>，认真组织自评报告。</w:t>
      </w:r>
    </w:p>
    <w:p w14:paraId="0CDEC30D">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四、项目目标实现情况分析</w:t>
      </w:r>
    </w:p>
    <w:p w14:paraId="09B5E222">
      <w:pPr>
        <w:adjustRightInd w:val="0"/>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lang w:val="en-US" w:eastAsia="zh-CN"/>
        </w:rPr>
        <w:t>按期完成工作任务。</w:t>
      </w:r>
    </w:p>
    <w:p w14:paraId="3B6CBF9C">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五、结论</w:t>
      </w:r>
    </w:p>
    <w:p w14:paraId="5A9BF18F">
      <w:pPr>
        <w:spacing w:line="560" w:lineRule="exact"/>
        <w:ind w:firstLine="640" w:firstLineChars="200"/>
        <w:rPr>
          <w:rFonts w:hint="eastAsia" w:ascii="楷体_GB2312" w:hAnsi="楷体" w:eastAsia="楷体_GB2312"/>
          <w:sz w:val="32"/>
          <w:szCs w:val="32"/>
        </w:rPr>
      </w:pPr>
      <w:r>
        <w:rPr>
          <w:rFonts w:hint="eastAsia" w:ascii="楷体_GB2312" w:hAnsi="楷体" w:eastAsia="楷体_GB2312"/>
          <w:sz w:val="32"/>
          <w:szCs w:val="32"/>
        </w:rPr>
        <w:t>(一）主要指标情况及结论。</w:t>
      </w:r>
    </w:p>
    <w:p w14:paraId="706B7ED4">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1.主要指标情况。</w:t>
      </w:r>
    </w:p>
    <w:p w14:paraId="76920FF1">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资金执行分值10分，项目保障经费全部及时拨付到位，资金分配合理，项目执行率100%，实际得分10分。</w:t>
      </w:r>
    </w:p>
    <w:p w14:paraId="0145A97C">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产出一级指标50分，实际得分50分。项目全部按计划完成任务，整体进度合理，项目质量达到与其目标，达标率100%。</w:t>
      </w:r>
    </w:p>
    <w:p w14:paraId="2E00102F">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效益一级指标30分，实际得分30分。项目整体社会效益较高，后期具有显著可持续性。</w:t>
      </w:r>
    </w:p>
    <w:p w14:paraId="49BFA929">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满意度一级指标10分，实际得分10分，受益群众满意度达95%以上。</w:t>
      </w:r>
    </w:p>
    <w:p w14:paraId="64C09A27">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2.结论</w:t>
      </w:r>
    </w:p>
    <w:p w14:paraId="309995E7">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项目整体完成情况较好，预算执行率高，较好的完成了年度目标任务。</w:t>
      </w:r>
    </w:p>
    <w:p w14:paraId="3ED26A16">
      <w:pPr>
        <w:pStyle w:val="21"/>
        <w:rPr>
          <w:rFonts w:hint="eastAsia" w:ascii="楷体" w:hAnsi="楷体" w:eastAsia="楷体" w:cs="楷体"/>
          <w:sz w:val="32"/>
          <w:szCs w:val="32"/>
        </w:rPr>
      </w:pPr>
    </w:p>
    <w:p w14:paraId="3A2C269D">
      <w:pPr>
        <w:pStyle w:val="21"/>
        <w:rPr>
          <w:rFonts w:hint="eastAsia"/>
          <w:lang w:val="zh-TW"/>
        </w:rPr>
      </w:pPr>
      <w:r>
        <w:rPr>
          <w:rFonts w:hint="eastAsia" w:ascii="楷体" w:hAnsi="楷体" w:eastAsia="楷体" w:cs="楷体"/>
          <w:sz w:val="32"/>
          <w:szCs w:val="32"/>
        </w:rPr>
        <w:t>202</w:t>
      </w:r>
      <w:r>
        <w:rPr>
          <w:rFonts w:hint="eastAsia" w:ascii="楷体" w:hAnsi="楷体" w:eastAsia="楷体" w:cs="楷体"/>
          <w:sz w:val="32"/>
          <w:szCs w:val="32"/>
          <w:lang w:val="en-US" w:eastAsia="zh-CN"/>
        </w:rPr>
        <w:t>3</w:t>
      </w:r>
      <w:r>
        <w:rPr>
          <w:rFonts w:hint="eastAsia" w:ascii="楷体" w:hAnsi="楷体" w:eastAsia="楷体" w:cs="楷体"/>
          <w:sz w:val="32"/>
          <w:szCs w:val="32"/>
        </w:rPr>
        <w:t>年兰州新区</w:t>
      </w:r>
      <w:r>
        <w:rPr>
          <w:rFonts w:hint="eastAsia" w:ascii="楷体" w:hAnsi="楷体" w:eastAsia="楷体" w:cs="楷体"/>
          <w:sz w:val="32"/>
          <w:szCs w:val="32"/>
          <w:lang w:eastAsia="zh-CN"/>
        </w:rPr>
        <w:t>病媒生物监测</w:t>
      </w:r>
      <w:r>
        <w:rPr>
          <w:rFonts w:hint="eastAsia" w:ascii="楷体" w:hAnsi="楷体" w:eastAsia="楷体" w:cs="楷体"/>
          <w:sz w:val="32"/>
          <w:szCs w:val="32"/>
        </w:rPr>
        <w:t>项目</w:t>
      </w:r>
    </w:p>
    <w:p w14:paraId="4E06DD2D">
      <w:pPr>
        <w:spacing w:line="560" w:lineRule="exact"/>
        <w:ind w:firstLine="640" w:firstLineChars="200"/>
        <w:rPr>
          <w:rFonts w:hint="eastAsia" w:ascii="仿宋_GB2312" w:eastAsia="仿宋_GB2312"/>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项目基本情况</w:t>
      </w:r>
    </w:p>
    <w:p w14:paraId="41E267F3">
      <w:pPr>
        <w:spacing w:line="560" w:lineRule="exact"/>
        <w:ind w:firstLine="640" w:firstLineChars="200"/>
        <w:rPr>
          <w:rFonts w:hint="eastAsia" w:ascii="仿宋_GB2312" w:hAnsi="仿宋" w:eastAsia="仿宋_GB2312"/>
          <w:sz w:val="32"/>
          <w:szCs w:val="32"/>
          <w:lang w:eastAsia="zh-CN"/>
        </w:rPr>
      </w:pPr>
      <w:r>
        <w:rPr>
          <w:rFonts w:hint="eastAsia" w:ascii="楷体" w:hAnsi="楷体" w:eastAsia="楷体"/>
          <w:sz w:val="32"/>
          <w:szCs w:val="32"/>
        </w:rPr>
        <w:t>(一)项目概况</w:t>
      </w:r>
      <w:r>
        <w:rPr>
          <w:rFonts w:hint="eastAsia" w:ascii="仿宋_GB2312" w:eastAsia="仿宋_GB2312"/>
          <w:sz w:val="32"/>
          <w:szCs w:val="32"/>
        </w:rPr>
        <w:t>。</w:t>
      </w:r>
      <w:r>
        <w:rPr>
          <w:rFonts w:hint="eastAsia" w:ascii="仿宋_GB2312" w:hAnsi="仿宋" w:eastAsia="仿宋_GB2312"/>
          <w:color w:val="auto"/>
          <w:spacing w:val="-4"/>
          <w:sz w:val="32"/>
          <w:szCs w:val="32"/>
        </w:rPr>
        <w:t>根据省财政厅、省卫生</w:t>
      </w:r>
      <w:r>
        <w:rPr>
          <w:rFonts w:ascii="仿宋_GB2312" w:hAnsi="仿宋" w:eastAsia="仿宋_GB2312"/>
          <w:color w:val="auto"/>
          <w:spacing w:val="-4"/>
          <w:sz w:val="32"/>
          <w:szCs w:val="32"/>
        </w:rPr>
        <w:t>健康委</w:t>
      </w:r>
      <w:r>
        <w:rPr>
          <w:rFonts w:hint="eastAsia" w:ascii="仿宋_GB2312" w:hAnsi="仿宋" w:eastAsia="仿宋_GB2312"/>
          <w:color w:val="auto"/>
          <w:spacing w:val="-4"/>
          <w:sz w:val="32"/>
          <w:szCs w:val="32"/>
        </w:rPr>
        <w:t>员会《</w:t>
      </w:r>
      <w:r>
        <w:rPr>
          <w:rFonts w:ascii="仿宋_GB2312" w:hAnsi="仿宋" w:eastAsia="仿宋_GB2312"/>
          <w:color w:val="auto"/>
          <w:spacing w:val="-4"/>
          <w:sz w:val="32"/>
          <w:szCs w:val="32"/>
        </w:rPr>
        <w:t>关于提前下达202</w:t>
      </w:r>
      <w:r>
        <w:rPr>
          <w:rFonts w:hint="eastAsia" w:ascii="仿宋_GB2312" w:hAnsi="仿宋" w:eastAsia="仿宋_GB2312"/>
          <w:color w:val="auto"/>
          <w:spacing w:val="-4"/>
          <w:sz w:val="32"/>
          <w:szCs w:val="32"/>
        </w:rPr>
        <w:t>3</w:t>
      </w:r>
      <w:r>
        <w:rPr>
          <w:rFonts w:ascii="仿宋_GB2312" w:hAnsi="仿宋" w:eastAsia="仿宋_GB2312"/>
          <w:color w:val="auto"/>
          <w:spacing w:val="-4"/>
          <w:sz w:val="32"/>
          <w:szCs w:val="32"/>
        </w:rPr>
        <w:t>年中央转移支付重大传染病防控经费预算的通知</w:t>
      </w:r>
      <w:r>
        <w:rPr>
          <w:rFonts w:hint="eastAsia" w:ascii="仿宋_GB2312" w:hAnsi="仿宋" w:eastAsia="仿宋_GB2312"/>
          <w:color w:val="auto"/>
          <w:spacing w:val="-4"/>
          <w:sz w:val="32"/>
          <w:szCs w:val="32"/>
        </w:rPr>
        <w:t>》（甘财社〔</w:t>
      </w:r>
      <w:r>
        <w:rPr>
          <w:rFonts w:ascii="仿宋_GB2312" w:hAnsi="仿宋" w:eastAsia="仿宋_GB2312"/>
          <w:color w:val="auto"/>
          <w:spacing w:val="-4"/>
          <w:sz w:val="32"/>
          <w:szCs w:val="32"/>
        </w:rPr>
        <w:t>2022</w:t>
      </w:r>
      <w:r>
        <w:rPr>
          <w:rFonts w:hint="eastAsia" w:ascii="仿宋_GB2312" w:hAnsi="仿宋" w:eastAsia="仿宋_GB2312"/>
          <w:color w:val="auto"/>
          <w:spacing w:val="-4"/>
          <w:sz w:val="32"/>
          <w:szCs w:val="32"/>
        </w:rPr>
        <w:t>〕</w:t>
      </w:r>
      <w:r>
        <w:rPr>
          <w:rFonts w:ascii="仿宋_GB2312" w:hAnsi="仿宋" w:eastAsia="仿宋_GB2312"/>
          <w:color w:val="auto"/>
          <w:spacing w:val="-4"/>
          <w:sz w:val="32"/>
          <w:szCs w:val="32"/>
        </w:rPr>
        <w:t>1</w:t>
      </w:r>
      <w:r>
        <w:rPr>
          <w:rFonts w:hint="eastAsia" w:ascii="仿宋_GB2312" w:hAnsi="仿宋" w:eastAsia="仿宋_GB2312"/>
          <w:color w:val="auto"/>
          <w:spacing w:val="-4"/>
          <w:sz w:val="32"/>
          <w:szCs w:val="32"/>
        </w:rPr>
        <w:t>01号）</w:t>
      </w:r>
      <w:r>
        <w:rPr>
          <w:rFonts w:hint="eastAsia" w:ascii="仿宋_GB2312" w:hAnsi="仿宋_GB2312" w:eastAsia="仿宋_GB2312" w:cs="仿宋_GB2312"/>
          <w:sz w:val="32"/>
          <w:szCs w:val="32"/>
          <w:lang w:eastAsia="zh-CN"/>
        </w:rPr>
        <w:t>精神、</w:t>
      </w:r>
      <w:r>
        <w:rPr>
          <w:rFonts w:hint="eastAsia" w:ascii="仿宋_GB2312" w:hAnsi="仿宋_GB2312" w:eastAsia="仿宋_GB2312" w:cs="仿宋_GB2312"/>
          <w:sz w:val="32"/>
          <w:szCs w:val="32"/>
        </w:rPr>
        <w:t>省卫生健康委《关于印发2023年中央资金补助地方扩大国家免疫规划等29个重大传染病防控项目实施方案的通知》（</w:t>
      </w:r>
      <w:r>
        <w:rPr>
          <w:rFonts w:hint="eastAsia" w:ascii="仿宋_GB2312" w:hAnsi="仿宋_GB2312" w:eastAsia="仿宋_GB2312" w:cs="仿宋_GB2312"/>
          <w:sz w:val="32"/>
          <w:szCs w:val="32"/>
          <w:shd w:val="clear" w:color="auto" w:fill="FFFFFF"/>
        </w:rPr>
        <w:t>甘卫疾控函〔202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18</w:t>
      </w:r>
      <w:r>
        <w:rPr>
          <w:rFonts w:hint="eastAsia" w:ascii="仿宋_GB2312" w:hAnsi="仿宋_GB2312" w:eastAsia="仿宋_GB2312" w:cs="仿宋_GB2312"/>
          <w:sz w:val="32"/>
          <w:szCs w:val="32"/>
          <w:shd w:val="clear" w:color="auto" w:fill="FFFFFF"/>
        </w:rPr>
        <w:t>号</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，新区开展病媒生物监测项目。</w:t>
      </w:r>
    </w:p>
    <w:p w14:paraId="6AEF32DF">
      <w:pPr>
        <w:overflowPunct w:val="0"/>
        <w:adjustRightInd w:val="0"/>
        <w:spacing w:line="580" w:lineRule="exact"/>
        <w:ind w:firstLine="640" w:firstLineChars="200"/>
        <w:rPr>
          <w:rFonts w:hint="eastAsia" w:ascii="仿宋_GB2312" w:eastAsia="仿宋_GB2312"/>
          <w:sz w:val="32"/>
          <w:szCs w:val="32"/>
        </w:rPr>
      </w:pPr>
      <w:r>
        <w:rPr>
          <w:rFonts w:hint="eastAsia" w:ascii="楷体" w:hAnsi="楷体" w:eastAsia="楷体"/>
          <w:sz w:val="32"/>
          <w:szCs w:val="32"/>
        </w:rPr>
        <w:t>(二）项目绩效目标情况。</w:t>
      </w:r>
      <w:r>
        <w:rPr>
          <w:rFonts w:hint="eastAsia" w:ascii="仿宋_GB2312" w:hAnsi="仿宋" w:eastAsia="仿宋_GB2312" w:cs="Times New Roman"/>
          <w:sz w:val="32"/>
          <w:szCs w:val="32"/>
          <w:lang w:eastAsia="zh-CN"/>
        </w:rPr>
        <w:t>新区</w:t>
      </w:r>
      <w:r>
        <w:rPr>
          <w:rFonts w:hint="eastAsia" w:ascii="仿宋_GB2312" w:hAnsi="仿宋" w:eastAsia="仿宋_GB2312"/>
          <w:sz w:val="32"/>
          <w:szCs w:val="32"/>
        </w:rPr>
        <w:t>疾控中心按照病媒生物监控网络平台分层任务要求，突出国家级监测点工作优先发展、其他监测点填平补齐原则，建立健全</w:t>
      </w:r>
      <w:r>
        <w:rPr>
          <w:rFonts w:hint="eastAsia" w:ascii="仿宋_GB2312" w:hAnsi="仿宋" w:eastAsia="仿宋_GB2312"/>
          <w:sz w:val="32"/>
          <w:szCs w:val="32"/>
          <w:lang w:eastAsia="zh-CN"/>
        </w:rPr>
        <w:t>新区</w:t>
      </w:r>
      <w:r>
        <w:rPr>
          <w:rFonts w:hint="eastAsia" w:ascii="仿宋_GB2312" w:hAnsi="仿宋" w:eastAsia="仿宋_GB2312"/>
          <w:sz w:val="32"/>
          <w:szCs w:val="32"/>
        </w:rPr>
        <w:t>疾控病媒生物生态学、病原学、抗药性监测与控制数据直报网络平台构建工作。</w:t>
      </w:r>
    </w:p>
    <w:p w14:paraId="65512F19">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二、项目实施及管理情况</w:t>
      </w:r>
    </w:p>
    <w:p w14:paraId="3D9E6D96">
      <w:pPr>
        <w:overflowPunct w:val="0"/>
        <w:spacing w:line="560" w:lineRule="exact"/>
        <w:ind w:firstLine="640" w:firstLineChars="200"/>
        <w:rPr>
          <w:rFonts w:hint="eastAsia" w:ascii="仿宋_GB2312" w:eastAsia="仿宋_GB2312"/>
          <w:sz w:val="32"/>
          <w:szCs w:val="32"/>
        </w:rPr>
      </w:pPr>
      <w:r>
        <w:rPr>
          <w:rFonts w:hint="eastAsia" w:ascii="楷体_GB2312" w:hAnsi="仿宋_GB2312" w:eastAsia="楷体_GB2312" w:cs="仿宋_GB2312"/>
          <w:sz w:val="32"/>
        </w:rPr>
        <w:t>（一）组织管理方面。</w:t>
      </w:r>
      <w:r>
        <w:rPr>
          <w:rFonts w:hint="eastAsia" w:ascii="仿宋_GB2312" w:hAnsi="仿宋" w:eastAsia="仿宋_GB2312"/>
          <w:sz w:val="32"/>
          <w:szCs w:val="32"/>
          <w:lang w:eastAsia="zh-CN"/>
        </w:rPr>
        <w:t>新区</w:t>
      </w:r>
      <w:r>
        <w:rPr>
          <w:rFonts w:hint="eastAsia" w:ascii="仿宋_GB2312" w:hAnsi="仿宋" w:eastAsia="仿宋_GB2312"/>
          <w:sz w:val="32"/>
          <w:szCs w:val="32"/>
        </w:rPr>
        <w:t>卫生健康委根据项目管理需要，对项目实施情况、经费使用和取得的效果进行督导评估。</w:t>
      </w:r>
      <w:r>
        <w:rPr>
          <w:rFonts w:hint="eastAsia" w:ascii="仿宋_GB2312" w:hAnsi="仿宋" w:eastAsia="仿宋_GB2312"/>
          <w:sz w:val="32"/>
          <w:szCs w:val="32"/>
          <w:lang w:eastAsia="zh-CN"/>
        </w:rPr>
        <w:t>新区</w:t>
      </w:r>
      <w:r>
        <w:rPr>
          <w:rFonts w:hint="eastAsia" w:ascii="仿宋_GB2312" w:hAnsi="仿宋" w:eastAsia="仿宋_GB2312"/>
          <w:sz w:val="32"/>
          <w:szCs w:val="32"/>
        </w:rPr>
        <w:t>疾控中心按照承担监测任务，逐级上报监测任务完成情况总结。</w:t>
      </w:r>
    </w:p>
    <w:p w14:paraId="3C028A58">
      <w:pPr>
        <w:spacing w:line="560" w:lineRule="exact"/>
        <w:ind w:firstLine="640" w:firstLineChars="200"/>
        <w:rPr>
          <w:rFonts w:hint="eastAsia" w:ascii="仿宋_GB2312" w:hAnsi="仿宋" w:eastAsia="仿宋_GB2312" w:cs="Times New Roman"/>
          <w:sz w:val="32"/>
          <w:szCs w:val="32"/>
        </w:rPr>
      </w:pPr>
      <w:r>
        <w:rPr>
          <w:rFonts w:hint="eastAsia" w:ascii="楷体_GB2312" w:eastAsia="楷体_GB2312"/>
          <w:sz w:val="32"/>
          <w:szCs w:val="28"/>
        </w:rPr>
        <w:t>（二）资金安排。</w:t>
      </w:r>
      <w:r>
        <w:rPr>
          <w:rFonts w:hint="eastAsia" w:ascii="仿宋_GB2312" w:eastAsia="仿宋_GB2312"/>
          <w:sz w:val="32"/>
          <w:szCs w:val="28"/>
        </w:rPr>
        <w:t>202</w:t>
      </w:r>
      <w:r>
        <w:rPr>
          <w:rFonts w:hint="eastAsia" w:ascii="仿宋_GB2312" w:eastAsia="仿宋_GB2312"/>
          <w:sz w:val="32"/>
          <w:szCs w:val="28"/>
          <w:lang w:val="en-US" w:eastAsia="zh-CN"/>
        </w:rPr>
        <w:t>3</w:t>
      </w:r>
      <w:r>
        <w:rPr>
          <w:rFonts w:hint="eastAsia" w:ascii="仿宋_GB2312" w:eastAsia="仿宋_GB2312"/>
          <w:sz w:val="32"/>
          <w:szCs w:val="28"/>
        </w:rPr>
        <w:t>年本项目下达</w:t>
      </w:r>
      <w:r>
        <w:rPr>
          <w:rFonts w:hint="eastAsia" w:ascii="仿宋_GB2312" w:eastAsia="仿宋_GB2312"/>
          <w:sz w:val="32"/>
          <w:szCs w:val="28"/>
          <w:lang w:eastAsia="zh-CN"/>
        </w:rPr>
        <w:t>中央转移支付</w:t>
      </w:r>
      <w:r>
        <w:rPr>
          <w:rFonts w:hint="eastAsia" w:ascii="仿宋_GB2312" w:eastAsia="仿宋_GB2312"/>
          <w:sz w:val="32"/>
          <w:szCs w:val="28"/>
        </w:rPr>
        <w:t>专项资金</w:t>
      </w:r>
      <w:r>
        <w:rPr>
          <w:rFonts w:hint="eastAsia" w:ascii="仿宋_GB2312" w:eastAsia="仿宋_GB2312"/>
          <w:sz w:val="32"/>
          <w:szCs w:val="28"/>
          <w:lang w:val="en-US" w:eastAsia="zh-CN"/>
        </w:rPr>
        <w:t>0.5</w:t>
      </w:r>
      <w:r>
        <w:rPr>
          <w:rFonts w:hint="eastAsia" w:ascii="仿宋_GB2312" w:eastAsia="仿宋_GB2312"/>
          <w:sz w:val="32"/>
          <w:szCs w:val="28"/>
        </w:rPr>
        <w:t>万元，</w:t>
      </w:r>
      <w:r>
        <w:rPr>
          <w:rFonts w:hint="eastAsia" w:ascii="仿宋_GB2312" w:hAnsi="仿宋" w:eastAsia="仿宋_GB2312" w:cs="Times New Roman"/>
          <w:sz w:val="32"/>
          <w:szCs w:val="32"/>
        </w:rPr>
        <w:t>主要用于</w:t>
      </w:r>
      <w:r>
        <w:rPr>
          <w:rFonts w:hint="eastAsia" w:ascii="仿宋_GB2312" w:hAnsi="仿宋" w:eastAsia="仿宋_GB2312" w:cs="Times New Roman"/>
          <w:sz w:val="32"/>
          <w:szCs w:val="32"/>
          <w:lang w:eastAsia="zh-CN"/>
        </w:rPr>
        <w:t>病媒生物生态学监测；病媒生物病原学监测（蚊虫和鼠类）。</w:t>
      </w:r>
    </w:p>
    <w:p w14:paraId="49E5106D">
      <w:pPr>
        <w:spacing w:line="560" w:lineRule="exact"/>
        <w:rPr>
          <w:rFonts w:hint="eastAsia" w:ascii="黑体" w:hAnsi="黑体" w:eastAsia="黑体"/>
          <w:sz w:val="32"/>
          <w:szCs w:val="32"/>
        </w:rPr>
      </w:pPr>
      <w:r>
        <w:rPr>
          <w:rFonts w:hint="eastAsia" w:ascii="黑体" w:hAnsi="黑体" w:eastAsia="黑体"/>
          <w:sz w:val="32"/>
          <w:szCs w:val="32"/>
        </w:rPr>
        <w:t>三、项目绩效自评开展情况</w:t>
      </w:r>
    </w:p>
    <w:p w14:paraId="08E12839">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新区卫健委高度重视疾控类项目绩效自评工作，自任务下达以来，专门召开会议传达上级要求，结合202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年年初工作计划，认真组织自评报告。</w:t>
      </w:r>
    </w:p>
    <w:p w14:paraId="725C42A9">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四、项目目标实现情况分析</w:t>
      </w:r>
    </w:p>
    <w:p w14:paraId="271E5AF9">
      <w:pPr>
        <w:spacing w:line="560" w:lineRule="exact"/>
        <w:ind w:firstLine="640" w:firstLineChars="200"/>
        <w:rPr>
          <w:rFonts w:hint="eastAsia" w:ascii="仿宋_GB2312" w:hAnsi="仿宋" w:eastAsia="仿宋_GB2312"/>
          <w:sz w:val="32"/>
          <w:szCs w:val="32"/>
          <w:lang w:eastAsia="zh-CN"/>
        </w:rPr>
      </w:pPr>
      <w:r>
        <w:rPr>
          <w:rFonts w:hint="eastAsia" w:ascii="仿宋_GB2312" w:hAnsi="仿宋_GB2312" w:eastAsia="仿宋_GB2312" w:cs="仿宋_GB2312"/>
          <w:sz w:val="32"/>
          <w:szCs w:val="32"/>
          <w:lang w:val="en-US" w:eastAsia="zh-CN"/>
        </w:rPr>
        <w:t>新区</w:t>
      </w:r>
      <w:r>
        <w:rPr>
          <w:rFonts w:hint="eastAsia" w:ascii="仿宋_GB2312" w:hAnsi="仿宋" w:eastAsia="仿宋_GB2312"/>
          <w:sz w:val="32"/>
          <w:szCs w:val="32"/>
        </w:rPr>
        <w:t>病媒生物监测与控制工作能力</w:t>
      </w:r>
      <w:r>
        <w:rPr>
          <w:rFonts w:hint="eastAsia" w:ascii="仿宋_GB2312" w:hAnsi="仿宋" w:eastAsia="仿宋_GB2312"/>
          <w:sz w:val="32"/>
          <w:szCs w:val="32"/>
          <w:lang w:eastAsia="zh-CN"/>
        </w:rPr>
        <w:t>提升</w:t>
      </w:r>
    </w:p>
    <w:p w14:paraId="2BD2669A">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五、结论</w:t>
      </w:r>
    </w:p>
    <w:p w14:paraId="2812A11C">
      <w:pPr>
        <w:spacing w:line="560" w:lineRule="exact"/>
        <w:ind w:firstLine="640" w:firstLineChars="200"/>
        <w:rPr>
          <w:rFonts w:hint="eastAsia" w:ascii="楷体_GB2312" w:hAnsi="楷体" w:eastAsia="楷体_GB2312"/>
          <w:sz w:val="32"/>
          <w:szCs w:val="32"/>
        </w:rPr>
      </w:pPr>
      <w:r>
        <w:rPr>
          <w:rFonts w:hint="eastAsia" w:ascii="楷体_GB2312" w:hAnsi="楷体" w:eastAsia="楷体_GB2312"/>
          <w:sz w:val="32"/>
          <w:szCs w:val="32"/>
        </w:rPr>
        <w:t>(一）主要指标情况及结论。</w:t>
      </w:r>
    </w:p>
    <w:p w14:paraId="428CB87F">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1.主要指标情况。</w:t>
      </w:r>
    </w:p>
    <w:p w14:paraId="246C88F4">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资金执行分值10分，项目保障经费全部及时拨付到位，资金分配合理，项目执行率100%，实际得分10分。</w:t>
      </w:r>
    </w:p>
    <w:p w14:paraId="5863B110">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产出一级指标50分，实际得分50分。项目全部按计划完成任务，整体进度合理，项目质量达到与其目标，达标率100%。</w:t>
      </w:r>
    </w:p>
    <w:p w14:paraId="6097BA22">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效益一级指标30分，实际得分30分。项目整体社会效益较高，后期具有显著可持续性。</w:t>
      </w:r>
    </w:p>
    <w:p w14:paraId="2AFC8858">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满意度一级指标10分，实际得分10分，受益群众满意度达95%以上。</w:t>
      </w:r>
    </w:p>
    <w:p w14:paraId="334EAAF3">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2.结论</w:t>
      </w:r>
    </w:p>
    <w:p w14:paraId="4FCBF3B8">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项目整体完成情况较好，预算执行率高，较好的完成了年度目标任务。</w:t>
      </w:r>
    </w:p>
    <w:p w14:paraId="7AA04922">
      <w:pPr>
        <w:spacing w:line="560" w:lineRule="exact"/>
        <w:rPr>
          <w:rFonts w:hint="eastAsia" w:ascii="楷体" w:hAnsi="楷体" w:eastAsia="楷体" w:cs="楷体"/>
          <w:color w:val="000000"/>
          <w:spacing w:val="0"/>
          <w:w w:val="100"/>
          <w:position w:val="0"/>
          <w:sz w:val="32"/>
          <w:szCs w:val="32"/>
          <w:lang w:val="en-US" w:eastAsia="zh-CN"/>
        </w:rPr>
      </w:pPr>
    </w:p>
    <w:p w14:paraId="5A173693">
      <w:pPr>
        <w:spacing w:line="560" w:lineRule="exact"/>
        <w:rPr>
          <w:rFonts w:hint="eastAsia" w:ascii="楷体" w:hAnsi="楷体" w:eastAsia="楷体" w:cs="楷体"/>
          <w:sz w:val="32"/>
          <w:szCs w:val="32"/>
        </w:rPr>
      </w:pPr>
      <w:r>
        <w:rPr>
          <w:rFonts w:hint="eastAsia" w:ascii="楷体" w:hAnsi="楷体" w:eastAsia="楷体" w:cs="楷体"/>
          <w:color w:val="000000"/>
          <w:spacing w:val="0"/>
          <w:w w:val="100"/>
          <w:position w:val="0"/>
          <w:sz w:val="32"/>
          <w:szCs w:val="32"/>
          <w:lang w:val="en-US" w:eastAsia="zh-CN"/>
        </w:rPr>
        <w:t>2023年</w:t>
      </w:r>
      <w:r>
        <w:rPr>
          <w:rFonts w:hint="eastAsia" w:ascii="楷体" w:hAnsi="楷体" w:eastAsia="楷体" w:cs="楷体"/>
          <w:color w:val="000000"/>
          <w:spacing w:val="0"/>
          <w:w w:val="100"/>
          <w:position w:val="0"/>
          <w:sz w:val="32"/>
          <w:szCs w:val="32"/>
          <w:lang w:eastAsia="zh-CN"/>
        </w:rPr>
        <w:t>手足口病防治项目</w:t>
      </w:r>
    </w:p>
    <w:p w14:paraId="174A06F9">
      <w:pPr>
        <w:pStyle w:val="42"/>
        <w:keepNext w:val="0"/>
        <w:keepLines w:val="0"/>
        <w:pageBreakBefore w:val="0"/>
        <w:widowControl w:val="0"/>
        <w:shd w:val="clear" w:color="auto" w:fill="auto"/>
        <w:kinsoku/>
        <w:wordWrap/>
        <w:overflowPunct/>
        <w:topLinePunct w:val="0"/>
        <w:autoSpaceDE/>
        <w:autoSpaceDN/>
        <w:bidi w:val="0"/>
        <w:spacing w:before="0" w:after="0" w:line="560" w:lineRule="exact"/>
        <w:ind w:right="0"/>
        <w:jc w:val="both"/>
        <w:textAlignment w:val="auto"/>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一、项目基本情况</w:t>
      </w:r>
    </w:p>
    <w:p w14:paraId="7192DB6A">
      <w:pPr>
        <w:keepNext w:val="0"/>
        <w:keepLines w:val="0"/>
        <w:pageBreakBefore w:val="0"/>
        <w:widowControl w:val="0"/>
        <w:numPr>
          <w:ilvl w:val="0"/>
          <w:numId w:val="0"/>
        </w:numPr>
        <w:kinsoku/>
        <w:wordWrap/>
        <w:overflowPunct/>
        <w:topLinePunct w:val="0"/>
        <w:autoSpaceDE/>
        <w:autoSpaceDN/>
        <w:bidi w:val="0"/>
        <w:adjustRightInd w:val="0"/>
        <w:spacing w:line="560" w:lineRule="exact"/>
        <w:ind w:right="0" w:rightChars="0" w:firstLine="640" w:firstLineChars="200"/>
        <w:jc w:val="both"/>
        <w:textAlignment w:val="auto"/>
        <w:rPr>
          <w:rFonts w:hint="eastAsia" w:ascii="仿宋_GB2312" w:hAnsi="仿宋_GB2312" w:eastAsia="仿宋_GB2312" w:cs="仿宋_GB2312"/>
          <w:color w:val="000000"/>
          <w:spacing w:val="0"/>
          <w:w w:val="100"/>
          <w:position w:val="0"/>
          <w:sz w:val="32"/>
          <w:szCs w:val="32"/>
        </w:rPr>
      </w:pPr>
      <w:r>
        <w:rPr>
          <w:rFonts w:hint="eastAsia" w:ascii="楷体" w:hAnsi="楷体" w:eastAsia="楷体" w:cs="楷体"/>
          <w:color w:val="000000"/>
          <w:spacing w:val="0"/>
          <w:w w:val="100"/>
          <w:position w:val="0"/>
          <w:sz w:val="32"/>
          <w:szCs w:val="32"/>
          <w:lang w:eastAsia="zh-CN"/>
        </w:rPr>
        <w:t>（一）</w:t>
      </w:r>
      <w:r>
        <w:rPr>
          <w:rFonts w:hint="eastAsia" w:ascii="楷体" w:hAnsi="楷体" w:eastAsia="楷体" w:cs="楷体"/>
          <w:color w:val="000000"/>
          <w:spacing w:val="0"/>
          <w:w w:val="100"/>
          <w:position w:val="0"/>
          <w:sz w:val="32"/>
          <w:szCs w:val="32"/>
        </w:rPr>
        <w:t>项目概况。</w:t>
      </w:r>
      <w:r>
        <w:rPr>
          <w:rFonts w:hint="eastAsia" w:ascii="仿宋_GB2312" w:hAnsi="仿宋_GB2312" w:eastAsia="仿宋_GB2312" w:cs="仿宋_GB2312"/>
          <w:color w:val="000000"/>
          <w:spacing w:val="0"/>
          <w:w w:val="100"/>
          <w:position w:val="0"/>
          <w:sz w:val="32"/>
          <w:szCs w:val="32"/>
          <w:lang w:eastAsia="zh-CN"/>
        </w:rPr>
        <w:t>项目执行主体为兰州新区卫生健康委，项目覆盖新区辖区所有园区及乡镇。</w:t>
      </w:r>
    </w:p>
    <w:p w14:paraId="285F519C">
      <w:pPr>
        <w:keepNext w:val="0"/>
        <w:keepLines w:val="0"/>
        <w:pageBreakBefore w:val="0"/>
        <w:widowControl w:val="0"/>
        <w:numPr>
          <w:ilvl w:val="0"/>
          <w:numId w:val="0"/>
        </w:numPr>
        <w:kinsoku/>
        <w:wordWrap/>
        <w:overflowPunct/>
        <w:topLinePunct w:val="0"/>
        <w:autoSpaceDE/>
        <w:autoSpaceDN/>
        <w:bidi w:val="0"/>
        <w:adjustRightInd w:val="0"/>
        <w:spacing w:line="56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spacing w:val="0"/>
          <w:w w:val="100"/>
          <w:position w:val="0"/>
          <w:sz w:val="32"/>
          <w:szCs w:val="32"/>
          <w:lang w:eastAsia="zh-CN"/>
        </w:rPr>
        <w:t>（二）</w:t>
      </w:r>
      <w:r>
        <w:rPr>
          <w:rFonts w:hint="eastAsia" w:ascii="楷体" w:hAnsi="楷体" w:eastAsia="楷体" w:cs="楷体"/>
          <w:color w:val="000000"/>
          <w:spacing w:val="0"/>
          <w:w w:val="100"/>
          <w:position w:val="0"/>
          <w:sz w:val="32"/>
          <w:szCs w:val="32"/>
        </w:rPr>
        <w:t>项目绩效目标情况。</w:t>
      </w:r>
      <w:r>
        <w:rPr>
          <w:rFonts w:hint="eastAsia" w:ascii="仿宋_GB2312" w:hAnsi="仿宋_GB2312" w:eastAsia="仿宋_GB2312" w:cs="仿宋_GB2312"/>
          <w:color w:val="000000"/>
          <w:spacing w:val="0"/>
          <w:w w:val="100"/>
          <w:position w:val="0"/>
          <w:sz w:val="32"/>
          <w:szCs w:val="32"/>
          <w:lang w:eastAsia="zh-CN"/>
        </w:rPr>
        <w:t>项目的实施旨在</w:t>
      </w:r>
      <w:r>
        <w:rPr>
          <w:rFonts w:hint="eastAsia" w:ascii="仿宋_GB2312" w:hAnsi="仿宋_GB2312" w:eastAsia="仿宋_GB2312" w:cs="仿宋_GB2312"/>
          <w:sz w:val="32"/>
          <w:szCs w:val="32"/>
        </w:rPr>
        <w:t>最大限度</w:t>
      </w:r>
      <w:r>
        <w:rPr>
          <w:rFonts w:hint="eastAsia" w:ascii="仿宋_GB2312" w:hAnsi="仿宋_GB2312" w:eastAsia="仿宋_GB2312" w:cs="仿宋_GB2312"/>
          <w:sz w:val="32"/>
          <w:szCs w:val="32"/>
          <w:lang w:eastAsia="zh-CN"/>
        </w:rPr>
        <w:t>及时发现手足口病，实现新区层面与各园区联动，及时</w:t>
      </w:r>
      <w:r>
        <w:rPr>
          <w:rFonts w:hint="eastAsia" w:ascii="仿宋_GB2312" w:hAnsi="仿宋_GB2312" w:eastAsia="仿宋_GB2312" w:cs="仿宋_GB2312"/>
          <w:sz w:val="32"/>
          <w:szCs w:val="32"/>
        </w:rPr>
        <w:t>有效控制</w:t>
      </w:r>
      <w:r>
        <w:rPr>
          <w:rFonts w:hint="eastAsia" w:ascii="仿宋_GB2312" w:hAnsi="仿宋_GB2312" w:eastAsia="仿宋_GB2312" w:cs="仿宋_GB2312"/>
          <w:sz w:val="32"/>
          <w:szCs w:val="32"/>
          <w:lang w:eastAsia="zh-CN"/>
        </w:rPr>
        <w:t>手足口病</w:t>
      </w:r>
      <w:r>
        <w:rPr>
          <w:rFonts w:hint="eastAsia" w:ascii="仿宋_GB2312" w:hAnsi="仿宋_GB2312" w:eastAsia="仿宋_GB2312" w:cs="仿宋_GB2312"/>
          <w:sz w:val="32"/>
          <w:szCs w:val="32"/>
        </w:rPr>
        <w:t>传播，</w:t>
      </w:r>
      <w:r>
        <w:rPr>
          <w:rFonts w:hint="eastAsia" w:ascii="仿宋_GB2312" w:hAnsi="仿宋_GB2312" w:eastAsia="仿宋_GB2312" w:cs="仿宋_GB2312"/>
          <w:sz w:val="32"/>
          <w:szCs w:val="32"/>
          <w:lang w:eastAsia="zh-CN"/>
        </w:rPr>
        <w:t>及早发现重症和危重病例，降低死亡率。通过与教育等部门的密切协作，严格控制托幼机构、学校疫情，维护正常的教学秩序和社会秩序。</w:t>
      </w:r>
    </w:p>
    <w:p w14:paraId="7CBBF9E6">
      <w:pPr>
        <w:pStyle w:val="42"/>
        <w:keepNext w:val="0"/>
        <w:keepLines w:val="0"/>
        <w:pageBreakBefore w:val="0"/>
        <w:widowControl w:val="0"/>
        <w:shd w:val="clear" w:color="auto" w:fill="auto"/>
        <w:kinsoku/>
        <w:wordWrap/>
        <w:overflowPunct/>
        <w:topLinePunct w:val="0"/>
        <w:autoSpaceDE/>
        <w:autoSpaceDN/>
        <w:bidi w:val="0"/>
        <w:spacing w:before="0" w:after="0" w:line="560" w:lineRule="exact"/>
        <w:ind w:right="0"/>
        <w:jc w:val="both"/>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二</w:t>
      </w:r>
      <w:r>
        <w:rPr>
          <w:rFonts w:hint="eastAsia" w:ascii="黑体" w:hAnsi="黑体" w:eastAsia="黑体" w:cs="黑体"/>
          <w:color w:val="000000"/>
          <w:spacing w:val="0"/>
          <w:w w:val="100"/>
          <w:position w:val="0"/>
          <w:sz w:val="32"/>
          <w:szCs w:val="32"/>
          <w:lang w:eastAsia="zh-CN"/>
        </w:rPr>
        <w:t>、</w:t>
      </w:r>
      <w:r>
        <w:rPr>
          <w:rFonts w:hint="eastAsia" w:ascii="黑体" w:hAnsi="黑体" w:eastAsia="黑体" w:cs="黑体"/>
          <w:color w:val="000000"/>
          <w:spacing w:val="0"/>
          <w:w w:val="100"/>
          <w:position w:val="0"/>
          <w:sz w:val="32"/>
          <w:szCs w:val="32"/>
        </w:rPr>
        <w:t>项目实施及管理情况</w:t>
      </w:r>
    </w:p>
    <w:p w14:paraId="52AED923">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（一）资金到位情况。</w:t>
      </w:r>
    </w:p>
    <w:p w14:paraId="44928E5F">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lang w:val="en-US" w:eastAsia="zh-CN"/>
        </w:rPr>
        <w:t>2023年新区共收到中央转移支付手足口病项目资金1万元。</w:t>
      </w:r>
    </w:p>
    <w:p w14:paraId="388F41BC">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（二）项目开展情况。</w:t>
      </w:r>
    </w:p>
    <w:p w14:paraId="620349D5">
      <w:pPr>
        <w:keepNext w:val="0"/>
        <w:keepLines w:val="0"/>
        <w:pageBreakBefore w:val="0"/>
        <w:widowControl w:val="0"/>
        <w:kinsoku/>
        <w:wordWrap/>
        <w:overflowPunct/>
        <w:topLinePunct w:val="0"/>
        <w:autoSpaceDE/>
        <w:autoSpaceDN/>
        <w:bidi w:val="0"/>
        <w:spacing w:after="0"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思想上高度重视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年初</w:t>
      </w:r>
      <w:r>
        <w:rPr>
          <w:rFonts w:hint="eastAsia" w:ascii="仿宋_GB2312" w:hAnsi="仿宋_GB2312" w:eastAsia="仿宋_GB2312" w:cs="仿宋_GB2312"/>
          <w:sz w:val="32"/>
          <w:szCs w:val="32"/>
          <w:lang w:val="zh-CN" w:eastAsia="zh-CN"/>
        </w:rPr>
        <w:t>兰州新区卫生健康委将手足口病防治纳入各医疗卫生机构绩效考核目标责任，</w:t>
      </w:r>
      <w:r>
        <w:rPr>
          <w:rFonts w:hint="eastAsia" w:ascii="仿宋_GB2312" w:hAnsi="仿宋_GB2312" w:eastAsia="仿宋_GB2312" w:cs="仿宋_GB2312"/>
          <w:sz w:val="32"/>
          <w:szCs w:val="32"/>
          <w:lang w:eastAsia="zh-CN"/>
        </w:rPr>
        <w:t>从组织机制、疫情发现和调查处置、健康教育等方面进行了安排部署。</w:t>
      </w:r>
    </w:p>
    <w:p w14:paraId="516AEDF4">
      <w:pPr>
        <w:keepNext w:val="0"/>
        <w:keepLines w:val="0"/>
        <w:pageBreakBefore w:val="0"/>
        <w:widowControl w:val="0"/>
        <w:kinsoku/>
        <w:wordWrap/>
        <w:overflowPunct/>
        <w:topLinePunct w:val="0"/>
        <w:autoSpaceDE/>
        <w:autoSpaceDN/>
        <w:bidi w:val="0"/>
        <w:spacing w:after="0"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加强</w:t>
      </w:r>
      <w:r>
        <w:rPr>
          <w:rFonts w:hint="eastAsia" w:ascii="仿宋_GB2312" w:hAnsi="仿宋_GB2312" w:eastAsia="仿宋_GB2312" w:cs="仿宋_GB2312"/>
          <w:b/>
          <w:bCs/>
          <w:sz w:val="32"/>
          <w:szCs w:val="32"/>
          <w:lang w:eastAsia="zh-CN"/>
        </w:rPr>
        <w:t>疫情信息利用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新区疾控中心建立了新区疾控工作群、新区网络直报群、新区中小学卫生群等，积极</w:t>
      </w:r>
      <w:r>
        <w:rPr>
          <w:rFonts w:hint="eastAsia" w:ascii="仿宋_GB2312" w:hAnsi="仿宋_GB2312" w:eastAsia="仿宋_GB2312" w:cs="仿宋_GB2312"/>
          <w:sz w:val="32"/>
          <w:szCs w:val="32"/>
        </w:rPr>
        <w:t>推动</w:t>
      </w:r>
      <w:r>
        <w:rPr>
          <w:rFonts w:hint="eastAsia" w:ascii="仿宋_GB2312" w:hAnsi="仿宋_GB2312" w:eastAsia="仿宋_GB2312" w:cs="仿宋_GB2312"/>
          <w:sz w:val="32"/>
          <w:szCs w:val="32"/>
          <w:lang w:eastAsia="zh-CN"/>
        </w:rPr>
        <w:t>疾控与医疗机构、卫生机构与园区卫健局、卫生部门与中小学机构的防疫联系。通过工作群推送手足口病防治工作要点，非涉密疫情防控信息，及时提醒辖区卫生、教育及社区做好手足口病防治工作。</w:t>
      </w:r>
    </w:p>
    <w:p w14:paraId="53168265">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 w:hAnsi="仿宋" w:eastAsia="仿宋" w:cs="仿宋"/>
          <w:sz w:val="32"/>
          <w:szCs w:val="32"/>
          <w:lang w:val="en-US" w:eastAsia="zh-CN"/>
        </w:rPr>
      </w:pPr>
      <w:r>
        <w:rPr>
          <w:rFonts w:hint="eastAsia" w:ascii="仿宋_GB2312" w:hAnsi="仿宋_GB2312" w:eastAsia="仿宋_GB2312" w:cs="仿宋_GB2312"/>
          <w:b/>
          <w:bCs/>
          <w:sz w:val="32"/>
          <w:szCs w:val="32"/>
          <w:highlight w:val="none"/>
          <w:lang w:val="en-US" w:eastAsia="zh-CN"/>
        </w:rPr>
        <w:t>3.</w:t>
      </w:r>
      <w:r>
        <w:rPr>
          <w:rFonts w:hint="eastAsia" w:ascii="仿宋_GB2312" w:hAnsi="仿宋_GB2312" w:eastAsia="仿宋_GB2312" w:cs="仿宋_GB2312"/>
          <w:b/>
          <w:bCs/>
          <w:sz w:val="32"/>
          <w:szCs w:val="32"/>
          <w:highlight w:val="none"/>
        </w:rPr>
        <w:t>加强</w:t>
      </w:r>
      <w:r>
        <w:rPr>
          <w:rFonts w:hint="eastAsia" w:ascii="仿宋_GB2312" w:hAnsi="仿宋_GB2312" w:eastAsia="仿宋_GB2312" w:cs="仿宋_GB2312"/>
          <w:b/>
          <w:bCs/>
          <w:sz w:val="32"/>
          <w:szCs w:val="32"/>
          <w:highlight w:val="none"/>
          <w:lang w:eastAsia="zh-CN"/>
        </w:rPr>
        <w:t>聚集性手足口疫情的处置工作</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结合新区实际，新区卫生健康委、疾控中心指导各园区卫健局、医疗卫生机构</w:t>
      </w:r>
      <w:r>
        <w:rPr>
          <w:rFonts w:hint="eastAsia" w:ascii="仿宋_GB2312" w:hAnsi="仿宋_GB2312" w:eastAsia="仿宋_GB2312" w:cs="仿宋_GB2312"/>
          <w:sz w:val="32"/>
          <w:szCs w:val="32"/>
          <w:highlight w:val="none"/>
        </w:rPr>
        <w:t>对</w:t>
      </w:r>
      <w:r>
        <w:rPr>
          <w:rFonts w:hint="eastAsia" w:ascii="仿宋_GB2312" w:hAnsi="仿宋_GB2312" w:eastAsia="仿宋_GB2312" w:cs="仿宋_GB2312"/>
          <w:sz w:val="32"/>
          <w:szCs w:val="32"/>
          <w:highlight w:val="none"/>
          <w:lang w:eastAsia="zh-CN"/>
        </w:rPr>
        <w:t>发生在托幼机构的手足口病疫情进行现场督导，督促托幼机构、学校做好疫情防控制度，消毒隔离制度、因病缺课追踪制度等，落实《手足口病预防控制指南（</w:t>
      </w:r>
      <w:r>
        <w:rPr>
          <w:rFonts w:hint="eastAsia" w:ascii="仿宋_GB2312" w:hAnsi="仿宋_GB2312" w:eastAsia="仿宋_GB2312" w:cs="仿宋_GB2312"/>
          <w:sz w:val="32"/>
          <w:szCs w:val="32"/>
          <w:highlight w:val="none"/>
          <w:lang w:val="en-US" w:eastAsia="zh-CN"/>
        </w:rPr>
        <w:t>2009版）》、《手足口病聚集性和暴发疫情处置工作规范（2012版）》各项要求。严格做好停班、停园措施，做好消毒和家长健康教育等。</w:t>
      </w:r>
    </w:p>
    <w:p w14:paraId="3A03E48C">
      <w:pPr>
        <w:pStyle w:val="42"/>
        <w:keepNext w:val="0"/>
        <w:keepLines w:val="0"/>
        <w:pageBreakBefore w:val="0"/>
        <w:widowControl w:val="0"/>
        <w:shd w:val="clear" w:color="auto" w:fill="auto"/>
        <w:kinsoku/>
        <w:wordWrap/>
        <w:overflowPunct/>
        <w:topLinePunct w:val="0"/>
        <w:autoSpaceDE/>
        <w:autoSpaceDN/>
        <w:bidi w:val="0"/>
        <w:spacing w:before="0" w:after="0" w:line="560" w:lineRule="exact"/>
        <w:ind w:right="0"/>
        <w:jc w:val="both"/>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三、项目绩效自评开展情况</w:t>
      </w:r>
    </w:p>
    <w:p w14:paraId="358EF1DE">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新区卫生健康委高度重视疾控类项目绩效自评估工作，专门召开会议传达上级要求，结合新区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2023年年初工作计划及对各单位目标责任书，</w:t>
      </w:r>
      <w:r>
        <w:rPr>
          <w:rFonts w:hint="eastAsia" w:ascii="仿宋_GB2312" w:hAnsi="仿宋_GB2312" w:eastAsia="仿宋_GB2312" w:cs="仿宋_GB2312"/>
          <w:color w:val="000000"/>
          <w:spacing w:val="0"/>
          <w:w w:val="100"/>
          <w:position w:val="0"/>
          <w:sz w:val="32"/>
          <w:szCs w:val="32"/>
          <w:lang w:eastAsia="zh-CN"/>
        </w:rPr>
        <w:t>认真组织自评报告。将此项工作纳入对各单位的考核指标，及时总结一年来工作成效，寻找短板和工作差距，为</w:t>
      </w:r>
      <w:r>
        <w:rPr>
          <w:rFonts w:hint="eastAsia" w:ascii="仿宋_GB2312" w:hAnsi="仿宋_GB2312" w:eastAsia="仿宋_GB2312" w:cs="仿宋_GB2312"/>
          <w:color w:val="000000"/>
          <w:spacing w:val="0"/>
          <w:w w:val="100"/>
          <w:position w:val="0"/>
          <w:sz w:val="32"/>
          <w:szCs w:val="32"/>
          <w:lang w:val="en-US" w:eastAsia="zh-CN"/>
        </w:rPr>
        <w:t>2023年各项工作提供依据。</w:t>
      </w:r>
    </w:p>
    <w:p w14:paraId="5A8BE707">
      <w:pPr>
        <w:pStyle w:val="42"/>
        <w:keepNext w:val="0"/>
        <w:keepLines w:val="0"/>
        <w:pageBreakBefore w:val="0"/>
        <w:widowControl w:val="0"/>
        <w:shd w:val="clear" w:color="auto" w:fill="auto"/>
        <w:kinsoku/>
        <w:wordWrap/>
        <w:overflowPunct/>
        <w:topLinePunct w:val="0"/>
        <w:autoSpaceDE/>
        <w:autoSpaceDN/>
        <w:bidi w:val="0"/>
        <w:spacing w:before="0" w:after="0" w:line="560" w:lineRule="exact"/>
        <w:ind w:right="0"/>
        <w:jc w:val="both"/>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四、</w:t>
      </w:r>
      <w:r>
        <w:rPr>
          <w:rFonts w:hint="eastAsia" w:ascii="黑体" w:hAnsi="黑体" w:eastAsia="黑体" w:cs="黑体"/>
          <w:color w:val="000000"/>
          <w:spacing w:val="0"/>
          <w:w w:val="100"/>
          <w:position w:val="0"/>
          <w:sz w:val="32"/>
          <w:szCs w:val="32"/>
        </w:rPr>
        <w:t>绩效目标完成情况分析</w:t>
      </w:r>
    </w:p>
    <w:p w14:paraId="65786784">
      <w:pPr>
        <w:pStyle w:val="43"/>
        <w:keepNext w:val="0"/>
        <w:keepLines w:val="0"/>
        <w:pageBreakBefore w:val="0"/>
        <w:widowControl w:val="0"/>
        <w:shd w:val="clear" w:color="auto" w:fill="auto"/>
        <w:kinsoku/>
        <w:wordWrap/>
        <w:overflowPunct/>
        <w:topLinePunct w:val="0"/>
        <w:autoSpaceDE/>
        <w:autoSpaceDN/>
        <w:bidi w:val="0"/>
        <w:spacing w:before="0" w:after="100" w:line="560" w:lineRule="exact"/>
        <w:ind w:right="0" w:firstLine="851" w:firstLineChars="266"/>
        <w:jc w:val="both"/>
        <w:textAlignment w:val="auto"/>
        <w:rPr>
          <w:rFonts w:hint="eastAsia" w:ascii="楷体" w:hAnsi="楷体" w:eastAsia="楷体" w:cs="楷体"/>
          <w:b w:val="0"/>
          <w:bCs w:val="0"/>
          <w:sz w:val="32"/>
          <w:szCs w:val="32"/>
        </w:rPr>
      </w:pPr>
      <w:r>
        <w:rPr>
          <w:rFonts w:hint="eastAsia" w:ascii="楷体" w:hAnsi="楷体" w:eastAsia="楷体" w:cs="楷体"/>
          <w:b w:val="0"/>
          <w:bCs w:val="0"/>
          <w:color w:val="000000"/>
          <w:spacing w:val="0"/>
          <w:w w:val="100"/>
          <w:position w:val="0"/>
          <w:sz w:val="32"/>
          <w:szCs w:val="32"/>
        </w:rPr>
        <w:t>（一）产出指标完成情况分析。</w:t>
      </w:r>
    </w:p>
    <w:p w14:paraId="42383FC8">
      <w:pPr>
        <w:keepNext w:val="0"/>
        <w:keepLines w:val="0"/>
        <w:pageBreakBefore w:val="0"/>
        <w:widowControl w:val="0"/>
        <w:kinsoku/>
        <w:wordWrap/>
        <w:overflowPunct/>
        <w:topLinePunct w:val="0"/>
        <w:autoSpaceDE/>
        <w:autoSpaceDN/>
        <w:bidi w:val="0"/>
        <w:spacing w:after="0" w:line="56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数量指标。</w:t>
      </w:r>
      <w:r>
        <w:rPr>
          <w:rFonts w:hint="eastAsia" w:ascii="仿宋_GB2312" w:hAnsi="仿宋_GB2312" w:eastAsia="仿宋_GB2312" w:cs="仿宋_GB2312"/>
          <w:color w:val="000000"/>
          <w:spacing w:val="0"/>
          <w:w w:val="100"/>
          <w:position w:val="0"/>
          <w:sz w:val="32"/>
          <w:szCs w:val="32"/>
          <w:u w:val="none"/>
          <w:shd w:val="clear" w:color="auto" w:fill="auto"/>
          <w:lang w:val="en-US" w:eastAsia="zh-CN" w:bidi="en-US"/>
        </w:rPr>
        <w:t>手足口病报告率、疫情处置率均达到100%。</w:t>
      </w:r>
    </w:p>
    <w:p w14:paraId="26AA4ADA">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质量指标。</w:t>
      </w:r>
      <w:r>
        <w:rPr>
          <w:rFonts w:hint="eastAsia" w:ascii="仿宋_GB2312" w:hAnsi="仿宋_GB2312" w:eastAsia="仿宋_GB2312" w:cs="仿宋_GB2312"/>
          <w:color w:val="000000"/>
          <w:spacing w:val="0"/>
          <w:w w:val="100"/>
          <w:position w:val="0"/>
          <w:sz w:val="32"/>
          <w:szCs w:val="32"/>
          <w:lang w:eastAsia="zh-CN"/>
        </w:rPr>
        <w:t>项目填写完整性，准确性均达到上级要求。</w:t>
      </w:r>
    </w:p>
    <w:p w14:paraId="71FE0043">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时效指标。</w:t>
      </w:r>
      <w:r>
        <w:rPr>
          <w:rFonts w:hint="eastAsia" w:ascii="仿宋_GB2312" w:hAnsi="仿宋_GB2312" w:eastAsia="仿宋_GB2312" w:cs="仿宋_GB2312"/>
          <w:color w:val="000000"/>
          <w:spacing w:val="0"/>
          <w:w w:val="100"/>
          <w:position w:val="0"/>
          <w:sz w:val="32"/>
          <w:szCs w:val="32"/>
          <w:lang w:eastAsia="zh-CN"/>
        </w:rPr>
        <w:t>均按照年初预期的</w:t>
      </w:r>
      <w:r>
        <w:rPr>
          <w:rFonts w:hint="eastAsia" w:ascii="仿宋_GB2312" w:hAnsi="仿宋_GB2312" w:eastAsia="仿宋_GB2312" w:cs="仿宋_GB2312"/>
          <w:color w:val="000000"/>
          <w:spacing w:val="0"/>
          <w:w w:val="100"/>
          <w:position w:val="0"/>
          <w:sz w:val="32"/>
          <w:szCs w:val="32"/>
          <w:lang w:val="en-US" w:eastAsia="zh-CN"/>
        </w:rPr>
        <w:t>12月底前予以完成。</w:t>
      </w:r>
    </w:p>
    <w:p w14:paraId="34B3EB55">
      <w:pPr>
        <w:pStyle w:val="43"/>
        <w:keepNext w:val="0"/>
        <w:keepLines w:val="0"/>
        <w:pageBreakBefore w:val="0"/>
        <w:widowControl w:val="0"/>
        <w:numPr>
          <w:ilvl w:val="0"/>
          <w:numId w:val="0"/>
        </w:numPr>
        <w:shd w:val="clear" w:color="auto" w:fill="auto"/>
        <w:tabs>
          <w:tab w:val="left" w:pos="2397"/>
        </w:tabs>
        <w:kinsoku/>
        <w:wordWrap/>
        <w:overflowPunct/>
        <w:topLinePunct w:val="0"/>
        <w:autoSpaceDE/>
        <w:autoSpaceDN/>
        <w:bidi w:val="0"/>
        <w:spacing w:before="0" w:after="100" w:line="560" w:lineRule="exact"/>
        <w:ind w:right="0" w:righ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4.成本指标</w:t>
      </w:r>
      <w:r>
        <w:rPr>
          <w:rFonts w:hint="eastAsia" w:ascii="仿宋_GB2312" w:hAnsi="仿宋_GB2312" w:eastAsia="仿宋_GB2312" w:cs="仿宋_GB2312"/>
          <w:b/>
          <w:bCs/>
          <w:color w:val="000000"/>
          <w:spacing w:val="0"/>
          <w:w w:val="100"/>
          <w:position w:val="0"/>
          <w:sz w:val="32"/>
          <w:szCs w:val="32"/>
        </w:rPr>
        <w:t>。</w:t>
      </w:r>
      <w:r>
        <w:rPr>
          <w:rFonts w:hint="eastAsia" w:ascii="仿宋_GB2312" w:hAnsi="仿宋_GB2312" w:eastAsia="仿宋_GB2312" w:cs="仿宋_GB2312"/>
          <w:color w:val="000000"/>
          <w:spacing w:val="0"/>
          <w:w w:val="100"/>
          <w:position w:val="0"/>
          <w:sz w:val="32"/>
          <w:szCs w:val="32"/>
          <w:lang w:eastAsia="zh-CN"/>
        </w:rPr>
        <w:t>严格控制经费。</w:t>
      </w:r>
    </w:p>
    <w:p w14:paraId="6ACD0823">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rPr>
        <w:t>（</w:t>
      </w:r>
      <w:r>
        <w:rPr>
          <w:rFonts w:hint="eastAsia" w:ascii="楷体" w:hAnsi="楷体" w:eastAsia="楷体" w:cs="楷体"/>
          <w:b w:val="0"/>
          <w:bCs w:val="0"/>
          <w:color w:val="000000"/>
          <w:spacing w:val="0"/>
          <w:w w:val="100"/>
          <w:position w:val="0"/>
          <w:sz w:val="32"/>
          <w:szCs w:val="32"/>
          <w:lang w:eastAsia="zh-CN"/>
        </w:rPr>
        <w:t>二</w:t>
      </w:r>
      <w:r>
        <w:rPr>
          <w:rFonts w:hint="eastAsia" w:ascii="楷体" w:hAnsi="楷体" w:eastAsia="楷体" w:cs="楷体"/>
          <w:b w:val="0"/>
          <w:bCs w:val="0"/>
          <w:color w:val="000000"/>
          <w:spacing w:val="0"/>
          <w:w w:val="100"/>
          <w:position w:val="0"/>
          <w:sz w:val="32"/>
          <w:szCs w:val="32"/>
        </w:rPr>
        <w:t>）满意度指标完成情况分析。</w:t>
      </w:r>
    </w:p>
    <w:p w14:paraId="28E4A1C1">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服务对象对此项工作的认可程度，达到</w:t>
      </w:r>
      <w:r>
        <w:rPr>
          <w:rFonts w:hint="eastAsia" w:ascii="仿宋_GB2312" w:hAnsi="仿宋_GB2312" w:eastAsia="仿宋_GB2312" w:cs="仿宋_GB2312"/>
          <w:color w:val="000000"/>
          <w:spacing w:val="0"/>
          <w:w w:val="100"/>
          <w:position w:val="0"/>
          <w:sz w:val="32"/>
          <w:szCs w:val="32"/>
          <w:lang w:val="en-US" w:eastAsia="zh-CN"/>
        </w:rPr>
        <w:t>100%；社会大众对此项工作的认可度，达到100%。</w:t>
      </w:r>
    </w:p>
    <w:p w14:paraId="544371C1">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楷体" w:hAnsi="楷体" w:eastAsia="楷体" w:cs="楷体"/>
          <w:b w:val="0"/>
          <w:bCs w:val="0"/>
          <w:color w:val="000000"/>
          <w:spacing w:val="0"/>
          <w:w w:val="100"/>
          <w:position w:val="0"/>
          <w:sz w:val="32"/>
          <w:szCs w:val="32"/>
        </w:rPr>
        <w:t>（</w:t>
      </w:r>
      <w:r>
        <w:rPr>
          <w:rFonts w:hint="eastAsia" w:ascii="楷体" w:hAnsi="楷体" w:eastAsia="楷体" w:cs="楷体"/>
          <w:b w:val="0"/>
          <w:bCs w:val="0"/>
          <w:color w:val="000000"/>
          <w:spacing w:val="0"/>
          <w:w w:val="100"/>
          <w:position w:val="0"/>
          <w:sz w:val="32"/>
          <w:szCs w:val="32"/>
          <w:lang w:eastAsia="zh-CN"/>
        </w:rPr>
        <w:t>三</w:t>
      </w:r>
      <w:r>
        <w:rPr>
          <w:rFonts w:hint="eastAsia" w:ascii="楷体" w:hAnsi="楷体" w:eastAsia="楷体" w:cs="楷体"/>
          <w:b w:val="0"/>
          <w:bCs w:val="0"/>
          <w:color w:val="000000"/>
          <w:spacing w:val="0"/>
          <w:w w:val="100"/>
          <w:position w:val="0"/>
          <w:sz w:val="32"/>
          <w:szCs w:val="32"/>
        </w:rPr>
        <w:t>）其他需要说明的事项。</w:t>
      </w:r>
      <w:r>
        <w:rPr>
          <w:rFonts w:hint="eastAsia" w:ascii="仿宋_GB2312" w:hAnsi="仿宋_GB2312" w:eastAsia="仿宋_GB2312" w:cs="仿宋_GB2312"/>
          <w:color w:val="000000"/>
          <w:spacing w:val="0"/>
          <w:w w:val="100"/>
          <w:position w:val="0"/>
          <w:sz w:val="32"/>
          <w:szCs w:val="32"/>
          <w:lang w:eastAsia="zh-CN"/>
        </w:rPr>
        <w:t>无</w:t>
      </w:r>
    </w:p>
    <w:p w14:paraId="6DEBE64F">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五、</w:t>
      </w:r>
      <w:r>
        <w:rPr>
          <w:rFonts w:hint="eastAsia" w:ascii="黑体" w:hAnsi="黑体" w:eastAsia="黑体" w:cs="黑体"/>
          <w:color w:val="000000"/>
          <w:spacing w:val="0"/>
          <w:w w:val="100"/>
          <w:position w:val="0"/>
          <w:sz w:val="32"/>
          <w:szCs w:val="32"/>
        </w:rPr>
        <w:t>结论</w:t>
      </w:r>
    </w:p>
    <w:p w14:paraId="740DD03A">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仿宋_GB2312" w:hAnsi="仿宋_GB2312" w:eastAsia="仿宋_GB2312" w:cs="仿宋_GB2312"/>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rPr>
        <w:t>（一）主要指标情况及结论。</w:t>
      </w:r>
      <w:r>
        <w:rPr>
          <w:rFonts w:hint="eastAsia" w:ascii="仿宋_GB2312" w:hAnsi="仿宋_GB2312" w:eastAsia="仿宋_GB2312" w:cs="仿宋_GB2312"/>
          <w:b w:val="0"/>
          <w:bCs w:val="0"/>
          <w:color w:val="000000"/>
          <w:spacing w:val="0"/>
          <w:w w:val="100"/>
          <w:position w:val="0"/>
          <w:sz w:val="32"/>
          <w:szCs w:val="32"/>
          <w:lang w:eastAsia="zh-CN"/>
        </w:rPr>
        <w:t>兰州新区</w:t>
      </w:r>
      <w:r>
        <w:rPr>
          <w:rFonts w:hint="eastAsia" w:ascii="仿宋_GB2312" w:hAnsi="仿宋_GB2312" w:eastAsia="仿宋_GB2312" w:cs="仿宋_GB2312"/>
          <w:b w:val="0"/>
          <w:bCs w:val="0"/>
          <w:color w:val="000000"/>
          <w:spacing w:val="0"/>
          <w:w w:val="100"/>
          <w:position w:val="0"/>
          <w:sz w:val="32"/>
          <w:szCs w:val="32"/>
          <w:lang w:val="en-US" w:eastAsia="zh-CN"/>
        </w:rPr>
        <w:t>2023年</w:t>
      </w:r>
      <w:r>
        <w:rPr>
          <w:rFonts w:hint="eastAsia" w:ascii="仿宋_GB2312" w:hAnsi="仿宋_GB2312" w:eastAsia="仿宋_GB2312" w:cs="仿宋_GB2312"/>
          <w:b w:val="0"/>
          <w:bCs w:val="0"/>
          <w:color w:val="000000"/>
          <w:spacing w:val="0"/>
          <w:w w:val="100"/>
          <w:position w:val="0"/>
          <w:sz w:val="32"/>
          <w:szCs w:val="32"/>
          <w:lang w:eastAsia="zh-CN"/>
        </w:rPr>
        <w:t>手足口病防治项目达到预期目标。主要表现在防治体系进一步成熟，医务人员对手足口病诊疗能力得到提高，患者能够得到及时</w:t>
      </w:r>
      <w:r>
        <w:rPr>
          <w:rFonts w:hint="eastAsia" w:ascii="仿宋_GB2312" w:hAnsi="仿宋_GB2312" w:eastAsia="仿宋_GB2312" w:cs="仿宋_GB2312"/>
          <w:b w:val="0"/>
          <w:bCs w:val="0"/>
          <w:color w:val="000000"/>
          <w:spacing w:val="0"/>
          <w:w w:val="100"/>
          <w:position w:val="0"/>
          <w:sz w:val="32"/>
          <w:szCs w:val="32"/>
          <w:lang w:val="en-US" w:eastAsia="zh-CN"/>
        </w:rPr>
        <w:t>诊断和治疗，学校托幼机构高度重视，未出现重症和死亡病例，未发生突发公共卫生事件级别的疫情暴发。</w:t>
      </w:r>
    </w:p>
    <w:p w14:paraId="38859C6F">
      <w:pPr>
        <w:keepNext w:val="0"/>
        <w:keepLines w:val="0"/>
        <w:pageBreakBefore w:val="0"/>
        <w:widowControl w:val="0"/>
        <w:kinsoku/>
        <w:wordWrap/>
        <w:overflowPunct/>
        <w:topLinePunct w:val="0"/>
        <w:autoSpaceDE/>
        <w:autoSpaceDN/>
        <w:bidi w:val="0"/>
        <w:spacing w:after="0" w:line="560" w:lineRule="exact"/>
        <w:ind w:firstLine="640" w:firstLineChars="200"/>
        <w:jc w:val="both"/>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（二）存在的问题和不足。</w:t>
      </w:r>
    </w:p>
    <w:p w14:paraId="3F80A517">
      <w:pPr>
        <w:keepNext w:val="0"/>
        <w:keepLines w:val="0"/>
        <w:pageBreakBefore w:val="0"/>
        <w:widowControl w:val="0"/>
        <w:kinsoku/>
        <w:wordWrap/>
        <w:overflowPunct/>
        <w:topLinePunct w:val="0"/>
        <w:autoSpaceDE/>
        <w:autoSpaceDN/>
        <w:bidi w:val="0"/>
        <w:spacing w:after="0" w:line="560" w:lineRule="exact"/>
        <w:ind w:firstLine="643" w:firstLineChars="200"/>
        <w:jc w:val="both"/>
        <w:textAlignment w:val="auto"/>
        <w:rPr>
          <w:rFonts w:hint="eastAsia" w:ascii="仿宋_GB2312" w:eastAsia="仿宋_GB2312"/>
          <w:b w:val="0"/>
          <w:bCs w:val="0"/>
          <w:sz w:val="32"/>
          <w:szCs w:val="32"/>
          <w:lang w:val="en-US" w:eastAsia="zh-CN"/>
        </w:rPr>
      </w:pPr>
      <w:r>
        <w:rPr>
          <w:rFonts w:hint="eastAsia" w:ascii="仿宋_GB2312" w:eastAsia="仿宋_GB2312"/>
          <w:b/>
          <w:bCs/>
          <w:sz w:val="32"/>
          <w:szCs w:val="32"/>
          <w:lang w:val="en-US" w:eastAsia="zh-CN"/>
        </w:rPr>
        <w:t>1.群众健康知识掌握不高。</w:t>
      </w:r>
      <w:r>
        <w:rPr>
          <w:rFonts w:hint="eastAsia" w:ascii="仿宋_GB2312" w:eastAsia="仿宋_GB2312"/>
          <w:b w:val="0"/>
          <w:bCs w:val="0"/>
          <w:sz w:val="32"/>
          <w:szCs w:val="32"/>
          <w:lang w:val="en-US" w:eastAsia="zh-CN"/>
        </w:rPr>
        <w:t>新区群众对手足口病防治知识比较缺乏，部分患儿家长对托幼机构采取的暂停入托措施不够理解。</w:t>
      </w:r>
    </w:p>
    <w:p w14:paraId="384170FD">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default"/>
          <w:lang w:val="en-US" w:eastAsia="zh-CN"/>
        </w:rPr>
      </w:pPr>
      <w:r>
        <w:rPr>
          <w:rFonts w:hint="eastAsia" w:ascii="仿宋_GB2312" w:eastAsia="仿宋_GB2312"/>
          <w:b/>
          <w:bCs/>
          <w:sz w:val="32"/>
          <w:szCs w:val="32"/>
          <w:lang w:val="en-US" w:eastAsia="zh-CN"/>
        </w:rPr>
        <w:t>2.新区社会环境大变迁对疾病流行具有一定促进意义</w:t>
      </w:r>
      <w:r>
        <w:rPr>
          <w:rFonts w:hint="eastAsia" w:ascii="仿宋_GB2312" w:eastAsia="仿宋_GB2312"/>
          <w:b w:val="0"/>
          <w:bCs w:val="0"/>
          <w:sz w:val="32"/>
          <w:szCs w:val="32"/>
          <w:lang w:val="en-US" w:eastAsia="zh-CN"/>
        </w:rPr>
        <w:t>。兰州新区原为农业人口为主的三镇，移民较多，民族成分复杂，生活习惯、健康素养尚不能适应大健康大卫生的要求，因此手足口病等传播力较强与人口密度高度关联的疾病易于流行，甚至暴发。</w:t>
      </w:r>
    </w:p>
    <w:p w14:paraId="1FF7FDF5">
      <w:pPr>
        <w:keepNext w:val="0"/>
        <w:keepLines w:val="0"/>
        <w:pageBreakBefore w:val="0"/>
        <w:widowControl w:val="0"/>
        <w:shd w:val="clear" w:color="auto" w:fill="auto"/>
        <w:kinsoku/>
        <w:wordWrap/>
        <w:overflowPunct/>
        <w:topLinePunct w:val="0"/>
        <w:autoSpaceDE/>
        <w:autoSpaceDN/>
        <w:bidi w:val="0"/>
        <w:spacing w:after="0" w:line="560" w:lineRule="exact"/>
        <w:ind w:firstLine="640" w:firstLineChars="200"/>
        <w:jc w:val="both"/>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（三）</w:t>
      </w:r>
      <w:r>
        <w:rPr>
          <w:rFonts w:hint="eastAsia" w:ascii="楷体" w:hAnsi="楷体" w:eastAsia="楷体" w:cs="楷体"/>
          <w:b w:val="0"/>
          <w:bCs w:val="0"/>
          <w:sz w:val="32"/>
          <w:szCs w:val="32"/>
          <w:lang w:val="en-US" w:eastAsia="zh-CN"/>
        </w:rPr>
        <w:t>2024年手足口病</w:t>
      </w:r>
      <w:r>
        <w:rPr>
          <w:rFonts w:hint="eastAsia" w:ascii="楷体" w:hAnsi="楷体" w:eastAsia="楷体" w:cs="楷体"/>
          <w:b w:val="0"/>
          <w:bCs w:val="0"/>
          <w:sz w:val="32"/>
          <w:szCs w:val="32"/>
          <w:lang w:eastAsia="zh-CN"/>
        </w:rPr>
        <w:t>防控</w:t>
      </w:r>
      <w:r>
        <w:rPr>
          <w:rFonts w:hint="eastAsia" w:ascii="楷体" w:hAnsi="楷体" w:eastAsia="楷体" w:cs="楷体"/>
          <w:b w:val="0"/>
          <w:bCs w:val="0"/>
          <w:sz w:val="32"/>
          <w:szCs w:val="32"/>
          <w:lang w:val="en-US" w:eastAsia="zh-CN"/>
        </w:rPr>
        <w:t>思路。</w:t>
      </w:r>
    </w:p>
    <w:p w14:paraId="55AB4655">
      <w:pPr>
        <w:keepNext w:val="0"/>
        <w:keepLines w:val="0"/>
        <w:pageBreakBefore w:val="0"/>
        <w:widowControl w:val="0"/>
        <w:kinsoku/>
        <w:wordWrap/>
        <w:overflowPunct/>
        <w:topLinePunct w:val="0"/>
        <w:autoSpaceDE/>
        <w:autoSpaceDN/>
        <w:bidi w:val="0"/>
        <w:spacing w:after="0" w:line="56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加强</w:t>
      </w:r>
      <w:r>
        <w:rPr>
          <w:rFonts w:hint="eastAsia" w:ascii="仿宋_GB2312" w:eastAsia="仿宋_GB2312"/>
          <w:b/>
          <w:bCs/>
          <w:sz w:val="32"/>
          <w:szCs w:val="32"/>
          <w:lang w:eastAsia="zh-CN"/>
        </w:rPr>
        <w:t>部门协作，广泛开展爱国卫生</w:t>
      </w:r>
      <w:r>
        <w:rPr>
          <w:rFonts w:hint="eastAsia" w:ascii="仿宋_GB2312" w:eastAsia="仿宋_GB2312"/>
          <w:b/>
          <w:bCs/>
          <w:sz w:val="32"/>
          <w:szCs w:val="32"/>
        </w:rPr>
        <w:t>，</w:t>
      </w:r>
      <w:r>
        <w:rPr>
          <w:rFonts w:hint="eastAsia" w:ascii="仿宋_GB2312" w:eastAsia="仿宋_GB2312"/>
          <w:b/>
          <w:bCs/>
          <w:sz w:val="32"/>
          <w:szCs w:val="32"/>
          <w:lang w:eastAsia="zh-CN"/>
        </w:rPr>
        <w:t>不断提高群众健康素养</w:t>
      </w:r>
      <w:r>
        <w:rPr>
          <w:rFonts w:hint="eastAsia" w:ascii="仿宋_GB2312" w:eastAsia="仿宋_GB2312"/>
          <w:sz w:val="32"/>
          <w:szCs w:val="32"/>
        </w:rPr>
        <w:t>。要</w:t>
      </w:r>
      <w:r>
        <w:rPr>
          <w:rFonts w:hint="eastAsia" w:ascii="仿宋_GB2312" w:eastAsia="仿宋_GB2312"/>
          <w:sz w:val="32"/>
          <w:szCs w:val="32"/>
          <w:lang w:eastAsia="zh-CN"/>
        </w:rPr>
        <w:t>促进与教育、宣传等</w:t>
      </w:r>
      <w:r>
        <w:rPr>
          <w:rFonts w:hint="eastAsia" w:ascii="仿宋_GB2312" w:eastAsia="仿宋_GB2312"/>
          <w:sz w:val="32"/>
          <w:szCs w:val="32"/>
        </w:rPr>
        <w:t>部门</w:t>
      </w:r>
      <w:r>
        <w:rPr>
          <w:rFonts w:hint="eastAsia" w:ascii="仿宋_GB2312" w:eastAsia="仿宋_GB2312"/>
          <w:sz w:val="32"/>
          <w:szCs w:val="32"/>
          <w:lang w:eastAsia="zh-CN"/>
        </w:rPr>
        <w:t>合作</w:t>
      </w:r>
      <w:r>
        <w:rPr>
          <w:rFonts w:hint="eastAsia" w:ascii="仿宋_GB2312" w:eastAsia="仿宋_GB2312"/>
          <w:sz w:val="32"/>
          <w:szCs w:val="32"/>
        </w:rPr>
        <w:t>，</w:t>
      </w:r>
      <w:r>
        <w:rPr>
          <w:rFonts w:hint="eastAsia" w:ascii="仿宋_GB2312" w:eastAsia="仿宋_GB2312"/>
          <w:sz w:val="32"/>
          <w:szCs w:val="32"/>
          <w:lang w:eastAsia="zh-CN"/>
        </w:rPr>
        <w:t>通过多种宣传形式，不断提高</w:t>
      </w:r>
      <w:r>
        <w:rPr>
          <w:rFonts w:hint="eastAsia" w:ascii="仿宋_GB2312" w:eastAsia="仿宋_GB2312"/>
          <w:sz w:val="32"/>
          <w:szCs w:val="32"/>
        </w:rPr>
        <w:t>新区社会大众</w:t>
      </w:r>
      <w:r>
        <w:rPr>
          <w:rFonts w:hint="eastAsia" w:ascii="仿宋_GB2312" w:eastAsia="仿宋_GB2312"/>
          <w:sz w:val="32"/>
          <w:szCs w:val="32"/>
          <w:lang w:eastAsia="zh-CN"/>
        </w:rPr>
        <w:t>对健康</w:t>
      </w:r>
      <w:r>
        <w:rPr>
          <w:rFonts w:hint="eastAsia" w:ascii="仿宋_GB2312" w:eastAsia="仿宋_GB2312"/>
          <w:sz w:val="32"/>
          <w:szCs w:val="32"/>
        </w:rPr>
        <w:t>文明生活方式</w:t>
      </w:r>
      <w:r>
        <w:rPr>
          <w:rFonts w:hint="eastAsia" w:ascii="仿宋_GB2312" w:eastAsia="仿宋_GB2312"/>
          <w:sz w:val="32"/>
          <w:szCs w:val="32"/>
          <w:lang w:eastAsia="zh-CN"/>
        </w:rPr>
        <w:t>的素养</w:t>
      </w:r>
      <w:r>
        <w:rPr>
          <w:rFonts w:hint="eastAsia" w:ascii="仿宋_GB2312" w:eastAsia="仿宋_GB2312"/>
          <w:sz w:val="32"/>
          <w:szCs w:val="32"/>
        </w:rPr>
        <w:t>。</w:t>
      </w:r>
    </w:p>
    <w:p w14:paraId="6C7C193A">
      <w:pPr>
        <w:keepNext w:val="0"/>
        <w:keepLines w:val="0"/>
        <w:pageBreakBefore w:val="0"/>
        <w:widowControl w:val="0"/>
        <w:kinsoku/>
        <w:wordWrap/>
        <w:overflowPunct/>
        <w:topLinePunct w:val="0"/>
        <w:autoSpaceDE/>
        <w:autoSpaceDN/>
        <w:bidi w:val="0"/>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2.进一步</w:t>
      </w:r>
      <w:r>
        <w:rPr>
          <w:rFonts w:hint="eastAsia" w:ascii="仿宋_GB2312" w:eastAsia="仿宋_GB2312"/>
          <w:b/>
          <w:bCs/>
          <w:sz w:val="32"/>
          <w:szCs w:val="32"/>
        </w:rPr>
        <w:t>加强医疗机构和疾控机构能力建设</w:t>
      </w:r>
      <w:r>
        <w:rPr>
          <w:rFonts w:hint="eastAsia" w:ascii="仿宋_GB2312" w:eastAsia="仿宋_GB2312"/>
          <w:sz w:val="32"/>
          <w:szCs w:val="32"/>
          <w:lang w:eastAsia="zh-CN"/>
        </w:rPr>
        <w:t>。</w:t>
      </w:r>
      <w:r>
        <w:rPr>
          <w:rFonts w:hint="eastAsia" w:ascii="仿宋_GB2312" w:eastAsia="仿宋_GB2312"/>
          <w:sz w:val="32"/>
          <w:szCs w:val="32"/>
          <w:lang w:val="en-US" w:eastAsia="zh-CN"/>
        </w:rPr>
        <w:t>加强对医务人员培训，加强医疗机构和疾控中心实验室建设，进一步规范工作流程，提高检验水平和数据报告质量，提升医务人员诊疗能力。</w:t>
      </w:r>
    </w:p>
    <w:p w14:paraId="190ADEC2">
      <w:pPr>
        <w:keepNext w:val="0"/>
        <w:keepLines w:val="0"/>
        <w:pageBreakBefore w:val="0"/>
        <w:widowControl w:val="0"/>
        <w:kinsoku/>
        <w:wordWrap/>
        <w:overflowPunct/>
        <w:topLinePunct w:val="0"/>
        <w:autoSpaceDE/>
        <w:autoSpaceDN/>
        <w:bidi w:val="0"/>
        <w:spacing w:after="0" w:line="560" w:lineRule="exact"/>
        <w:ind w:firstLine="643" w:firstLineChars="200"/>
        <w:jc w:val="both"/>
        <w:textAlignment w:val="auto"/>
        <w:rPr>
          <w:rFonts w:hint="eastAsia" w:ascii="仿宋_GB2312" w:hAnsi="Times New Roman" w:eastAsia="仿宋_GB2312" w:cs="Times New Roman"/>
          <w:sz w:val="32"/>
          <w:szCs w:val="32"/>
          <w:lang w:val="en-US" w:eastAsia="zh-CN"/>
        </w:rPr>
      </w:pPr>
      <w:r>
        <w:rPr>
          <w:rFonts w:hint="eastAsia" w:ascii="仿宋_GB2312" w:eastAsia="仿宋_GB2312"/>
          <w:b/>
          <w:bCs/>
          <w:sz w:val="32"/>
          <w:szCs w:val="32"/>
          <w:lang w:val="en-US" w:eastAsia="zh-CN"/>
        </w:rPr>
        <w:t>3.</w:t>
      </w:r>
      <w:r>
        <w:rPr>
          <w:rFonts w:hint="eastAsia" w:ascii="仿宋_GB2312" w:eastAsia="仿宋_GB2312"/>
          <w:b/>
          <w:bCs/>
          <w:sz w:val="32"/>
          <w:szCs w:val="32"/>
        </w:rPr>
        <w:t>加强</w:t>
      </w:r>
      <w:r>
        <w:rPr>
          <w:rFonts w:hint="eastAsia" w:ascii="仿宋_GB2312" w:eastAsia="仿宋_GB2312"/>
          <w:b/>
          <w:bCs/>
          <w:sz w:val="32"/>
          <w:szCs w:val="32"/>
          <w:lang w:eastAsia="zh-CN"/>
        </w:rPr>
        <w:t>对重点人群、重点单位、重点时段的防控工作力度。</w:t>
      </w:r>
      <w:r>
        <w:rPr>
          <w:rFonts w:hint="eastAsia" w:ascii="仿宋_GB2312" w:hAnsi="Times New Roman" w:eastAsia="仿宋_GB2312" w:cs="Times New Roman"/>
          <w:sz w:val="32"/>
          <w:szCs w:val="32"/>
          <w:lang w:val="en-US" w:eastAsia="zh-CN"/>
        </w:rPr>
        <w:t>利用每学年开学时机，联合教育部门对托幼机构、小学疫情防控工作的督导力度，进一步落实完善学校托幼机构疫情防控组织和制度，在每年流行季节到来前，及时提醒托幼机构、儿童家长做好儿童的晨午检，发现疑似症状及时就医。</w:t>
      </w:r>
    </w:p>
    <w:p w14:paraId="02B308F8">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default"/>
          <w:lang w:val="en-US"/>
        </w:rPr>
      </w:pPr>
      <w:r>
        <w:rPr>
          <w:rFonts w:hint="eastAsia" w:ascii="仿宋_GB2312" w:hAnsi="Times New Roman" w:eastAsia="仿宋_GB2312" w:cs="Times New Roman"/>
          <w:b/>
          <w:bCs/>
          <w:color w:val="000000"/>
          <w:spacing w:val="0"/>
          <w:w w:val="100"/>
          <w:position w:val="0"/>
          <w:sz w:val="32"/>
          <w:szCs w:val="32"/>
          <w:shd w:val="clear" w:color="auto" w:fill="auto"/>
          <w:lang w:val="en-US" w:eastAsia="zh-CN" w:bidi="en-US"/>
        </w:rPr>
        <w:t>4.积极推进手足口病疫苗（EV-71）的接种</w:t>
      </w:r>
      <w:r>
        <w:rPr>
          <w:rFonts w:hint="eastAsia" w:ascii="仿宋_GB2312" w:eastAsia="仿宋_GB2312" w:cs="Times New Roman"/>
          <w:sz w:val="32"/>
          <w:szCs w:val="32"/>
          <w:lang w:val="en-US" w:eastAsia="zh-CN"/>
        </w:rPr>
        <w:t>，降低重症、死亡风险。</w:t>
      </w:r>
    </w:p>
    <w:p w14:paraId="6796DC2F">
      <w:pPr>
        <w:pStyle w:val="43"/>
        <w:keepNext w:val="0"/>
        <w:keepLines w:val="0"/>
        <w:pageBreakBefore w:val="0"/>
        <w:widowControl w:val="0"/>
        <w:shd w:val="clear" w:color="auto" w:fill="auto"/>
        <w:kinsoku/>
        <w:wordWrap/>
        <w:overflowPunct/>
        <w:topLinePunct w:val="0"/>
        <w:autoSpaceDE/>
        <w:autoSpaceDN/>
        <w:bidi w:val="0"/>
        <w:snapToGrid/>
        <w:spacing w:before="0" w:after="280" w:line="560" w:lineRule="exact"/>
        <w:ind w:left="0" w:leftChars="0" w:right="0" w:firstLine="640" w:firstLineChars="200"/>
        <w:jc w:val="left"/>
        <w:rPr>
          <w:rFonts w:hint="eastAsia" w:ascii="楷体" w:hAnsi="楷体" w:eastAsia="楷体" w:cs="楷体"/>
          <w:sz w:val="32"/>
          <w:szCs w:val="32"/>
          <w:lang w:val="en-US" w:eastAsia="zh-CN"/>
        </w:rPr>
      </w:pPr>
      <w:r>
        <w:rPr>
          <w:rFonts w:hint="eastAsia" w:ascii="楷体" w:hAnsi="楷体" w:eastAsia="楷体" w:cs="楷体"/>
          <w:sz w:val="32"/>
          <w:szCs w:val="32"/>
        </w:rPr>
        <w:t>202</w:t>
      </w:r>
      <w:r>
        <w:rPr>
          <w:rFonts w:hint="eastAsia" w:ascii="楷体" w:hAnsi="楷体" w:eastAsia="楷体" w:cs="楷体"/>
          <w:sz w:val="32"/>
          <w:szCs w:val="32"/>
          <w:lang w:val="en-US" w:eastAsia="zh-CN"/>
        </w:rPr>
        <w:t>3</w:t>
      </w:r>
      <w:r>
        <w:rPr>
          <w:rFonts w:hint="eastAsia" w:ascii="楷体" w:hAnsi="楷体" w:eastAsia="楷体" w:cs="楷体"/>
          <w:sz w:val="32"/>
          <w:szCs w:val="32"/>
        </w:rPr>
        <w:t>年兰州新区</w:t>
      </w:r>
      <w:r>
        <w:rPr>
          <w:rFonts w:hint="eastAsia" w:ascii="楷体" w:hAnsi="楷体" w:eastAsia="楷体" w:cs="楷体"/>
          <w:sz w:val="32"/>
          <w:szCs w:val="32"/>
          <w:lang w:eastAsia="zh-CN"/>
        </w:rPr>
        <w:t>流感监测</w:t>
      </w:r>
      <w:r>
        <w:rPr>
          <w:rFonts w:hint="eastAsia" w:ascii="楷体" w:hAnsi="楷体" w:eastAsia="楷体" w:cs="楷体"/>
          <w:sz w:val="32"/>
          <w:szCs w:val="32"/>
        </w:rPr>
        <w:t>项目</w:t>
      </w:r>
    </w:p>
    <w:p w14:paraId="34CE45C9">
      <w:pPr>
        <w:spacing w:line="560" w:lineRule="exact"/>
        <w:ind w:firstLine="640" w:firstLineChars="200"/>
        <w:rPr>
          <w:rFonts w:hint="eastAsia" w:ascii="仿宋_GB2312" w:eastAsia="仿宋_GB2312"/>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项目基本情况</w:t>
      </w:r>
    </w:p>
    <w:p w14:paraId="41E3B3FF">
      <w:pPr>
        <w:spacing w:line="560" w:lineRule="exact"/>
        <w:ind w:firstLine="640" w:firstLineChars="200"/>
        <w:rPr>
          <w:rFonts w:hint="eastAsia" w:ascii="仿宋_GB2312" w:hAnsi="仿宋" w:eastAsia="仿宋_GB2312"/>
          <w:sz w:val="32"/>
          <w:szCs w:val="32"/>
        </w:rPr>
      </w:pPr>
      <w:r>
        <w:rPr>
          <w:rFonts w:hint="eastAsia" w:ascii="楷体" w:hAnsi="楷体" w:eastAsia="楷体"/>
          <w:sz w:val="32"/>
          <w:szCs w:val="32"/>
        </w:rPr>
        <w:t>(一)项目概况</w:t>
      </w:r>
      <w:r>
        <w:rPr>
          <w:rFonts w:hint="eastAsia" w:ascii="仿宋_GB2312" w:eastAsia="仿宋_GB2312"/>
          <w:sz w:val="32"/>
          <w:szCs w:val="32"/>
        </w:rPr>
        <w:t>。</w:t>
      </w:r>
      <w:r>
        <w:rPr>
          <w:rFonts w:hint="eastAsia" w:ascii="仿宋_GB2312" w:hAnsi="仿宋" w:eastAsia="仿宋_GB2312"/>
          <w:color w:val="auto"/>
          <w:spacing w:val="-4"/>
          <w:sz w:val="32"/>
          <w:szCs w:val="32"/>
        </w:rPr>
        <w:t>根据省财政厅、省卫生</w:t>
      </w:r>
      <w:r>
        <w:rPr>
          <w:rFonts w:ascii="仿宋_GB2312" w:hAnsi="仿宋" w:eastAsia="仿宋_GB2312"/>
          <w:color w:val="auto"/>
          <w:spacing w:val="-4"/>
          <w:sz w:val="32"/>
          <w:szCs w:val="32"/>
        </w:rPr>
        <w:t>健康委</w:t>
      </w:r>
      <w:r>
        <w:rPr>
          <w:rFonts w:hint="eastAsia" w:ascii="仿宋_GB2312" w:hAnsi="仿宋" w:eastAsia="仿宋_GB2312"/>
          <w:color w:val="auto"/>
          <w:spacing w:val="-4"/>
          <w:sz w:val="32"/>
          <w:szCs w:val="32"/>
        </w:rPr>
        <w:t>员会《</w:t>
      </w:r>
      <w:r>
        <w:rPr>
          <w:rFonts w:ascii="仿宋_GB2312" w:hAnsi="仿宋" w:eastAsia="仿宋_GB2312"/>
          <w:color w:val="auto"/>
          <w:spacing w:val="-4"/>
          <w:sz w:val="32"/>
          <w:szCs w:val="32"/>
        </w:rPr>
        <w:t>关于提前下达202</w:t>
      </w:r>
      <w:r>
        <w:rPr>
          <w:rFonts w:hint="eastAsia" w:ascii="仿宋_GB2312" w:hAnsi="仿宋" w:eastAsia="仿宋_GB2312"/>
          <w:color w:val="auto"/>
          <w:spacing w:val="-4"/>
          <w:sz w:val="32"/>
          <w:szCs w:val="32"/>
        </w:rPr>
        <w:t>3</w:t>
      </w:r>
      <w:r>
        <w:rPr>
          <w:rFonts w:ascii="仿宋_GB2312" w:hAnsi="仿宋" w:eastAsia="仿宋_GB2312"/>
          <w:color w:val="auto"/>
          <w:spacing w:val="-4"/>
          <w:sz w:val="32"/>
          <w:szCs w:val="32"/>
        </w:rPr>
        <w:t>年中央转移支付重大传染病防控经费预算的通知</w:t>
      </w:r>
      <w:r>
        <w:rPr>
          <w:rFonts w:hint="eastAsia" w:ascii="仿宋_GB2312" w:hAnsi="仿宋" w:eastAsia="仿宋_GB2312"/>
          <w:color w:val="auto"/>
          <w:spacing w:val="-4"/>
          <w:sz w:val="32"/>
          <w:szCs w:val="32"/>
        </w:rPr>
        <w:t>》（甘财社〔</w:t>
      </w:r>
      <w:r>
        <w:rPr>
          <w:rFonts w:ascii="仿宋_GB2312" w:hAnsi="仿宋" w:eastAsia="仿宋_GB2312"/>
          <w:color w:val="auto"/>
          <w:spacing w:val="-4"/>
          <w:sz w:val="32"/>
          <w:szCs w:val="32"/>
        </w:rPr>
        <w:t>2022</w:t>
      </w:r>
      <w:r>
        <w:rPr>
          <w:rFonts w:hint="eastAsia" w:ascii="仿宋_GB2312" w:hAnsi="仿宋" w:eastAsia="仿宋_GB2312"/>
          <w:color w:val="auto"/>
          <w:spacing w:val="-4"/>
          <w:sz w:val="32"/>
          <w:szCs w:val="32"/>
        </w:rPr>
        <w:t>〕</w:t>
      </w:r>
      <w:r>
        <w:rPr>
          <w:rFonts w:ascii="仿宋_GB2312" w:hAnsi="仿宋" w:eastAsia="仿宋_GB2312"/>
          <w:color w:val="auto"/>
          <w:spacing w:val="-4"/>
          <w:sz w:val="32"/>
          <w:szCs w:val="32"/>
        </w:rPr>
        <w:t>1</w:t>
      </w:r>
      <w:r>
        <w:rPr>
          <w:rFonts w:hint="eastAsia" w:ascii="仿宋_GB2312" w:hAnsi="仿宋" w:eastAsia="仿宋_GB2312"/>
          <w:color w:val="auto"/>
          <w:spacing w:val="-4"/>
          <w:sz w:val="32"/>
          <w:szCs w:val="32"/>
        </w:rPr>
        <w:t>01号）</w:t>
      </w:r>
      <w:r>
        <w:rPr>
          <w:rFonts w:hint="eastAsia" w:ascii="仿宋_GB2312" w:hAnsi="仿宋_GB2312" w:eastAsia="仿宋_GB2312" w:cs="仿宋_GB2312"/>
          <w:sz w:val="32"/>
          <w:szCs w:val="32"/>
          <w:lang w:eastAsia="zh-CN"/>
        </w:rPr>
        <w:t>精神、</w:t>
      </w:r>
      <w:r>
        <w:rPr>
          <w:rFonts w:hint="eastAsia" w:ascii="仿宋_GB2312" w:hAnsi="仿宋_GB2312" w:eastAsia="仿宋_GB2312" w:cs="仿宋_GB2312"/>
          <w:sz w:val="32"/>
          <w:szCs w:val="32"/>
        </w:rPr>
        <w:t>省卫生健康委《关于印发2023年中央资金补助地方扩大国家免疫规划等29个重大传染病防控项目实施方案的通知》（</w:t>
      </w:r>
      <w:r>
        <w:rPr>
          <w:rFonts w:hint="eastAsia" w:ascii="仿宋_GB2312" w:hAnsi="仿宋_GB2312" w:eastAsia="仿宋_GB2312" w:cs="仿宋_GB2312"/>
          <w:sz w:val="32"/>
          <w:szCs w:val="32"/>
          <w:shd w:val="clear" w:color="auto" w:fill="FFFFFF"/>
        </w:rPr>
        <w:t>甘卫疾控函〔202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18</w:t>
      </w:r>
      <w:r>
        <w:rPr>
          <w:rFonts w:hint="eastAsia" w:ascii="仿宋_GB2312" w:hAnsi="仿宋_GB2312" w:eastAsia="仿宋_GB2312" w:cs="仿宋_GB2312"/>
          <w:sz w:val="32"/>
          <w:szCs w:val="32"/>
          <w:shd w:val="clear" w:color="auto" w:fill="FFFFFF"/>
        </w:rPr>
        <w:t>号</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lang w:bidi="ar"/>
        </w:rPr>
        <w:t>兰州新区</w:t>
      </w:r>
      <w:r>
        <w:rPr>
          <w:rFonts w:hint="eastAsia" w:ascii="仿宋_GB2312" w:hAnsi="仿宋_GB2312" w:eastAsia="仿宋_GB2312" w:cs="仿宋_GB2312"/>
          <w:kern w:val="0"/>
          <w:sz w:val="32"/>
          <w:szCs w:val="32"/>
          <w:lang w:val="en-US" w:eastAsia="zh-CN" w:bidi="ar"/>
        </w:rPr>
        <w:t>2023年</w:t>
      </w:r>
      <w:r>
        <w:rPr>
          <w:rFonts w:hint="eastAsia" w:ascii="仿宋_GB2312" w:hAnsi="仿宋_GB2312" w:eastAsia="仿宋_GB2312" w:cs="仿宋_GB2312"/>
          <w:kern w:val="0"/>
          <w:sz w:val="32"/>
          <w:szCs w:val="32"/>
          <w:lang w:bidi="ar"/>
        </w:rPr>
        <w:t>开展了</w:t>
      </w:r>
      <w:r>
        <w:rPr>
          <w:rFonts w:hint="eastAsia" w:ascii="仿宋_GB2312" w:hAnsi="仿宋_GB2312" w:eastAsia="仿宋_GB2312" w:cs="仿宋_GB2312"/>
          <w:kern w:val="0"/>
          <w:sz w:val="32"/>
          <w:szCs w:val="32"/>
          <w:lang w:eastAsia="zh-CN" w:bidi="ar"/>
        </w:rPr>
        <w:t>流感监测</w:t>
      </w:r>
      <w:r>
        <w:rPr>
          <w:rFonts w:hint="eastAsia" w:ascii="仿宋_GB2312" w:hAnsi="仿宋_GB2312" w:eastAsia="仿宋_GB2312" w:cs="仿宋_GB2312"/>
          <w:kern w:val="0"/>
          <w:sz w:val="32"/>
          <w:szCs w:val="32"/>
          <w:lang w:bidi="ar"/>
        </w:rPr>
        <w:t>项目。</w:t>
      </w:r>
      <w:r>
        <w:rPr>
          <w:rFonts w:hint="eastAsia" w:ascii="仿宋_GB2312" w:hAnsi="仿宋_GB2312" w:eastAsia="仿宋_GB2312" w:cs="仿宋_GB2312"/>
          <w:color w:val="000000"/>
          <w:sz w:val="32"/>
          <w:szCs w:val="32"/>
        </w:rPr>
        <w:t>项目执行主体为兰州新区</w:t>
      </w:r>
      <w:r>
        <w:rPr>
          <w:rFonts w:hint="eastAsia" w:ascii="仿宋_GB2312" w:hAnsi="仿宋_GB2312" w:eastAsia="仿宋_GB2312" w:cs="仿宋_GB2312"/>
          <w:color w:val="000000"/>
          <w:sz w:val="32"/>
          <w:szCs w:val="32"/>
          <w:lang w:eastAsia="zh-CN"/>
        </w:rPr>
        <w:t>卫生健康委</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kern w:val="0"/>
          <w:sz w:val="32"/>
          <w:szCs w:val="32"/>
          <w:lang w:bidi="ar"/>
        </w:rPr>
        <w:t>新区疾控中心、</w:t>
      </w:r>
      <w:r>
        <w:rPr>
          <w:rFonts w:hint="eastAsia" w:ascii="仿宋_GB2312" w:hAnsi="仿宋_GB2312" w:eastAsia="仿宋_GB2312" w:cs="仿宋_GB2312"/>
          <w:kern w:val="0"/>
          <w:sz w:val="32"/>
          <w:szCs w:val="32"/>
          <w:lang w:eastAsia="zh-CN" w:bidi="ar"/>
        </w:rPr>
        <w:t>新区第一人民医院</w:t>
      </w:r>
      <w:r>
        <w:rPr>
          <w:rFonts w:hint="eastAsia" w:ascii="仿宋_GB2312" w:hAnsi="仿宋_GB2312" w:eastAsia="仿宋_GB2312" w:cs="仿宋_GB2312"/>
          <w:kern w:val="0"/>
          <w:sz w:val="32"/>
          <w:szCs w:val="32"/>
          <w:lang w:bidi="ar"/>
        </w:rPr>
        <w:t>、各医疗机构依职责承担相应的监测项目和</w:t>
      </w:r>
      <w:r>
        <w:rPr>
          <w:rFonts w:hint="eastAsia" w:ascii="仿宋_GB2312" w:hAnsi="仿宋" w:eastAsia="仿宋_GB2312"/>
          <w:sz w:val="32"/>
          <w:szCs w:val="32"/>
        </w:rPr>
        <w:t>职责。</w:t>
      </w:r>
    </w:p>
    <w:p w14:paraId="0EF797CA">
      <w:pPr>
        <w:overflowPunct w:val="0"/>
        <w:spacing w:line="580" w:lineRule="exact"/>
        <w:ind w:firstLine="640" w:firstLineChars="200"/>
        <w:rPr>
          <w:rFonts w:hint="eastAsia" w:ascii="仿宋_GB2312" w:eastAsia="仿宋_GB2312"/>
          <w:sz w:val="32"/>
          <w:szCs w:val="28"/>
        </w:rPr>
      </w:pPr>
      <w:r>
        <w:rPr>
          <w:rFonts w:hint="eastAsia" w:ascii="楷体" w:hAnsi="楷体" w:eastAsia="楷体"/>
          <w:sz w:val="32"/>
          <w:szCs w:val="32"/>
        </w:rPr>
        <w:t>(二）项目绩效目标情况。</w:t>
      </w:r>
      <w:r>
        <w:rPr>
          <w:rFonts w:hint="eastAsia" w:ascii="仿宋_GB2312" w:eastAsia="仿宋_GB2312"/>
          <w:sz w:val="32"/>
          <w:szCs w:val="28"/>
        </w:rPr>
        <w:t>了解、掌握</w:t>
      </w:r>
      <w:r>
        <w:rPr>
          <w:rFonts w:hint="eastAsia" w:ascii="仿宋_GB2312" w:eastAsia="仿宋_GB2312"/>
          <w:sz w:val="32"/>
          <w:szCs w:val="28"/>
          <w:lang w:eastAsia="zh-CN"/>
        </w:rPr>
        <w:t>兰州新区</w:t>
      </w:r>
      <w:r>
        <w:rPr>
          <w:rFonts w:hint="eastAsia" w:ascii="仿宋_GB2312" w:eastAsia="仿宋_GB2312"/>
          <w:sz w:val="32"/>
          <w:szCs w:val="28"/>
        </w:rPr>
        <w:t>流感活动现状及流行动态变化规律，及时发现、报告并有效处置流感暴发疫情</w:t>
      </w:r>
      <w:r>
        <w:rPr>
          <w:rFonts w:hint="eastAsia" w:ascii="仿宋_GB2312" w:eastAsia="仿宋_GB2312"/>
          <w:sz w:val="32"/>
          <w:szCs w:val="28"/>
          <w:lang w:eastAsia="zh-CN"/>
        </w:rPr>
        <w:t>；</w:t>
      </w:r>
      <w:r>
        <w:rPr>
          <w:rFonts w:hint="eastAsia" w:ascii="仿宋_GB2312" w:eastAsia="仿宋_GB2312"/>
          <w:sz w:val="32"/>
          <w:szCs w:val="28"/>
        </w:rPr>
        <w:t>提高</w:t>
      </w:r>
      <w:r>
        <w:rPr>
          <w:rFonts w:hint="eastAsia" w:ascii="仿宋_GB2312" w:eastAsia="仿宋_GB2312"/>
          <w:sz w:val="32"/>
          <w:szCs w:val="28"/>
          <w:lang w:eastAsia="zh-CN"/>
        </w:rPr>
        <w:t>兰州新区新区第一人民医院</w:t>
      </w:r>
      <w:r>
        <w:rPr>
          <w:rFonts w:hint="eastAsia" w:ascii="仿宋_GB2312" w:eastAsia="仿宋_GB2312"/>
          <w:sz w:val="32"/>
          <w:szCs w:val="28"/>
        </w:rPr>
        <w:t>实验室能力，</w:t>
      </w:r>
      <w:r>
        <w:rPr>
          <w:rFonts w:hint="eastAsia" w:ascii="仿宋_GB2312" w:eastAsia="仿宋_GB2312"/>
          <w:sz w:val="32"/>
          <w:szCs w:val="28"/>
          <w:lang w:eastAsia="zh-CN"/>
        </w:rPr>
        <w:t>开展流感样病例的监测工作。</w:t>
      </w:r>
    </w:p>
    <w:p w14:paraId="30F8F86A">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二、项目实施及管理情况</w:t>
      </w:r>
    </w:p>
    <w:p w14:paraId="2BBA41ED">
      <w:pPr>
        <w:overflowPunct w:val="0"/>
        <w:spacing w:line="580" w:lineRule="exact"/>
        <w:ind w:firstLine="640" w:firstLineChars="200"/>
        <w:rPr>
          <w:rFonts w:hint="eastAsia" w:ascii="仿宋_GB2312" w:eastAsia="仿宋_GB2312"/>
          <w:sz w:val="32"/>
          <w:szCs w:val="28"/>
        </w:rPr>
      </w:pPr>
      <w:r>
        <w:rPr>
          <w:rFonts w:hint="eastAsia" w:ascii="楷体_GB2312" w:hAnsi="仿宋_GB2312" w:eastAsia="楷体_GB2312" w:cs="仿宋_GB2312"/>
          <w:sz w:val="32"/>
        </w:rPr>
        <w:t>（一）组织管理方面。</w:t>
      </w:r>
      <w:r>
        <w:rPr>
          <w:rFonts w:hint="eastAsia" w:ascii="仿宋_GB2312" w:eastAsia="仿宋_GB2312"/>
          <w:sz w:val="32"/>
          <w:szCs w:val="28"/>
        </w:rPr>
        <w:t>由</w:t>
      </w:r>
      <w:r>
        <w:rPr>
          <w:rFonts w:hint="eastAsia" w:ascii="仿宋_GB2312" w:eastAsia="仿宋_GB2312"/>
          <w:sz w:val="32"/>
          <w:szCs w:val="28"/>
          <w:lang w:eastAsia="zh-CN"/>
        </w:rPr>
        <w:t>新区</w:t>
      </w:r>
      <w:r>
        <w:rPr>
          <w:rFonts w:hint="eastAsia" w:ascii="仿宋_GB2312" w:eastAsia="仿宋_GB2312"/>
          <w:sz w:val="32"/>
          <w:szCs w:val="28"/>
        </w:rPr>
        <w:t>卫生健康委组织，</w:t>
      </w:r>
      <w:r>
        <w:rPr>
          <w:rFonts w:hint="eastAsia" w:ascii="仿宋_GB2312" w:eastAsia="仿宋_GB2312"/>
          <w:sz w:val="32"/>
          <w:szCs w:val="28"/>
          <w:lang w:eastAsia="zh-CN"/>
        </w:rPr>
        <w:t>新区</w:t>
      </w:r>
      <w:r>
        <w:rPr>
          <w:rFonts w:hint="eastAsia" w:ascii="仿宋_GB2312" w:eastAsia="仿宋_GB2312"/>
          <w:sz w:val="32"/>
          <w:szCs w:val="28"/>
        </w:rPr>
        <w:t>疾控中心</w:t>
      </w:r>
      <w:r>
        <w:rPr>
          <w:rFonts w:hint="eastAsia" w:ascii="仿宋_GB2312" w:eastAsia="仿宋_GB2312"/>
          <w:sz w:val="32"/>
          <w:szCs w:val="28"/>
          <w:lang w:eastAsia="zh-CN"/>
        </w:rPr>
        <w:t>、新区第一人民医院</w:t>
      </w:r>
      <w:r>
        <w:rPr>
          <w:rFonts w:hint="eastAsia" w:ascii="仿宋_GB2312" w:eastAsia="仿宋_GB2312"/>
          <w:sz w:val="32"/>
          <w:szCs w:val="28"/>
        </w:rPr>
        <w:t>负责具体实施。</w:t>
      </w:r>
      <w:r>
        <w:rPr>
          <w:rFonts w:hint="eastAsia" w:ascii="仿宋_GB2312" w:eastAsia="仿宋_GB2312"/>
          <w:sz w:val="32"/>
          <w:szCs w:val="28"/>
          <w:lang w:eastAsia="zh-CN"/>
        </w:rPr>
        <w:t>并接受上级</w:t>
      </w:r>
      <w:r>
        <w:rPr>
          <w:rFonts w:hint="eastAsia" w:ascii="仿宋_GB2312" w:eastAsia="仿宋_GB2312"/>
          <w:sz w:val="32"/>
          <w:szCs w:val="28"/>
        </w:rPr>
        <w:t>卫生健康委和疾病预防控制中心</w:t>
      </w:r>
      <w:r>
        <w:rPr>
          <w:rFonts w:hint="eastAsia" w:ascii="仿宋_GB2312" w:eastAsia="仿宋_GB2312"/>
          <w:sz w:val="32"/>
          <w:szCs w:val="28"/>
          <w:lang w:eastAsia="zh-CN"/>
        </w:rPr>
        <w:t>的</w:t>
      </w:r>
      <w:r>
        <w:rPr>
          <w:rFonts w:hint="eastAsia" w:ascii="仿宋_GB2312" w:eastAsia="仿宋_GB2312"/>
          <w:sz w:val="32"/>
          <w:szCs w:val="28"/>
        </w:rPr>
        <w:t>技术指导和督导检查。</w:t>
      </w:r>
    </w:p>
    <w:p w14:paraId="1C8A33BD">
      <w:pPr>
        <w:overflowPunct w:val="0"/>
        <w:spacing w:line="580" w:lineRule="exact"/>
        <w:ind w:firstLine="640" w:firstLineChars="200"/>
        <w:rPr>
          <w:rFonts w:hint="eastAsia" w:ascii="仿宋_GB2312" w:eastAsia="仿宋_GB2312"/>
          <w:sz w:val="32"/>
          <w:szCs w:val="28"/>
        </w:rPr>
      </w:pPr>
      <w:r>
        <w:rPr>
          <w:rFonts w:hint="eastAsia" w:ascii="楷体_GB2312" w:eastAsia="楷体_GB2312"/>
          <w:sz w:val="32"/>
          <w:szCs w:val="28"/>
        </w:rPr>
        <w:t>（二）资金安排。</w:t>
      </w:r>
      <w:r>
        <w:rPr>
          <w:rFonts w:hint="eastAsia" w:ascii="仿宋_GB2312" w:eastAsia="仿宋_GB2312"/>
          <w:sz w:val="32"/>
          <w:szCs w:val="28"/>
        </w:rPr>
        <w:t>202</w:t>
      </w:r>
      <w:r>
        <w:rPr>
          <w:rFonts w:hint="eastAsia" w:ascii="仿宋_GB2312" w:eastAsia="仿宋_GB2312"/>
          <w:sz w:val="32"/>
          <w:szCs w:val="28"/>
          <w:lang w:val="en-US" w:eastAsia="zh-CN"/>
        </w:rPr>
        <w:t>3</w:t>
      </w:r>
      <w:r>
        <w:rPr>
          <w:rFonts w:hint="eastAsia" w:ascii="仿宋_GB2312" w:eastAsia="仿宋_GB2312"/>
          <w:sz w:val="32"/>
          <w:szCs w:val="28"/>
        </w:rPr>
        <w:t>年本项目下达</w:t>
      </w:r>
      <w:r>
        <w:rPr>
          <w:rFonts w:hint="eastAsia" w:ascii="仿宋_GB2312" w:eastAsia="仿宋_GB2312"/>
          <w:sz w:val="32"/>
          <w:szCs w:val="28"/>
          <w:lang w:eastAsia="zh-CN"/>
        </w:rPr>
        <w:t>中央转移支付</w:t>
      </w:r>
      <w:r>
        <w:rPr>
          <w:rFonts w:hint="eastAsia" w:ascii="仿宋_GB2312" w:eastAsia="仿宋_GB2312"/>
          <w:sz w:val="32"/>
          <w:szCs w:val="28"/>
        </w:rPr>
        <w:t>专项资金</w:t>
      </w:r>
      <w:r>
        <w:rPr>
          <w:rFonts w:hint="eastAsia" w:ascii="仿宋_GB2312" w:eastAsia="仿宋_GB2312"/>
          <w:sz w:val="32"/>
          <w:szCs w:val="28"/>
          <w:lang w:val="en-US" w:eastAsia="zh-CN"/>
        </w:rPr>
        <w:t>27</w:t>
      </w:r>
      <w:r>
        <w:rPr>
          <w:rFonts w:hint="eastAsia" w:ascii="仿宋_GB2312" w:eastAsia="仿宋_GB2312"/>
          <w:sz w:val="32"/>
          <w:szCs w:val="28"/>
        </w:rPr>
        <w:t>万元，主要用于人员培训、流感样病例监测、流感暴发疫情处置、标本采集、实验室检测、督导、购置相关仪器设备等工作。</w:t>
      </w:r>
    </w:p>
    <w:p w14:paraId="45DB7AF4">
      <w:pPr>
        <w:pStyle w:val="21"/>
        <w:ind w:firstLine="640" w:firstLineChars="200"/>
        <w:rPr>
          <w:rFonts w:hint="eastAsia" w:eastAsia="仿宋_GB2312"/>
          <w:lang w:eastAsia="zh-CN"/>
        </w:rPr>
      </w:pPr>
      <w:r>
        <w:rPr>
          <w:rFonts w:hint="eastAsia" w:ascii="楷体_GB2312" w:hAnsi="等线" w:eastAsia="楷体_GB2312" w:cs="Times New Roman"/>
          <w:kern w:val="2"/>
          <w:sz w:val="32"/>
          <w:szCs w:val="28"/>
          <w:lang w:val="en-US" w:eastAsia="zh-CN" w:bidi="ar-SA"/>
        </w:rPr>
        <w:t>（三）开展工作。</w:t>
      </w:r>
      <w:r>
        <w:rPr>
          <w:rFonts w:hint="eastAsia" w:ascii="仿宋_GB2312"/>
          <w:sz w:val="32"/>
          <w:szCs w:val="28"/>
          <w:lang w:val="en-US" w:eastAsia="zh-CN"/>
        </w:rPr>
        <w:t>一是开展流感标本采集及送检工作：新区第一人民医院（哨点医院）每周一通过网络系统报告上周的流感样病例数据。新区第一人民医院截止2023年12月31日，共完成流感样病例检测312份，其中甲流39份，乙流58份，结果均已上报乙类传染病。二是</w:t>
      </w:r>
      <w:r>
        <w:rPr>
          <w:rFonts w:hint="eastAsia" w:ascii="仿宋_GB2312"/>
          <w:sz w:val="32"/>
          <w:szCs w:val="28"/>
          <w:lang w:eastAsia="zh-CN"/>
        </w:rPr>
        <w:t>累计开展流感等重点传染病健康讲座100场次，惠及5万余人次，累计发放宣传资料25000余份，制作宣传科普视频，公众号推送传染病防控知识50余次、视频号推送10余次</w:t>
      </w:r>
    </w:p>
    <w:p w14:paraId="492E7B8A">
      <w:pPr>
        <w:spacing w:line="560" w:lineRule="exact"/>
        <w:ind w:left="640"/>
        <w:rPr>
          <w:rFonts w:hint="eastAsia" w:ascii="黑体" w:hAnsi="黑体" w:eastAsia="黑体"/>
          <w:sz w:val="32"/>
          <w:szCs w:val="32"/>
        </w:rPr>
      </w:pPr>
      <w:r>
        <w:rPr>
          <w:rFonts w:hint="eastAsia" w:ascii="黑体" w:hAnsi="黑体" w:eastAsia="黑体"/>
          <w:sz w:val="32"/>
          <w:szCs w:val="32"/>
        </w:rPr>
        <w:t>三、项目绩效自评开展情况</w:t>
      </w:r>
    </w:p>
    <w:p w14:paraId="0484F337">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新区卫健委高度重视疾控类项目绩效自评工作，自任务下达以来，专门召开会议传达上级要求，结合202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年年初工作计划，认真组织自评报告。</w:t>
      </w:r>
    </w:p>
    <w:p w14:paraId="0E75FD38">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四、项目目标实现情况分析</w:t>
      </w:r>
    </w:p>
    <w:p w14:paraId="48A01893">
      <w:pPr>
        <w:adjustRightInd w:val="0"/>
        <w:spacing w:line="560" w:lineRule="exact"/>
        <w:ind w:firstLine="640" w:firstLineChars="20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sz w:val="32"/>
          <w:szCs w:val="32"/>
          <w:lang w:val="en-US" w:eastAsia="zh-CN"/>
        </w:rPr>
        <w:t>新区</w:t>
      </w:r>
      <w:r>
        <w:rPr>
          <w:rFonts w:hint="eastAsia" w:ascii="仿宋_GB2312" w:hAnsi="仿宋_GB2312" w:eastAsia="仿宋_GB2312" w:cs="仿宋_GB2312"/>
          <w:sz w:val="32"/>
          <w:szCs w:val="32"/>
        </w:rPr>
        <w:t>无流感暴发疫情引起的社会不稳定事件</w:t>
      </w:r>
      <w:r>
        <w:rPr>
          <w:rFonts w:hint="eastAsia" w:ascii="仿宋_GB2312" w:hAnsi="仿宋_GB2312" w:eastAsia="仿宋_GB2312" w:cs="仿宋_GB2312"/>
          <w:sz w:val="32"/>
          <w:szCs w:val="32"/>
          <w:lang w:val="en-US" w:eastAsia="zh-CN"/>
        </w:rPr>
        <w:t>.</w:t>
      </w:r>
    </w:p>
    <w:p w14:paraId="0F58F25D">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五、结论</w:t>
      </w:r>
    </w:p>
    <w:p w14:paraId="45D6A2A8">
      <w:pPr>
        <w:spacing w:line="560" w:lineRule="exact"/>
        <w:ind w:firstLine="640" w:firstLineChars="200"/>
        <w:rPr>
          <w:rFonts w:hint="eastAsia" w:ascii="楷体_GB2312" w:hAnsi="楷体" w:eastAsia="楷体_GB2312"/>
          <w:sz w:val="32"/>
          <w:szCs w:val="32"/>
        </w:rPr>
      </w:pPr>
      <w:r>
        <w:rPr>
          <w:rFonts w:hint="eastAsia" w:ascii="楷体_GB2312" w:hAnsi="楷体" w:eastAsia="楷体_GB2312"/>
          <w:sz w:val="32"/>
          <w:szCs w:val="32"/>
        </w:rPr>
        <w:t>(一）主要指标情况及结论。</w:t>
      </w:r>
    </w:p>
    <w:p w14:paraId="01C44F33">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1.主要指标情况。</w:t>
      </w:r>
    </w:p>
    <w:p w14:paraId="65BCC626">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资金执行分值10分，项目保障经费全部及时拨付到位，资金分配合理，项目执行率100%，实际得分10分。</w:t>
      </w:r>
    </w:p>
    <w:p w14:paraId="5D2F94E7">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产出一级指标50分，实际得分</w:t>
      </w:r>
      <w:r>
        <w:rPr>
          <w:rFonts w:hint="eastAsia" w:ascii="仿宋_GB2312" w:hAnsi="仿宋_GB2312" w:eastAsia="仿宋_GB2312" w:cs="仿宋_GB2312"/>
          <w:color w:val="000000"/>
          <w:kern w:val="0"/>
          <w:sz w:val="32"/>
          <w:szCs w:val="32"/>
          <w:lang w:val="en-US" w:eastAsia="zh-CN" w:bidi="zh-TW"/>
        </w:rPr>
        <w:t>48</w:t>
      </w:r>
      <w:r>
        <w:rPr>
          <w:rFonts w:hint="eastAsia" w:ascii="仿宋_GB2312" w:hAnsi="仿宋_GB2312" w:eastAsia="仿宋_GB2312" w:cs="仿宋_GB2312"/>
          <w:color w:val="000000"/>
          <w:kern w:val="0"/>
          <w:sz w:val="32"/>
          <w:szCs w:val="32"/>
          <w:lang w:val="zh-TW" w:bidi="zh-TW"/>
        </w:rPr>
        <w:t>分。项目</w:t>
      </w:r>
      <w:r>
        <w:rPr>
          <w:rFonts w:hint="eastAsia" w:ascii="仿宋_GB2312" w:hAnsi="仿宋_GB2312" w:eastAsia="仿宋_GB2312" w:cs="仿宋_GB2312"/>
          <w:color w:val="000000"/>
          <w:kern w:val="0"/>
          <w:sz w:val="32"/>
          <w:szCs w:val="32"/>
          <w:lang w:val="zh-TW" w:eastAsia="zh-CN" w:bidi="zh-TW"/>
        </w:rPr>
        <w:t>基本</w:t>
      </w:r>
      <w:r>
        <w:rPr>
          <w:rFonts w:hint="eastAsia" w:ascii="仿宋_GB2312" w:hAnsi="仿宋_GB2312" w:eastAsia="仿宋_GB2312" w:cs="仿宋_GB2312"/>
          <w:color w:val="000000"/>
          <w:kern w:val="0"/>
          <w:sz w:val="32"/>
          <w:szCs w:val="32"/>
          <w:lang w:val="zh-TW" w:bidi="zh-TW"/>
        </w:rPr>
        <w:t>部按计划完成任务，整体进度合理，项目质量达到与其目标，达标率100%。</w:t>
      </w:r>
    </w:p>
    <w:p w14:paraId="209750E1">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效益一级指标30分，实际得分30分。项目整体社会效益较高，后期具有显著可持续性。</w:t>
      </w:r>
    </w:p>
    <w:p w14:paraId="7FD13349">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满意度一级指标10分，实际得分10分，受益群众满意度达95%以上。</w:t>
      </w:r>
    </w:p>
    <w:p w14:paraId="6BBA94A7">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2.结论</w:t>
      </w:r>
    </w:p>
    <w:p w14:paraId="2ED49CC6">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项目整体完成情况较好，预算执行率高，较好的完成了年度目标任务。</w:t>
      </w:r>
    </w:p>
    <w:p w14:paraId="539E5FB6">
      <w:pPr>
        <w:spacing w:line="640" w:lineRule="exact"/>
        <w:jc w:val="both"/>
        <w:rPr>
          <w:rFonts w:hint="eastAsia" w:ascii="楷体" w:hAnsi="楷体" w:eastAsia="楷体" w:cs="楷体"/>
          <w:sz w:val="32"/>
          <w:szCs w:val="32"/>
        </w:rPr>
      </w:pPr>
      <w:r>
        <w:rPr>
          <w:rFonts w:hint="eastAsia" w:ascii="楷体" w:hAnsi="楷体" w:eastAsia="楷体" w:cs="楷体"/>
          <w:sz w:val="32"/>
          <w:szCs w:val="32"/>
        </w:rPr>
        <w:t>202</w:t>
      </w:r>
      <w:r>
        <w:rPr>
          <w:rFonts w:hint="eastAsia" w:ascii="楷体" w:hAnsi="楷体" w:eastAsia="楷体" w:cs="楷体"/>
          <w:sz w:val="32"/>
          <w:szCs w:val="32"/>
          <w:lang w:val="en-US" w:eastAsia="zh-CN"/>
        </w:rPr>
        <w:t>3</w:t>
      </w:r>
      <w:r>
        <w:rPr>
          <w:rFonts w:hint="eastAsia" w:ascii="楷体" w:hAnsi="楷体" w:eastAsia="楷体" w:cs="楷体"/>
          <w:sz w:val="32"/>
          <w:szCs w:val="32"/>
        </w:rPr>
        <w:t>年兰州新区</w:t>
      </w:r>
      <w:r>
        <w:rPr>
          <w:rFonts w:hint="eastAsia" w:ascii="楷体" w:hAnsi="楷体" w:eastAsia="楷体" w:cs="楷体"/>
          <w:sz w:val="32"/>
          <w:szCs w:val="32"/>
          <w:lang w:val="en-US" w:eastAsia="zh-CN"/>
        </w:rPr>
        <w:t>新冠病毒变异监测基础设备项目</w:t>
      </w:r>
    </w:p>
    <w:p w14:paraId="3E444C80">
      <w:pPr>
        <w:spacing w:line="560" w:lineRule="exact"/>
        <w:ind w:firstLine="640" w:firstLineChars="200"/>
        <w:rPr>
          <w:rFonts w:hint="eastAsia" w:ascii="仿宋_GB2312" w:eastAsia="仿宋_GB2312"/>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项目基本情况</w:t>
      </w:r>
    </w:p>
    <w:p w14:paraId="3B1FBF5B">
      <w:pPr>
        <w:spacing w:line="560" w:lineRule="exact"/>
        <w:ind w:firstLine="640" w:firstLineChars="200"/>
        <w:rPr>
          <w:rFonts w:hint="eastAsia" w:ascii="仿宋_GB2312" w:hAnsi="仿宋" w:eastAsia="仿宋_GB2312"/>
          <w:sz w:val="32"/>
          <w:szCs w:val="32"/>
        </w:rPr>
      </w:pPr>
      <w:r>
        <w:rPr>
          <w:rFonts w:hint="eastAsia" w:ascii="楷体" w:hAnsi="楷体" w:eastAsia="楷体"/>
          <w:sz w:val="32"/>
          <w:szCs w:val="32"/>
        </w:rPr>
        <w:t>(一)项目概况</w:t>
      </w:r>
      <w:r>
        <w:rPr>
          <w:rFonts w:hint="eastAsia" w:ascii="仿宋_GB2312" w:eastAsia="仿宋_GB2312"/>
          <w:sz w:val="32"/>
          <w:szCs w:val="32"/>
        </w:rPr>
        <w:t>。</w:t>
      </w:r>
      <w:r>
        <w:rPr>
          <w:rFonts w:hint="eastAsia" w:ascii="仿宋_GB2312" w:hAnsi="仿宋" w:eastAsia="仿宋_GB2312"/>
          <w:color w:val="auto"/>
          <w:spacing w:val="-4"/>
          <w:sz w:val="32"/>
          <w:szCs w:val="32"/>
        </w:rPr>
        <w:t>按照省财政厅、省疾病预防控制局《关于下达2023年甘肃省中央转移支付医疗服务与保障能力提升（医疗卫生机构能力建设、卫生健康人才培养）补助资金的通知》（甘财社〔2023〕106号）和省疾病预防控制局《关于印发2023年中央转移支付医疗服务与保障能力提升（医疗卫生机构能力建设、卫生健康人才培养）补助资金实施方案的通知》（甘疾控规财函〔2023〕26号）有关要求</w:t>
      </w:r>
      <w:r>
        <w:rPr>
          <w:rFonts w:hint="eastAsia" w:ascii="仿宋_GB2312" w:hAnsi="仿宋" w:eastAsia="仿宋_GB2312"/>
          <w:color w:val="auto"/>
          <w:spacing w:val="-4"/>
          <w:sz w:val="32"/>
          <w:szCs w:val="32"/>
          <w:lang w:eastAsia="zh-CN"/>
        </w:rPr>
        <w:t>，</w:t>
      </w:r>
      <w:r>
        <w:rPr>
          <w:rFonts w:hint="eastAsia" w:ascii="仿宋_GB2312" w:hAnsi="仿宋_GB2312" w:eastAsia="仿宋_GB2312" w:cs="仿宋_GB2312"/>
          <w:kern w:val="0"/>
          <w:sz w:val="32"/>
          <w:szCs w:val="32"/>
          <w:lang w:bidi="ar"/>
        </w:rPr>
        <w:t>兰州新区</w:t>
      </w:r>
      <w:r>
        <w:rPr>
          <w:rFonts w:hint="eastAsia" w:ascii="仿宋_GB2312" w:hAnsi="仿宋_GB2312" w:eastAsia="仿宋_GB2312" w:cs="仿宋_GB2312"/>
          <w:kern w:val="0"/>
          <w:sz w:val="32"/>
          <w:szCs w:val="32"/>
          <w:lang w:val="en-US" w:eastAsia="zh-CN" w:bidi="ar"/>
        </w:rPr>
        <w:t>2023年</w:t>
      </w:r>
      <w:r>
        <w:rPr>
          <w:rFonts w:hint="eastAsia" w:ascii="仿宋_GB2312" w:hAnsi="仿宋_GB2312" w:eastAsia="仿宋_GB2312" w:cs="仿宋_GB2312"/>
          <w:kern w:val="0"/>
          <w:sz w:val="32"/>
          <w:szCs w:val="32"/>
          <w:lang w:bidi="ar"/>
        </w:rPr>
        <w:t>开展了</w:t>
      </w:r>
      <w:r>
        <w:rPr>
          <w:rFonts w:hint="eastAsia" w:ascii="仿宋_GB2312" w:hAnsi="仿宋_GB2312" w:eastAsia="仿宋_GB2312" w:cs="仿宋_GB2312"/>
          <w:kern w:val="0"/>
          <w:sz w:val="32"/>
          <w:szCs w:val="32"/>
          <w:lang w:eastAsia="zh-CN" w:bidi="ar"/>
        </w:rPr>
        <w:t>新冠病毒变异监测基础设备项目</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color w:val="000000"/>
          <w:sz w:val="32"/>
          <w:szCs w:val="32"/>
        </w:rPr>
        <w:t>项目执行主体为兰州新区</w:t>
      </w:r>
      <w:r>
        <w:rPr>
          <w:rFonts w:hint="eastAsia" w:ascii="仿宋_GB2312" w:hAnsi="仿宋_GB2312" w:eastAsia="仿宋_GB2312" w:cs="仿宋_GB2312"/>
          <w:color w:val="000000"/>
          <w:sz w:val="32"/>
          <w:szCs w:val="32"/>
          <w:lang w:eastAsia="zh-CN"/>
        </w:rPr>
        <w:t>卫生健康委</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kern w:val="0"/>
          <w:sz w:val="32"/>
          <w:szCs w:val="32"/>
          <w:lang w:bidi="ar"/>
        </w:rPr>
        <w:t>新区疾控中心</w:t>
      </w:r>
      <w:r>
        <w:rPr>
          <w:rFonts w:hint="eastAsia" w:ascii="仿宋_GB2312" w:hAnsi="仿宋" w:eastAsia="仿宋_GB2312"/>
          <w:sz w:val="32"/>
          <w:szCs w:val="32"/>
        </w:rPr>
        <w:t>。</w:t>
      </w:r>
    </w:p>
    <w:p w14:paraId="6E268257">
      <w:pPr>
        <w:overflowPunct w:val="0"/>
        <w:spacing w:line="580" w:lineRule="exact"/>
        <w:ind w:firstLine="640" w:firstLineChars="200"/>
        <w:rPr>
          <w:rFonts w:hint="eastAsia" w:ascii="仿宋_GB2312" w:eastAsia="仿宋_GB2312"/>
          <w:sz w:val="32"/>
          <w:szCs w:val="28"/>
          <w:lang w:eastAsia="zh-CN"/>
        </w:rPr>
      </w:pPr>
      <w:r>
        <w:rPr>
          <w:rFonts w:hint="eastAsia" w:ascii="楷体" w:hAnsi="楷体" w:eastAsia="楷体"/>
          <w:sz w:val="32"/>
          <w:szCs w:val="32"/>
        </w:rPr>
        <w:t>(二）项目绩效目标情况。</w:t>
      </w:r>
      <w:r>
        <w:rPr>
          <w:rFonts w:hint="eastAsia" w:ascii="仿宋_GB2312" w:eastAsia="仿宋_GB2312"/>
          <w:sz w:val="32"/>
          <w:szCs w:val="28"/>
          <w:lang w:eastAsia="zh-CN"/>
        </w:rPr>
        <w:t>开展兰州新区</w:t>
      </w:r>
      <w:r>
        <w:rPr>
          <w:rFonts w:hint="eastAsia" w:ascii="仿宋_GB2312" w:eastAsia="仿宋_GB2312"/>
          <w:sz w:val="32"/>
          <w:szCs w:val="28"/>
        </w:rPr>
        <w:t>城市污水新冠病毒监测</w:t>
      </w:r>
      <w:r>
        <w:rPr>
          <w:rFonts w:hint="eastAsia" w:ascii="仿宋_GB2312" w:eastAsia="仿宋_GB2312"/>
          <w:sz w:val="32"/>
          <w:szCs w:val="28"/>
          <w:lang w:eastAsia="zh-CN"/>
        </w:rPr>
        <w:t>。</w:t>
      </w:r>
    </w:p>
    <w:p w14:paraId="2541E8F9">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二、项目实施及管理情况</w:t>
      </w:r>
    </w:p>
    <w:p w14:paraId="1A8AD0A9">
      <w:pPr>
        <w:overflowPunct w:val="0"/>
        <w:spacing w:line="580" w:lineRule="exact"/>
        <w:ind w:firstLine="640" w:firstLineChars="200"/>
        <w:rPr>
          <w:rFonts w:hint="eastAsia" w:ascii="仿宋_GB2312" w:eastAsia="仿宋_GB2312"/>
          <w:sz w:val="32"/>
          <w:szCs w:val="28"/>
        </w:rPr>
      </w:pPr>
      <w:r>
        <w:rPr>
          <w:rFonts w:hint="eastAsia" w:ascii="楷体_GB2312" w:hAnsi="仿宋_GB2312" w:eastAsia="楷体_GB2312" w:cs="仿宋_GB2312"/>
          <w:sz w:val="32"/>
        </w:rPr>
        <w:t>（一）组织管理方面。</w:t>
      </w:r>
      <w:r>
        <w:rPr>
          <w:rFonts w:hint="eastAsia" w:ascii="仿宋_GB2312" w:eastAsia="仿宋_GB2312"/>
          <w:sz w:val="32"/>
          <w:szCs w:val="28"/>
        </w:rPr>
        <w:t>由</w:t>
      </w:r>
      <w:r>
        <w:rPr>
          <w:rFonts w:hint="eastAsia" w:ascii="仿宋_GB2312" w:eastAsia="仿宋_GB2312"/>
          <w:sz w:val="32"/>
          <w:szCs w:val="28"/>
          <w:lang w:eastAsia="zh-CN"/>
        </w:rPr>
        <w:t>新区</w:t>
      </w:r>
      <w:r>
        <w:rPr>
          <w:rFonts w:hint="eastAsia" w:ascii="仿宋_GB2312" w:eastAsia="仿宋_GB2312"/>
          <w:sz w:val="32"/>
          <w:szCs w:val="28"/>
        </w:rPr>
        <w:t>卫生健康委组织，</w:t>
      </w:r>
      <w:r>
        <w:rPr>
          <w:rFonts w:hint="eastAsia" w:ascii="仿宋_GB2312" w:eastAsia="仿宋_GB2312"/>
          <w:sz w:val="32"/>
          <w:szCs w:val="28"/>
          <w:lang w:eastAsia="zh-CN"/>
        </w:rPr>
        <w:t>新区</w:t>
      </w:r>
      <w:r>
        <w:rPr>
          <w:rFonts w:hint="eastAsia" w:ascii="仿宋_GB2312" w:eastAsia="仿宋_GB2312"/>
          <w:sz w:val="32"/>
          <w:szCs w:val="28"/>
        </w:rPr>
        <w:t>疾控中心负责具体实施。</w:t>
      </w:r>
      <w:r>
        <w:rPr>
          <w:rFonts w:hint="eastAsia" w:ascii="仿宋_GB2312" w:eastAsia="仿宋_GB2312"/>
          <w:sz w:val="32"/>
          <w:szCs w:val="28"/>
          <w:lang w:eastAsia="zh-CN"/>
        </w:rPr>
        <w:t>并接受上级</w:t>
      </w:r>
      <w:r>
        <w:rPr>
          <w:rFonts w:hint="eastAsia" w:ascii="仿宋_GB2312" w:eastAsia="仿宋_GB2312"/>
          <w:sz w:val="32"/>
          <w:szCs w:val="28"/>
        </w:rPr>
        <w:t>卫生健康委和疾病预防控制中心</w:t>
      </w:r>
      <w:r>
        <w:rPr>
          <w:rFonts w:hint="eastAsia" w:ascii="仿宋_GB2312" w:eastAsia="仿宋_GB2312"/>
          <w:sz w:val="32"/>
          <w:szCs w:val="28"/>
          <w:lang w:eastAsia="zh-CN"/>
        </w:rPr>
        <w:t>的</w:t>
      </w:r>
      <w:r>
        <w:rPr>
          <w:rFonts w:hint="eastAsia" w:ascii="仿宋_GB2312" w:eastAsia="仿宋_GB2312"/>
          <w:sz w:val="32"/>
          <w:szCs w:val="28"/>
        </w:rPr>
        <w:t>技术指导和督导检查。</w:t>
      </w:r>
    </w:p>
    <w:p w14:paraId="594C9CCE">
      <w:pPr>
        <w:overflowPunct w:val="0"/>
        <w:spacing w:line="580" w:lineRule="exact"/>
        <w:ind w:firstLine="640" w:firstLineChars="200"/>
        <w:rPr>
          <w:rFonts w:hint="eastAsia" w:ascii="仿宋_GB2312" w:eastAsia="仿宋_GB2312"/>
          <w:sz w:val="32"/>
          <w:szCs w:val="28"/>
        </w:rPr>
      </w:pPr>
      <w:r>
        <w:rPr>
          <w:rFonts w:hint="eastAsia" w:ascii="楷体_GB2312" w:eastAsia="楷体_GB2312"/>
          <w:sz w:val="32"/>
          <w:szCs w:val="28"/>
        </w:rPr>
        <w:t>（二）资金安排。</w:t>
      </w:r>
      <w:r>
        <w:rPr>
          <w:rFonts w:hint="eastAsia" w:ascii="仿宋_GB2312" w:eastAsia="仿宋_GB2312"/>
          <w:sz w:val="32"/>
          <w:szCs w:val="28"/>
        </w:rPr>
        <w:t>202</w:t>
      </w:r>
      <w:r>
        <w:rPr>
          <w:rFonts w:hint="eastAsia" w:ascii="仿宋_GB2312" w:eastAsia="仿宋_GB2312"/>
          <w:sz w:val="32"/>
          <w:szCs w:val="28"/>
          <w:lang w:val="en-US" w:eastAsia="zh-CN"/>
        </w:rPr>
        <w:t>3</w:t>
      </w:r>
      <w:r>
        <w:rPr>
          <w:rFonts w:hint="eastAsia" w:ascii="仿宋_GB2312" w:eastAsia="仿宋_GB2312"/>
          <w:sz w:val="32"/>
          <w:szCs w:val="28"/>
        </w:rPr>
        <w:t>年本项目下达</w:t>
      </w:r>
      <w:r>
        <w:rPr>
          <w:rFonts w:hint="eastAsia" w:ascii="仿宋_GB2312" w:eastAsia="仿宋_GB2312"/>
          <w:sz w:val="32"/>
          <w:szCs w:val="28"/>
          <w:lang w:eastAsia="zh-CN"/>
        </w:rPr>
        <w:t>中央转移支付</w:t>
      </w:r>
      <w:r>
        <w:rPr>
          <w:rFonts w:hint="eastAsia" w:ascii="仿宋_GB2312" w:eastAsia="仿宋_GB2312"/>
          <w:sz w:val="32"/>
          <w:szCs w:val="28"/>
        </w:rPr>
        <w:t>专项资金</w:t>
      </w:r>
      <w:r>
        <w:rPr>
          <w:rFonts w:hint="eastAsia" w:ascii="仿宋_GB2312" w:eastAsia="仿宋_GB2312"/>
          <w:sz w:val="32"/>
          <w:szCs w:val="28"/>
          <w:lang w:val="en-US" w:eastAsia="zh-CN"/>
        </w:rPr>
        <w:t>4</w:t>
      </w:r>
      <w:r>
        <w:rPr>
          <w:rFonts w:hint="eastAsia" w:ascii="仿宋_GB2312" w:eastAsia="仿宋_GB2312"/>
          <w:sz w:val="32"/>
          <w:szCs w:val="28"/>
        </w:rPr>
        <w:t>万元，主要用于城市污水新冠病毒监测全自动污水采样设备及试剂耗材等。</w:t>
      </w:r>
    </w:p>
    <w:p w14:paraId="18651061">
      <w:pPr>
        <w:spacing w:line="560" w:lineRule="exact"/>
        <w:rPr>
          <w:rFonts w:hint="eastAsia" w:ascii="黑体" w:hAnsi="黑体" w:eastAsia="黑体"/>
          <w:sz w:val="32"/>
          <w:szCs w:val="32"/>
        </w:rPr>
      </w:pPr>
      <w:r>
        <w:rPr>
          <w:rFonts w:hint="eastAsia" w:ascii="黑体" w:hAnsi="黑体" w:eastAsia="黑体"/>
          <w:sz w:val="32"/>
          <w:szCs w:val="32"/>
        </w:rPr>
        <w:t>三、项目绩效自评开展情况</w:t>
      </w:r>
    </w:p>
    <w:p w14:paraId="4A2FFCF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新区卫健委高度重视疾控类项目绩效自评工作，自任务下达以来，专门召开会议传达上级要求，结合202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年工作计划，认真组织自评报告。</w:t>
      </w:r>
    </w:p>
    <w:p w14:paraId="492A1888">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四、项目目标实现情况分析</w:t>
      </w:r>
    </w:p>
    <w:p w14:paraId="13E4BD2E">
      <w:pPr>
        <w:overflowPunct w:val="0"/>
        <w:spacing w:line="580" w:lineRule="exact"/>
        <w:ind w:firstLine="640" w:firstLineChars="200"/>
        <w:rPr>
          <w:rFonts w:hint="eastAsia" w:ascii="仿宋_GB2312" w:eastAsia="仿宋_GB2312"/>
          <w:sz w:val="32"/>
          <w:szCs w:val="28"/>
          <w:lang w:eastAsia="zh-CN"/>
        </w:rPr>
      </w:pPr>
      <w:r>
        <w:rPr>
          <w:rFonts w:hint="eastAsia" w:ascii="仿宋_GB2312" w:eastAsia="仿宋_GB2312"/>
          <w:sz w:val="32"/>
          <w:szCs w:val="28"/>
          <w:lang w:eastAsia="zh-CN"/>
        </w:rPr>
        <w:t>开展兰州新区</w:t>
      </w:r>
      <w:r>
        <w:rPr>
          <w:rFonts w:hint="eastAsia" w:ascii="仿宋_GB2312" w:eastAsia="仿宋_GB2312"/>
          <w:sz w:val="32"/>
          <w:szCs w:val="28"/>
        </w:rPr>
        <w:t>城市污水新冠病毒监测</w:t>
      </w:r>
      <w:r>
        <w:rPr>
          <w:rFonts w:hint="eastAsia" w:ascii="仿宋_GB2312" w:eastAsia="仿宋_GB2312"/>
          <w:sz w:val="32"/>
          <w:szCs w:val="28"/>
          <w:lang w:eastAsia="zh-CN"/>
        </w:rPr>
        <w:t>。</w:t>
      </w:r>
    </w:p>
    <w:p w14:paraId="3D1C3B11">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五、结论</w:t>
      </w:r>
    </w:p>
    <w:p w14:paraId="701F5CEA">
      <w:pPr>
        <w:spacing w:line="560" w:lineRule="exact"/>
        <w:ind w:firstLine="640" w:firstLineChars="200"/>
        <w:rPr>
          <w:rFonts w:hint="eastAsia" w:ascii="楷体_GB2312" w:hAnsi="楷体" w:eastAsia="楷体_GB2312"/>
          <w:sz w:val="32"/>
          <w:szCs w:val="32"/>
        </w:rPr>
      </w:pPr>
      <w:r>
        <w:rPr>
          <w:rFonts w:hint="eastAsia" w:ascii="楷体_GB2312" w:hAnsi="楷体" w:eastAsia="楷体_GB2312"/>
          <w:sz w:val="32"/>
          <w:szCs w:val="32"/>
        </w:rPr>
        <w:t>(一）主要指标情况及结论。</w:t>
      </w:r>
    </w:p>
    <w:p w14:paraId="4C63F4D0">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1.主要指标情况。</w:t>
      </w:r>
    </w:p>
    <w:p w14:paraId="5821E7B8">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资金执行分值10分，项目保障经费全部及时拨付到位，资金分配合理，项目执行率100%，实际得分10分。</w:t>
      </w:r>
    </w:p>
    <w:p w14:paraId="57E6FA49">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产出一级指标50分，实际得分50分。项目全部按计划完成任务，整体进度合理，项目质量达到与其目标，达标率100%。</w:t>
      </w:r>
    </w:p>
    <w:p w14:paraId="7DF75B3F">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效益一级指标30分，实际得分30分。项目整体社会效益较高，后期具有显著可持续性。</w:t>
      </w:r>
    </w:p>
    <w:p w14:paraId="58242959">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满意度一级指标10分，实际得分10分，受益群众满意度达95%以上。</w:t>
      </w:r>
    </w:p>
    <w:p w14:paraId="1D63A6B1">
      <w:pPr>
        <w:spacing w:line="560" w:lineRule="exact"/>
        <w:ind w:firstLine="643" w:firstLineChars="200"/>
        <w:rPr>
          <w:rFonts w:hint="eastAsia" w:ascii="仿宋_GB2312" w:hAnsi="仿宋_GB2312" w:eastAsia="仿宋_GB2312" w:cs="仿宋_GB2312"/>
          <w:b/>
          <w:color w:val="000000"/>
          <w:kern w:val="0"/>
          <w:sz w:val="32"/>
          <w:szCs w:val="32"/>
          <w:lang w:val="zh-TW" w:bidi="zh-TW"/>
        </w:rPr>
      </w:pPr>
      <w:r>
        <w:rPr>
          <w:rFonts w:hint="eastAsia" w:ascii="仿宋_GB2312" w:hAnsi="仿宋_GB2312" w:eastAsia="仿宋_GB2312" w:cs="仿宋_GB2312"/>
          <w:b/>
          <w:color w:val="000000"/>
          <w:kern w:val="0"/>
          <w:sz w:val="32"/>
          <w:szCs w:val="32"/>
          <w:lang w:val="zh-TW" w:bidi="zh-TW"/>
        </w:rPr>
        <w:t>2.结论</w:t>
      </w:r>
    </w:p>
    <w:p w14:paraId="2E3E5D76">
      <w:pPr>
        <w:spacing w:line="560" w:lineRule="exact"/>
        <w:ind w:firstLine="640" w:firstLineChars="200"/>
        <w:rPr>
          <w:rFonts w:hint="eastAsia" w:ascii="仿宋_GB2312" w:eastAsia="仿宋_GB2312"/>
          <w:sz w:val="32"/>
          <w:szCs w:val="32"/>
        </w:rPr>
      </w:pPr>
      <w:r>
        <w:rPr>
          <w:rFonts w:hint="eastAsia" w:ascii="仿宋_GB2312" w:hAnsi="仿宋_GB2312" w:eastAsia="仿宋_GB2312" w:cs="仿宋_GB2312"/>
          <w:color w:val="000000"/>
          <w:kern w:val="0"/>
          <w:sz w:val="32"/>
          <w:szCs w:val="32"/>
          <w:lang w:val="zh-TW" w:bidi="zh-TW"/>
        </w:rPr>
        <w:t>项目整体完成情况较好，预算执行率高，较好的完成了年度目标任务。</w:t>
      </w:r>
    </w:p>
    <w:p w14:paraId="5C2F9F5B">
      <w:pPr>
        <w:rPr>
          <w:rFonts w:hint="eastAsia" w:ascii="楷体" w:hAnsi="楷体" w:eastAsia="楷体" w:cs="楷体"/>
          <w:color w:val="000000"/>
          <w:spacing w:val="0"/>
          <w:w w:val="100"/>
          <w:position w:val="0"/>
          <w:sz w:val="32"/>
          <w:szCs w:val="32"/>
          <w:lang w:eastAsia="zh-CN"/>
        </w:rPr>
      </w:pPr>
      <w:r>
        <w:rPr>
          <w:rFonts w:hint="eastAsia" w:ascii="楷体" w:hAnsi="楷体" w:eastAsia="楷体" w:cs="楷体"/>
          <w:color w:val="000000"/>
          <w:spacing w:val="0"/>
          <w:w w:val="100"/>
          <w:position w:val="0"/>
          <w:sz w:val="32"/>
          <w:szCs w:val="32"/>
          <w:lang w:val="en-US" w:eastAsia="zh-CN"/>
        </w:rPr>
        <w:t>2023年</w:t>
      </w:r>
      <w:r>
        <w:rPr>
          <w:rFonts w:hint="eastAsia" w:ascii="楷体" w:hAnsi="楷体" w:eastAsia="楷体" w:cs="楷体"/>
          <w:color w:val="000000"/>
          <w:spacing w:val="0"/>
          <w:w w:val="100"/>
          <w:position w:val="0"/>
          <w:sz w:val="32"/>
          <w:szCs w:val="32"/>
          <w:lang w:eastAsia="zh-CN"/>
        </w:rPr>
        <w:t>监测预警队伍建设和人才培养项目</w:t>
      </w:r>
    </w:p>
    <w:p w14:paraId="5FD44A3F">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一、项目基本情况</w:t>
      </w:r>
    </w:p>
    <w:p w14:paraId="224E4629">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color w:val="000000"/>
          <w:spacing w:val="0"/>
          <w:w w:val="100"/>
          <w:position w:val="0"/>
          <w:sz w:val="32"/>
          <w:szCs w:val="32"/>
        </w:rPr>
      </w:pPr>
      <w:r>
        <w:rPr>
          <w:rFonts w:hint="eastAsia" w:ascii="楷体" w:hAnsi="楷体" w:eastAsia="楷体" w:cs="楷体"/>
          <w:color w:val="000000"/>
          <w:spacing w:val="0"/>
          <w:w w:val="100"/>
          <w:position w:val="0"/>
          <w:sz w:val="32"/>
          <w:szCs w:val="32"/>
          <w:lang w:eastAsia="zh-CN"/>
        </w:rPr>
        <w:t>（一）</w:t>
      </w:r>
      <w:r>
        <w:rPr>
          <w:rFonts w:hint="eastAsia" w:ascii="楷体" w:hAnsi="楷体" w:eastAsia="楷体" w:cs="楷体"/>
          <w:color w:val="000000"/>
          <w:spacing w:val="0"/>
          <w:w w:val="100"/>
          <w:position w:val="0"/>
          <w:sz w:val="32"/>
          <w:szCs w:val="32"/>
        </w:rPr>
        <w:t>项目概况。</w:t>
      </w:r>
      <w:r>
        <w:rPr>
          <w:rFonts w:hint="eastAsia" w:ascii="仿宋_GB2312" w:hAnsi="仿宋_GB2312" w:eastAsia="仿宋_GB2312" w:cs="仿宋_GB2312"/>
          <w:color w:val="000000"/>
          <w:spacing w:val="0"/>
          <w:w w:val="100"/>
          <w:position w:val="0"/>
          <w:sz w:val="32"/>
          <w:szCs w:val="32"/>
          <w:lang w:eastAsia="zh-CN"/>
        </w:rPr>
        <w:t>项目执行主体为兰州新区卫生健康委，实施单位为新区疾控中心，项目覆盖新区辖区所有医疗卫生机构。</w:t>
      </w:r>
    </w:p>
    <w:p w14:paraId="7AA3A5D5">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sz w:val="32"/>
          <w:szCs w:val="32"/>
        </w:rPr>
      </w:pPr>
      <w:r>
        <w:rPr>
          <w:rFonts w:hint="eastAsia" w:ascii="楷体" w:hAnsi="楷体" w:eastAsia="楷体" w:cs="楷体"/>
          <w:color w:val="000000"/>
          <w:spacing w:val="0"/>
          <w:w w:val="100"/>
          <w:position w:val="0"/>
          <w:sz w:val="32"/>
          <w:szCs w:val="32"/>
          <w:lang w:eastAsia="zh-CN"/>
        </w:rPr>
        <w:t>（二）项目绩效目标情况。</w:t>
      </w:r>
      <w:r>
        <w:rPr>
          <w:rFonts w:hint="eastAsia" w:ascii="仿宋_GB2312" w:hAnsi="仿宋_GB2312" w:eastAsia="仿宋_GB2312" w:cs="仿宋_GB2312"/>
          <w:color w:val="000000"/>
          <w:spacing w:val="0"/>
          <w:w w:val="100"/>
          <w:position w:val="0"/>
          <w:sz w:val="32"/>
          <w:szCs w:val="32"/>
          <w:lang w:eastAsia="zh-CN"/>
        </w:rPr>
        <w:t>项目的实施旨在</w:t>
      </w:r>
      <w:r>
        <w:rPr>
          <w:rFonts w:hint="eastAsia" w:ascii="仿宋_GB2312" w:hAnsi="仿宋_GB2312" w:eastAsia="仿宋_GB2312" w:cs="仿宋_GB2312"/>
          <w:sz w:val="32"/>
          <w:szCs w:val="32"/>
        </w:rPr>
        <w:t>强化人员传染病监测预警专业知识，提高传染病疫情早期发现、科学评估和精准预警能力，有效防范和化解重大传染病风险，加强疫情监测和常态化预警能力，为应急处置和防控政策调整提供重要支撑。</w:t>
      </w:r>
    </w:p>
    <w:p w14:paraId="4C0E6504">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二</w:t>
      </w:r>
      <w:r>
        <w:rPr>
          <w:rFonts w:hint="eastAsia" w:ascii="黑体" w:hAnsi="黑体" w:eastAsia="黑体" w:cs="黑体"/>
          <w:color w:val="000000"/>
          <w:spacing w:val="0"/>
          <w:w w:val="100"/>
          <w:position w:val="0"/>
          <w:sz w:val="32"/>
          <w:szCs w:val="32"/>
          <w:lang w:eastAsia="zh-CN"/>
        </w:rPr>
        <w:t>、</w:t>
      </w:r>
      <w:r>
        <w:rPr>
          <w:rFonts w:hint="eastAsia" w:ascii="黑体" w:hAnsi="黑体" w:eastAsia="黑体" w:cs="黑体"/>
          <w:color w:val="000000"/>
          <w:spacing w:val="0"/>
          <w:w w:val="100"/>
          <w:position w:val="0"/>
          <w:sz w:val="32"/>
          <w:szCs w:val="32"/>
        </w:rPr>
        <w:t>项目实施及管理情况</w:t>
      </w:r>
    </w:p>
    <w:p w14:paraId="0E6F2054">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（一）资金到位情况。</w:t>
      </w:r>
    </w:p>
    <w:p w14:paraId="0251EBD4">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本</w:t>
      </w:r>
      <w:r>
        <w:rPr>
          <w:rFonts w:hint="eastAsia" w:ascii="仿宋_GB2312" w:hAnsi="仿宋" w:eastAsia="仿宋_GB2312"/>
          <w:kern w:val="0"/>
          <w:sz w:val="32"/>
          <w:szCs w:val="32"/>
          <w:lang w:val="en-US" w:eastAsia="zh-CN"/>
        </w:rPr>
        <w:t>年度监测预警队伍建设和人才培养项目</w:t>
      </w:r>
      <w:r>
        <w:rPr>
          <w:rFonts w:hint="eastAsia" w:ascii="仿宋_GB2312" w:hAnsi="仿宋" w:eastAsia="仿宋_GB2312"/>
          <w:kern w:val="0"/>
          <w:sz w:val="32"/>
          <w:szCs w:val="32"/>
        </w:rPr>
        <w:t>经费共计</w:t>
      </w:r>
      <w:r>
        <w:rPr>
          <w:rFonts w:hint="eastAsia" w:ascii="仿宋_GB2312" w:hAnsi="等线" w:eastAsia="仿宋_GB2312" w:cs="Times New Roman"/>
          <w:color w:val="000000"/>
          <w:kern w:val="2"/>
          <w:sz w:val="32"/>
          <w:szCs w:val="32"/>
          <w:lang w:val="en-US" w:eastAsia="zh-CN" w:bidi="ar-SA"/>
        </w:rPr>
        <w:t>1.5万元</w:t>
      </w:r>
      <w:r>
        <w:rPr>
          <w:rFonts w:hint="eastAsia" w:ascii="仿宋_GB2312" w:hAnsi="仿宋" w:eastAsia="仿宋_GB2312"/>
          <w:kern w:val="0"/>
          <w:sz w:val="32"/>
          <w:szCs w:val="32"/>
        </w:rPr>
        <w:t>。全部资金</w:t>
      </w:r>
      <w:r>
        <w:rPr>
          <w:rFonts w:hint="eastAsia" w:ascii="仿宋_GB2312" w:hAnsi="仿宋" w:eastAsia="仿宋_GB2312"/>
          <w:kern w:val="0"/>
          <w:sz w:val="32"/>
          <w:szCs w:val="32"/>
          <w:lang w:eastAsia="zh-CN"/>
        </w:rPr>
        <w:t>主要用于</w:t>
      </w:r>
      <w:r>
        <w:rPr>
          <w:rFonts w:hint="eastAsia" w:ascii="仿宋_GB2312" w:hAnsi="仿宋" w:eastAsia="仿宋_GB2312"/>
          <w:kern w:val="0"/>
          <w:sz w:val="32"/>
          <w:szCs w:val="32"/>
        </w:rPr>
        <w:t>基层专业人员培训，培训主要内容为传染病监测预警、数据处理和现场调查等。</w:t>
      </w:r>
    </w:p>
    <w:p w14:paraId="7CF4530B">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（二）项目开展情况。</w:t>
      </w:r>
    </w:p>
    <w:p w14:paraId="4B57DF6F">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default" w:ascii="仿宋_GB2312" w:hAnsi="仿宋" w:eastAsia="仿宋_GB2312" w:cs="Times New Roman"/>
          <w:color w:val="000000"/>
          <w:spacing w:val="0"/>
          <w:w w:val="100"/>
          <w:kern w:val="0"/>
          <w:position w:val="0"/>
          <w:sz w:val="32"/>
          <w:szCs w:val="32"/>
          <w:u w:val="none"/>
          <w:shd w:val="clear" w:color="auto" w:fill="auto"/>
          <w:lang w:val="en-US" w:eastAsia="zh-CN" w:bidi="en-US"/>
        </w:rPr>
      </w:pPr>
      <w:r>
        <w:rPr>
          <w:rFonts w:hint="eastAsia" w:ascii="仿宋_GB2312" w:hAnsi="仿宋" w:eastAsia="仿宋_GB2312" w:cs="Times New Roman"/>
          <w:color w:val="000000"/>
          <w:spacing w:val="0"/>
          <w:w w:val="100"/>
          <w:kern w:val="0"/>
          <w:position w:val="0"/>
          <w:sz w:val="32"/>
          <w:szCs w:val="32"/>
          <w:u w:val="none"/>
          <w:shd w:val="clear" w:color="auto" w:fill="auto"/>
          <w:lang w:val="en-US" w:eastAsia="zh-CN" w:bidi="en-US"/>
        </w:rPr>
        <w:t>项目培训工作由新区疾控中心负责，参加人员从新区各医疗机构公共卫生专业及应急处置队伍人员中选择，预计2024年6月底前完成培训工作。</w:t>
      </w:r>
    </w:p>
    <w:p w14:paraId="2E6610ED">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三、项目绩效自评开展情况</w:t>
      </w:r>
    </w:p>
    <w:p w14:paraId="5CEEA44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新区卫生健康委高度重视疾控类项目绩效自评估工作，专门召开会议传达上级要求，结合新区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2023年实施方案及对各单位绩效考核目标责任，</w:t>
      </w:r>
      <w:r>
        <w:rPr>
          <w:rFonts w:hint="eastAsia" w:ascii="仿宋_GB2312" w:hAnsi="仿宋_GB2312" w:eastAsia="仿宋_GB2312" w:cs="仿宋_GB2312"/>
          <w:color w:val="000000"/>
          <w:spacing w:val="0"/>
          <w:w w:val="100"/>
          <w:position w:val="0"/>
          <w:sz w:val="32"/>
          <w:szCs w:val="32"/>
          <w:lang w:eastAsia="zh-CN"/>
        </w:rPr>
        <w:t>认真组织自评报告。</w:t>
      </w:r>
    </w:p>
    <w:p w14:paraId="6D567A5C">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四、</w:t>
      </w:r>
      <w:r>
        <w:rPr>
          <w:rFonts w:hint="eastAsia" w:ascii="黑体" w:hAnsi="黑体" w:eastAsia="黑体" w:cs="黑体"/>
          <w:color w:val="000000"/>
          <w:spacing w:val="0"/>
          <w:w w:val="100"/>
          <w:position w:val="0"/>
          <w:sz w:val="32"/>
          <w:szCs w:val="32"/>
        </w:rPr>
        <w:t>绩效目标完成情况分析</w:t>
      </w:r>
    </w:p>
    <w:p w14:paraId="5FBA5B3B">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sz w:val="32"/>
          <w:szCs w:val="32"/>
        </w:rPr>
      </w:pPr>
      <w:r>
        <w:rPr>
          <w:rFonts w:hint="eastAsia" w:ascii="楷体" w:hAnsi="楷体" w:eastAsia="楷体" w:cs="楷体"/>
          <w:b w:val="0"/>
          <w:bCs w:val="0"/>
          <w:color w:val="000000"/>
          <w:spacing w:val="0"/>
          <w:w w:val="100"/>
          <w:position w:val="0"/>
          <w:sz w:val="32"/>
          <w:szCs w:val="32"/>
        </w:rPr>
        <w:t>（一）产出指标完成情况分析。</w:t>
      </w:r>
    </w:p>
    <w:p w14:paraId="1D99D28C">
      <w:pPr>
        <w:keepNext w:val="0"/>
        <w:keepLines w:val="0"/>
        <w:pageBreakBefore w:val="0"/>
        <w:widowControl w:val="0"/>
        <w:kinsoku/>
        <w:wordWrap/>
        <w:overflowPunct/>
        <w:topLinePunct w:val="0"/>
        <w:autoSpaceDE/>
        <w:autoSpaceDN/>
        <w:bidi w:val="0"/>
        <w:snapToGrid/>
        <w:spacing w:after="0" w:line="560" w:lineRule="exact"/>
        <w:ind w:firstLine="643"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数量指标。</w:t>
      </w:r>
      <w:r>
        <w:rPr>
          <w:rFonts w:hint="eastAsia" w:ascii="仿宋_GB2312" w:hAnsi="仿宋" w:eastAsia="仿宋_GB2312"/>
          <w:kern w:val="0"/>
          <w:sz w:val="32"/>
          <w:szCs w:val="32"/>
          <w:lang w:val="en-US" w:eastAsia="zh-CN"/>
        </w:rPr>
        <w:t>培训基层专业人员15人。</w:t>
      </w:r>
    </w:p>
    <w:p w14:paraId="23032B5C">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质量指标。</w:t>
      </w:r>
      <w:r>
        <w:rPr>
          <w:rFonts w:hint="eastAsia" w:ascii="仿宋_GB2312" w:hAnsi="仿宋" w:eastAsia="仿宋_GB2312" w:cs="Times New Roman"/>
          <w:color w:val="000000"/>
          <w:spacing w:val="0"/>
          <w:w w:val="100"/>
          <w:kern w:val="0"/>
          <w:position w:val="0"/>
          <w:sz w:val="32"/>
          <w:szCs w:val="32"/>
          <w:u w:val="none"/>
          <w:shd w:val="clear" w:color="auto" w:fill="auto"/>
          <w:lang w:val="en-US" w:eastAsia="zh-CN" w:bidi="en-US"/>
        </w:rPr>
        <w:t>提升</w:t>
      </w:r>
      <w:r>
        <w:rPr>
          <w:rFonts w:hint="eastAsia" w:ascii="仿宋_GB2312" w:hAnsi="仿宋_GB2312" w:eastAsia="仿宋_GB2312" w:cs="仿宋_GB2312"/>
          <w:color w:val="000000"/>
          <w:spacing w:val="0"/>
          <w:w w:val="100"/>
          <w:position w:val="0"/>
          <w:sz w:val="32"/>
          <w:szCs w:val="32"/>
          <w:lang w:eastAsia="zh-CN"/>
        </w:rPr>
        <w:t>基层专业人员传染病监测预警能力</w:t>
      </w:r>
    </w:p>
    <w:p w14:paraId="6FB6A692">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时效指标。</w:t>
      </w:r>
      <w:r>
        <w:rPr>
          <w:rFonts w:hint="eastAsia" w:ascii="仿宋_GB2312" w:hAnsi="仿宋_GB2312" w:eastAsia="仿宋_GB2312" w:cs="仿宋_GB2312"/>
          <w:color w:val="000000"/>
          <w:spacing w:val="0"/>
          <w:w w:val="100"/>
          <w:position w:val="0"/>
          <w:sz w:val="32"/>
          <w:szCs w:val="32"/>
          <w:lang w:val="en-US" w:eastAsia="zh-CN"/>
        </w:rPr>
        <w:t>2024年6月底前完成。</w:t>
      </w:r>
    </w:p>
    <w:p w14:paraId="062660F7">
      <w:pPr>
        <w:pStyle w:val="43"/>
        <w:keepNext w:val="0"/>
        <w:keepLines w:val="0"/>
        <w:pageBreakBefore w:val="0"/>
        <w:widowControl w:val="0"/>
        <w:numPr>
          <w:ilvl w:val="0"/>
          <w:numId w:val="0"/>
        </w:numPr>
        <w:shd w:val="clear" w:color="auto" w:fill="auto"/>
        <w:tabs>
          <w:tab w:val="left" w:pos="2397"/>
        </w:tabs>
        <w:kinsoku/>
        <w:wordWrap/>
        <w:overflowPunct/>
        <w:topLinePunct w:val="0"/>
        <w:autoSpaceDE/>
        <w:autoSpaceDN/>
        <w:bidi w:val="0"/>
        <w:snapToGrid/>
        <w:spacing w:before="0" w:after="100" w:line="560" w:lineRule="exact"/>
        <w:ind w:right="0" w:rightChars="0" w:firstLine="643"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4.成本指标</w:t>
      </w:r>
      <w:r>
        <w:rPr>
          <w:rFonts w:hint="eastAsia" w:ascii="仿宋_GB2312" w:hAnsi="仿宋_GB2312" w:eastAsia="仿宋_GB2312" w:cs="仿宋_GB2312"/>
          <w:b/>
          <w:bCs/>
          <w:color w:val="000000"/>
          <w:spacing w:val="0"/>
          <w:w w:val="100"/>
          <w:position w:val="0"/>
          <w:sz w:val="32"/>
          <w:szCs w:val="32"/>
        </w:rPr>
        <w:t>。</w:t>
      </w:r>
      <w:r>
        <w:rPr>
          <w:rFonts w:hint="eastAsia" w:ascii="仿宋_GB2312" w:hAnsi="仿宋_GB2312" w:eastAsia="仿宋_GB2312" w:cs="仿宋_GB2312"/>
          <w:color w:val="000000"/>
          <w:spacing w:val="0"/>
          <w:w w:val="100"/>
          <w:position w:val="0"/>
          <w:sz w:val="32"/>
          <w:szCs w:val="32"/>
          <w:lang w:eastAsia="zh-CN"/>
        </w:rPr>
        <w:t>严格控制经费。</w:t>
      </w:r>
    </w:p>
    <w:p w14:paraId="2738E38E">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lang w:eastAsia="zh-CN"/>
        </w:rPr>
        <w:t>（二）</w:t>
      </w:r>
      <w:r>
        <w:rPr>
          <w:rFonts w:hint="eastAsia" w:ascii="楷体" w:hAnsi="楷体" w:eastAsia="楷体" w:cs="楷体"/>
          <w:b w:val="0"/>
          <w:bCs w:val="0"/>
          <w:color w:val="000000"/>
          <w:spacing w:val="0"/>
          <w:w w:val="100"/>
          <w:position w:val="0"/>
          <w:sz w:val="32"/>
          <w:szCs w:val="32"/>
        </w:rPr>
        <w:t>效益指标完成情况分析。</w:t>
      </w:r>
    </w:p>
    <w:p w14:paraId="0B753614">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社会效益。</w:t>
      </w:r>
      <w:r>
        <w:rPr>
          <w:rFonts w:hint="eastAsia" w:ascii="仿宋_GB2312" w:hAnsi="仿宋_GB2312" w:eastAsia="仿宋_GB2312" w:cs="仿宋_GB2312"/>
          <w:color w:val="000000"/>
          <w:spacing w:val="0"/>
          <w:w w:val="100"/>
          <w:position w:val="0"/>
          <w:sz w:val="32"/>
          <w:szCs w:val="32"/>
          <w:lang w:val="en-US" w:eastAsia="zh-CN"/>
        </w:rPr>
        <w:t>为有效防范和化解重大传染病风险，新区卫生健康委于2023年组织开展猴痘疫情防控应急处置桌面推演，新区各医疗机构分管领导、流调员参加参演，按照演练分工就病例发现、报告、鉴别诊断，流行病学调查、采样检测、现场消杀、密接管理、社区宣传、重点场所及人群干预等环节进行了演练。同时对猴痘病例发现、报告、流行病学调查和应急处置等内容及工作要求进行培训讲解，着力提升医务人员业务水平。</w:t>
      </w:r>
    </w:p>
    <w:p w14:paraId="1A094CA3">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可持续影响。</w:t>
      </w:r>
      <w:r>
        <w:rPr>
          <w:rFonts w:hint="eastAsia" w:ascii="仿宋_GB2312" w:hAnsi="仿宋_GB2312" w:eastAsia="仿宋_GB2312" w:cs="仿宋_GB2312"/>
          <w:color w:val="000000"/>
          <w:spacing w:val="0"/>
          <w:w w:val="100"/>
          <w:position w:val="0"/>
          <w:sz w:val="32"/>
          <w:szCs w:val="32"/>
          <w:lang w:eastAsia="zh-CN"/>
        </w:rPr>
        <w:t>提高传染病疫情早期发现、科学评估和精准预警能力。</w:t>
      </w:r>
    </w:p>
    <w:p w14:paraId="7A1B6B12">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rPr>
        <w:t>（三）满意度指标完成情况分析。</w:t>
      </w:r>
    </w:p>
    <w:p w14:paraId="4329A0F5">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新区各医疗机构公共卫生专业及应急处置队伍人员对此项工作的认可程度，达到</w:t>
      </w:r>
      <w:r>
        <w:rPr>
          <w:rFonts w:hint="eastAsia" w:ascii="仿宋_GB2312" w:hAnsi="仿宋_GB2312" w:eastAsia="仿宋_GB2312" w:cs="仿宋_GB2312"/>
          <w:color w:val="000000"/>
          <w:spacing w:val="0"/>
          <w:w w:val="100"/>
          <w:position w:val="0"/>
          <w:sz w:val="32"/>
          <w:szCs w:val="32"/>
          <w:lang w:val="en-US" w:eastAsia="zh-CN"/>
        </w:rPr>
        <w:t>90%。</w:t>
      </w:r>
    </w:p>
    <w:p w14:paraId="20DAE57A">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楷体" w:hAnsi="楷体" w:eastAsia="楷体" w:cs="楷体"/>
          <w:b w:val="0"/>
          <w:bCs w:val="0"/>
          <w:color w:val="000000"/>
          <w:spacing w:val="0"/>
          <w:w w:val="100"/>
          <w:position w:val="0"/>
          <w:sz w:val="32"/>
          <w:szCs w:val="32"/>
        </w:rPr>
        <w:t>（四）其他需要说明的事项。</w:t>
      </w:r>
      <w:r>
        <w:rPr>
          <w:rFonts w:hint="eastAsia" w:ascii="仿宋_GB2312" w:hAnsi="仿宋_GB2312" w:eastAsia="仿宋_GB2312" w:cs="仿宋_GB2312"/>
          <w:color w:val="000000"/>
          <w:spacing w:val="0"/>
          <w:w w:val="100"/>
          <w:position w:val="0"/>
          <w:sz w:val="32"/>
          <w:szCs w:val="32"/>
          <w:lang w:eastAsia="zh-CN"/>
        </w:rPr>
        <w:t>无</w:t>
      </w:r>
    </w:p>
    <w:p w14:paraId="04699EF1">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五、</w:t>
      </w:r>
      <w:r>
        <w:rPr>
          <w:rFonts w:hint="eastAsia" w:ascii="黑体" w:hAnsi="黑体" w:eastAsia="黑体" w:cs="黑体"/>
          <w:color w:val="000000"/>
          <w:spacing w:val="0"/>
          <w:w w:val="100"/>
          <w:position w:val="0"/>
          <w:sz w:val="32"/>
          <w:szCs w:val="32"/>
        </w:rPr>
        <w:t>结论</w:t>
      </w:r>
    </w:p>
    <w:p w14:paraId="71CD1C2D">
      <w:pPr>
        <w:pStyle w:val="4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仿宋_GB2312" w:hAnsi="仿宋_GB2312" w:eastAsia="仿宋_GB2312" w:cs="仿宋_GB2312"/>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rPr>
        <w:t>（一）主要指标情况及结论。</w:t>
      </w:r>
      <w:r>
        <w:rPr>
          <w:rFonts w:hint="eastAsia" w:ascii="仿宋_GB2312" w:hAnsi="仿宋_GB2312" w:eastAsia="仿宋_GB2312" w:cs="仿宋_GB2312"/>
          <w:b w:val="0"/>
          <w:bCs w:val="0"/>
          <w:color w:val="000000"/>
          <w:spacing w:val="0"/>
          <w:w w:val="100"/>
          <w:position w:val="0"/>
          <w:sz w:val="32"/>
          <w:szCs w:val="32"/>
          <w:lang w:eastAsia="zh-CN"/>
        </w:rPr>
        <w:t>新区医疗卫生机构医务人员传染病监测预警专业能力得到提高。</w:t>
      </w:r>
    </w:p>
    <w:p w14:paraId="3601BB93">
      <w:pPr>
        <w:keepNext w:val="0"/>
        <w:keepLines w:val="0"/>
        <w:pageBreakBefore w:val="0"/>
        <w:widowControl w:val="0"/>
        <w:kinsoku/>
        <w:wordWrap/>
        <w:overflowPunct/>
        <w:topLinePunct w:val="0"/>
        <w:autoSpaceDE/>
        <w:autoSpaceDN/>
        <w:bidi w:val="0"/>
        <w:snapToGrid/>
        <w:spacing w:after="0" w:line="560" w:lineRule="exact"/>
        <w:ind w:firstLine="640" w:firstLineChars="200"/>
        <w:rPr>
          <w:rFonts w:hint="eastAsia" w:ascii="仿宋_GB2312" w:eastAsia="仿宋_GB2312" w:cs="Times New Roman"/>
          <w:b/>
          <w:bCs/>
          <w:color w:val="auto"/>
          <w:sz w:val="32"/>
          <w:szCs w:val="32"/>
          <w:lang w:val="en-US" w:eastAsia="zh-CN"/>
        </w:rPr>
      </w:pPr>
      <w:r>
        <w:rPr>
          <w:rFonts w:hint="eastAsia" w:ascii="楷体" w:hAnsi="楷体" w:eastAsia="楷体" w:cs="楷体"/>
          <w:b w:val="0"/>
          <w:bCs w:val="0"/>
          <w:sz w:val="32"/>
          <w:szCs w:val="32"/>
          <w:lang w:eastAsia="zh-CN"/>
        </w:rPr>
        <w:t>（二）存在的问题和不足。</w:t>
      </w:r>
      <w:r>
        <w:rPr>
          <w:rFonts w:hint="eastAsia" w:ascii="仿宋_GB2312" w:hAnsi="仿宋_GB2312" w:eastAsia="仿宋_GB2312" w:cs="仿宋_GB2312"/>
          <w:b w:val="0"/>
          <w:bCs w:val="0"/>
          <w:color w:val="000000"/>
          <w:spacing w:val="0"/>
          <w:w w:val="100"/>
          <w:position w:val="0"/>
          <w:sz w:val="32"/>
          <w:szCs w:val="32"/>
          <w:u w:val="none"/>
          <w:shd w:val="clear" w:color="auto" w:fill="auto"/>
          <w:lang w:val="en-US" w:eastAsia="zh-CN" w:bidi="zh-TW"/>
        </w:rPr>
        <w:t>无</w:t>
      </w:r>
    </w:p>
    <w:p w14:paraId="251DAFC6">
      <w:pPr>
        <w:keepNext w:val="0"/>
        <w:keepLines w:val="0"/>
        <w:pageBreakBefore w:val="0"/>
        <w:widowControl/>
        <w:kinsoku/>
        <w:wordWrap/>
        <w:overflowPunct/>
        <w:topLinePunct w:val="0"/>
        <w:autoSpaceDE/>
        <w:autoSpaceDN/>
        <w:bidi w:val="0"/>
        <w:spacing w:after="0" w:line="560" w:lineRule="exact"/>
        <w:ind w:firstLine="640" w:firstLineChars="200"/>
        <w:jc w:val="both"/>
        <w:textAlignment w:val="auto"/>
        <w:rPr>
          <w:rFonts w:hint="default"/>
          <w:lang w:val="en-US" w:eastAsia="zh-CN"/>
        </w:rPr>
      </w:pPr>
      <w:r>
        <w:rPr>
          <w:rFonts w:hint="eastAsia" w:ascii="楷体" w:hAnsi="楷体" w:eastAsia="楷体" w:cs="楷体"/>
          <w:sz w:val="32"/>
          <w:szCs w:val="32"/>
          <w:highlight w:val="none"/>
          <w:lang w:val="en-US" w:eastAsia="zh-CN"/>
        </w:rPr>
        <w:t>（三）工作建议。</w:t>
      </w:r>
      <w:r>
        <w:rPr>
          <w:rFonts w:hint="eastAsia" w:ascii="仿宋_GB2312" w:hAnsi="Times New Roman" w:eastAsia="仿宋_GB2312" w:cs="Times New Roman"/>
          <w:color w:val="auto"/>
          <w:sz w:val="32"/>
          <w:szCs w:val="32"/>
          <w:lang w:val="en-US" w:eastAsia="zh-CN"/>
        </w:rPr>
        <w:t>无</w:t>
      </w:r>
    </w:p>
    <w:p w14:paraId="0172FFE4">
      <w:pPr>
        <w:rPr>
          <w:rFonts w:hint="eastAsia" w:ascii="楷体" w:hAnsi="楷体" w:eastAsia="楷体" w:cs="楷体"/>
          <w:color w:val="000000"/>
          <w:spacing w:val="0"/>
          <w:w w:val="100"/>
          <w:position w:val="0"/>
          <w:sz w:val="32"/>
          <w:szCs w:val="32"/>
          <w:lang w:eastAsia="zh-CN"/>
        </w:rPr>
      </w:pPr>
      <w:r>
        <w:rPr>
          <w:rFonts w:hint="eastAsia" w:ascii="楷体" w:hAnsi="楷体" w:eastAsia="楷体" w:cs="楷体"/>
          <w:color w:val="000000"/>
          <w:spacing w:val="0"/>
          <w:w w:val="100"/>
          <w:position w:val="0"/>
          <w:sz w:val="32"/>
          <w:szCs w:val="32"/>
          <w:lang w:val="en-US" w:eastAsia="zh-CN"/>
        </w:rPr>
        <w:t>2023年</w:t>
      </w:r>
      <w:r>
        <w:rPr>
          <w:rFonts w:hint="eastAsia" w:ascii="楷体" w:hAnsi="楷体" w:eastAsia="楷体" w:cs="楷体"/>
          <w:color w:val="000000"/>
          <w:spacing w:val="0"/>
          <w:w w:val="100"/>
          <w:position w:val="0"/>
          <w:sz w:val="32"/>
          <w:szCs w:val="32"/>
          <w:lang w:eastAsia="zh-CN"/>
        </w:rPr>
        <w:t>国家传染病应急队伍能力建设项目</w:t>
      </w:r>
    </w:p>
    <w:p w14:paraId="7606C418">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一、项目基本情况</w:t>
      </w:r>
    </w:p>
    <w:p w14:paraId="10196C36">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color w:val="000000"/>
          <w:spacing w:val="0"/>
          <w:w w:val="100"/>
          <w:position w:val="0"/>
          <w:sz w:val="32"/>
          <w:szCs w:val="32"/>
        </w:rPr>
      </w:pPr>
      <w:r>
        <w:rPr>
          <w:rFonts w:hint="eastAsia" w:ascii="楷体" w:hAnsi="楷体" w:eastAsia="楷体" w:cs="楷体"/>
          <w:color w:val="000000"/>
          <w:spacing w:val="0"/>
          <w:w w:val="100"/>
          <w:position w:val="0"/>
          <w:sz w:val="32"/>
          <w:szCs w:val="32"/>
          <w:lang w:eastAsia="zh-CN"/>
        </w:rPr>
        <w:t>（一）</w:t>
      </w:r>
      <w:r>
        <w:rPr>
          <w:rFonts w:hint="eastAsia" w:ascii="楷体" w:hAnsi="楷体" w:eastAsia="楷体" w:cs="楷体"/>
          <w:color w:val="000000"/>
          <w:spacing w:val="0"/>
          <w:w w:val="100"/>
          <w:position w:val="0"/>
          <w:sz w:val="32"/>
          <w:szCs w:val="32"/>
        </w:rPr>
        <w:t>项目概况。</w:t>
      </w:r>
      <w:r>
        <w:rPr>
          <w:rFonts w:hint="eastAsia" w:ascii="仿宋_GB2312" w:hAnsi="仿宋_GB2312" w:eastAsia="仿宋_GB2312" w:cs="仿宋_GB2312"/>
          <w:color w:val="000000"/>
          <w:spacing w:val="0"/>
          <w:w w:val="100"/>
          <w:position w:val="0"/>
          <w:sz w:val="32"/>
          <w:szCs w:val="32"/>
          <w:lang w:eastAsia="zh-CN"/>
        </w:rPr>
        <w:t>项目执行主体为兰州新区卫生健康委，项目实施单位为新区疾控中心，项目覆盖新区辖区所有医疗卫生机构。</w:t>
      </w:r>
    </w:p>
    <w:p w14:paraId="1AC090AC">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jc w:val="both"/>
        <w:rPr>
          <w:rFonts w:hint="eastAsia" w:ascii="仿宋_GB2312" w:hAnsi="仿宋_GB2312" w:eastAsia="仿宋_GB2312" w:cs="仿宋_GB2312"/>
          <w:sz w:val="32"/>
          <w:szCs w:val="32"/>
          <w:lang w:eastAsia="zh-CN"/>
        </w:rPr>
      </w:pPr>
      <w:r>
        <w:rPr>
          <w:rFonts w:hint="eastAsia" w:ascii="楷体" w:hAnsi="楷体" w:eastAsia="楷体" w:cs="楷体"/>
          <w:color w:val="000000"/>
          <w:spacing w:val="0"/>
          <w:w w:val="100"/>
          <w:position w:val="0"/>
          <w:sz w:val="32"/>
          <w:szCs w:val="32"/>
          <w:lang w:eastAsia="zh-CN"/>
        </w:rPr>
        <w:t>（二）项目绩效目标情况。</w:t>
      </w:r>
      <w:r>
        <w:rPr>
          <w:rFonts w:hint="eastAsia" w:ascii="仿宋_GB2312" w:hAnsi="仿宋_GB2312" w:eastAsia="仿宋_GB2312" w:cs="仿宋_GB2312"/>
          <w:color w:val="000000"/>
          <w:spacing w:val="0"/>
          <w:w w:val="100"/>
          <w:position w:val="0"/>
          <w:sz w:val="32"/>
          <w:szCs w:val="32"/>
          <w:lang w:eastAsia="zh-CN"/>
        </w:rPr>
        <w:t>项目的实施旨在</w:t>
      </w:r>
      <w:r>
        <w:rPr>
          <w:rFonts w:hint="eastAsia" w:ascii="仿宋_GB2312" w:hAnsi="仿宋_GB2312" w:eastAsia="仿宋_GB2312" w:cs="仿宋_GB2312"/>
          <w:sz w:val="32"/>
          <w:szCs w:val="32"/>
        </w:rPr>
        <w:t>规范建设新区基层传染病应急小分队，全面提升基层传染病应急小分队的应急处置能力和水平</w:t>
      </w:r>
      <w:r>
        <w:rPr>
          <w:rFonts w:hint="eastAsia" w:ascii="仿宋_GB2312" w:hAnsi="仿宋_GB2312" w:eastAsia="仿宋_GB2312" w:cs="仿宋_GB2312"/>
          <w:sz w:val="32"/>
          <w:szCs w:val="32"/>
          <w:lang w:eastAsia="zh-CN"/>
        </w:rPr>
        <w:t>，及时有效处置各类传染病疫情。</w:t>
      </w:r>
    </w:p>
    <w:p w14:paraId="1E0E7C75">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二</w:t>
      </w:r>
      <w:r>
        <w:rPr>
          <w:rFonts w:hint="eastAsia" w:ascii="黑体" w:hAnsi="黑体" w:eastAsia="黑体" w:cs="黑体"/>
          <w:color w:val="000000"/>
          <w:spacing w:val="0"/>
          <w:w w:val="100"/>
          <w:position w:val="0"/>
          <w:sz w:val="32"/>
          <w:szCs w:val="32"/>
          <w:lang w:eastAsia="zh-CN"/>
        </w:rPr>
        <w:t>、</w:t>
      </w:r>
      <w:r>
        <w:rPr>
          <w:rFonts w:hint="eastAsia" w:ascii="黑体" w:hAnsi="黑体" w:eastAsia="黑体" w:cs="黑体"/>
          <w:color w:val="000000"/>
          <w:spacing w:val="0"/>
          <w:w w:val="100"/>
          <w:position w:val="0"/>
          <w:sz w:val="32"/>
          <w:szCs w:val="32"/>
        </w:rPr>
        <w:t>项目实施及管理情况</w:t>
      </w:r>
    </w:p>
    <w:p w14:paraId="34F0D9E4">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（一）资金到位情况。</w:t>
      </w:r>
    </w:p>
    <w:p w14:paraId="664542D6">
      <w:pPr>
        <w:adjustRightInd w:val="0"/>
        <w:spacing w:line="560" w:lineRule="exact"/>
        <w:ind w:firstLine="640" w:firstLineChars="200"/>
        <w:rPr>
          <w:rFonts w:hint="eastAsia" w:ascii="仿宋_GB2312" w:hAnsi="仿宋_GB2312" w:eastAsia="仿宋_GB2312" w:cs="仿宋_GB2312"/>
          <w:color w:val="000000"/>
          <w:spacing w:val="0"/>
          <w:w w:val="100"/>
          <w:position w:val="0"/>
          <w:sz w:val="32"/>
          <w:szCs w:val="32"/>
        </w:rPr>
      </w:pPr>
      <w:r>
        <w:rPr>
          <w:rFonts w:hint="eastAsia" w:ascii="仿宋_GB2312" w:hAnsi="仿宋" w:eastAsia="仿宋_GB2312"/>
          <w:kern w:val="0"/>
          <w:sz w:val="32"/>
          <w:szCs w:val="32"/>
        </w:rPr>
        <w:t>本</w:t>
      </w:r>
      <w:r>
        <w:rPr>
          <w:rFonts w:hint="eastAsia" w:ascii="仿宋_GB2312" w:hAnsi="仿宋" w:eastAsia="仿宋_GB2312"/>
          <w:kern w:val="0"/>
          <w:sz w:val="32"/>
          <w:szCs w:val="32"/>
          <w:lang w:val="en-US" w:eastAsia="zh-CN"/>
        </w:rPr>
        <w:t>年度国家传染病应急队伍能力建设项目</w:t>
      </w:r>
      <w:r>
        <w:rPr>
          <w:rFonts w:hint="eastAsia" w:ascii="仿宋_GB2312" w:hAnsi="仿宋" w:eastAsia="仿宋_GB2312"/>
          <w:kern w:val="0"/>
          <w:sz w:val="32"/>
          <w:szCs w:val="32"/>
        </w:rPr>
        <w:t>经费共计</w:t>
      </w:r>
      <w:r>
        <w:rPr>
          <w:rFonts w:hint="eastAsia" w:ascii="仿宋_GB2312" w:hAnsi="等线" w:eastAsia="仿宋_GB2312" w:cs="Times New Roman"/>
          <w:color w:val="000000"/>
          <w:kern w:val="2"/>
          <w:sz w:val="32"/>
          <w:szCs w:val="32"/>
          <w:lang w:val="en-US" w:eastAsia="zh-CN" w:bidi="ar-SA"/>
        </w:rPr>
        <w:t>20万元</w:t>
      </w:r>
      <w:r>
        <w:rPr>
          <w:rFonts w:hint="eastAsia" w:ascii="仿宋_GB2312" w:hAnsi="仿宋" w:eastAsia="仿宋_GB2312"/>
          <w:kern w:val="0"/>
          <w:sz w:val="32"/>
          <w:szCs w:val="32"/>
        </w:rPr>
        <w:t>。全部资金</w:t>
      </w:r>
      <w:r>
        <w:rPr>
          <w:rFonts w:hint="eastAsia" w:ascii="仿宋_GB2312" w:hAnsi="仿宋" w:eastAsia="仿宋_GB2312"/>
          <w:kern w:val="0"/>
          <w:sz w:val="32"/>
          <w:szCs w:val="32"/>
          <w:lang w:eastAsia="zh-CN"/>
        </w:rPr>
        <w:t>下拨新区疾控中心，主要用于传染病应急小分队购置队伍标识、个人后勤保障、快检与流调、消杀处置应急处置准备，开展人、装结合训练和演练等。</w:t>
      </w:r>
    </w:p>
    <w:p w14:paraId="436E40C7">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仿宋_GB2312" w:hAnsi="仿宋" w:eastAsia="仿宋_GB2312" w:cs="楷体"/>
          <w:b w:val="0"/>
          <w:bCs w:val="0"/>
          <w:color w:val="000000"/>
          <w:spacing w:val="0"/>
          <w:w w:val="100"/>
          <w:kern w:val="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（二）项目开展情况。</w:t>
      </w:r>
      <w:r>
        <w:rPr>
          <w:rFonts w:hint="eastAsia" w:ascii="仿宋_GB2312" w:hAnsi="仿宋" w:eastAsia="仿宋_GB2312"/>
          <w:kern w:val="0"/>
          <w:sz w:val="32"/>
          <w:szCs w:val="32"/>
          <w:lang w:val="en-US" w:eastAsia="zh-CN"/>
        </w:rPr>
        <w:t>新区卫生健康委负责项目规划、管理、督导、检查；新区疾控中心负责制订具体实施方案、健全队员激励机制、队员遴选和管理、背囊化物资装备购置、维护、管理等具体工作，为队伍提供日常管理、培训、演练等各类技术保障支持。</w:t>
      </w:r>
    </w:p>
    <w:p w14:paraId="6DB2A218">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三、项目绩效自评开展情况</w:t>
      </w:r>
    </w:p>
    <w:p w14:paraId="10AB9C9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新区卫生健康委高度重视疾控类项目绩效自评估工作，专门召开会议传达上级要求，结合新区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2023年实施方案及对各单位绩效考核目标责任，</w:t>
      </w:r>
      <w:r>
        <w:rPr>
          <w:rFonts w:hint="eastAsia" w:ascii="仿宋_GB2312" w:hAnsi="仿宋_GB2312" w:eastAsia="仿宋_GB2312" w:cs="仿宋_GB2312"/>
          <w:color w:val="000000"/>
          <w:spacing w:val="0"/>
          <w:w w:val="100"/>
          <w:position w:val="0"/>
          <w:sz w:val="32"/>
          <w:szCs w:val="32"/>
          <w:lang w:eastAsia="zh-CN"/>
        </w:rPr>
        <w:t>认真组织自评报告。</w:t>
      </w:r>
    </w:p>
    <w:p w14:paraId="77517736">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四、</w:t>
      </w:r>
      <w:r>
        <w:rPr>
          <w:rFonts w:hint="eastAsia" w:ascii="黑体" w:hAnsi="黑体" w:eastAsia="黑体" w:cs="黑体"/>
          <w:color w:val="000000"/>
          <w:spacing w:val="0"/>
          <w:w w:val="100"/>
          <w:position w:val="0"/>
          <w:sz w:val="32"/>
          <w:szCs w:val="32"/>
        </w:rPr>
        <w:t>绩效目标完成情况分析</w:t>
      </w:r>
    </w:p>
    <w:p w14:paraId="6E99F7BD">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sz w:val="32"/>
          <w:szCs w:val="32"/>
        </w:rPr>
      </w:pPr>
      <w:r>
        <w:rPr>
          <w:rFonts w:hint="eastAsia" w:ascii="楷体" w:hAnsi="楷体" w:eastAsia="楷体" w:cs="楷体"/>
          <w:b w:val="0"/>
          <w:bCs w:val="0"/>
          <w:color w:val="000000"/>
          <w:spacing w:val="0"/>
          <w:w w:val="100"/>
          <w:position w:val="0"/>
          <w:sz w:val="32"/>
          <w:szCs w:val="32"/>
        </w:rPr>
        <w:t>（一）产出指标完成情况分析。</w:t>
      </w:r>
    </w:p>
    <w:p w14:paraId="4E4F9A87">
      <w:pPr>
        <w:keepNext w:val="0"/>
        <w:keepLines w:val="0"/>
        <w:pageBreakBefore w:val="0"/>
        <w:widowControl w:val="0"/>
        <w:kinsoku/>
        <w:wordWrap/>
        <w:overflowPunct/>
        <w:topLinePunct w:val="0"/>
        <w:autoSpaceDE/>
        <w:autoSpaceDN/>
        <w:bidi w:val="0"/>
        <w:snapToGrid/>
        <w:spacing w:after="0" w:line="560" w:lineRule="exact"/>
        <w:ind w:firstLine="643" w:firstLineChars="200"/>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数量指标。</w:t>
      </w:r>
      <w:r>
        <w:rPr>
          <w:rFonts w:hint="eastAsia" w:ascii="仿宋_GB2312" w:hAnsi="仿宋_GB2312" w:eastAsia="仿宋_GB2312" w:cs="仿宋_GB2312"/>
          <w:color w:val="000000"/>
          <w:spacing w:val="0"/>
          <w:w w:val="100"/>
          <w:position w:val="0"/>
          <w:sz w:val="32"/>
          <w:szCs w:val="32"/>
          <w:lang w:eastAsia="zh-CN"/>
        </w:rPr>
        <w:t>组建一支10人组成的市级基层传染病应急处置小分队，配备必要的背囊化应急处置装备。</w:t>
      </w:r>
    </w:p>
    <w:p w14:paraId="67CA7E4F">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质量指标。</w:t>
      </w:r>
      <w:r>
        <w:rPr>
          <w:rFonts w:hint="eastAsia" w:ascii="仿宋_GB2312" w:hAnsi="仿宋_GB2312" w:eastAsia="仿宋_GB2312" w:cs="仿宋_GB2312"/>
          <w:color w:val="000000"/>
          <w:spacing w:val="0"/>
          <w:w w:val="100"/>
          <w:position w:val="0"/>
          <w:sz w:val="32"/>
          <w:szCs w:val="32"/>
          <w:u w:val="none"/>
          <w:shd w:val="clear" w:color="auto" w:fill="auto"/>
          <w:lang w:val="en-US" w:eastAsia="zh-CN" w:bidi="en-US"/>
        </w:rPr>
        <w:t>提升</w:t>
      </w:r>
      <w:r>
        <w:rPr>
          <w:rFonts w:hint="eastAsia" w:ascii="仿宋_GB2312" w:hAnsi="仿宋_GB2312" w:eastAsia="仿宋_GB2312" w:cs="仿宋_GB2312"/>
          <w:color w:val="000000"/>
          <w:spacing w:val="0"/>
          <w:w w:val="100"/>
          <w:position w:val="0"/>
          <w:sz w:val="32"/>
          <w:szCs w:val="32"/>
          <w:lang w:eastAsia="zh-CN"/>
        </w:rPr>
        <w:t>队员应急处置能力。</w:t>
      </w:r>
    </w:p>
    <w:p w14:paraId="515E19D9">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时效指标。</w:t>
      </w:r>
      <w:r>
        <w:rPr>
          <w:rFonts w:hint="eastAsia" w:ascii="仿宋_GB2312" w:hAnsi="仿宋_GB2312" w:eastAsia="仿宋_GB2312" w:cs="仿宋_GB2312"/>
          <w:color w:val="000000"/>
          <w:spacing w:val="0"/>
          <w:w w:val="100"/>
          <w:position w:val="0"/>
          <w:sz w:val="32"/>
          <w:szCs w:val="32"/>
          <w:lang w:eastAsia="zh-CN"/>
        </w:rPr>
        <w:t>均按照《兰州新区卫生健康委员会关于成立新区基层传染病应急小分队的通知》相关要求开展工作。</w:t>
      </w:r>
    </w:p>
    <w:p w14:paraId="20BA57D1">
      <w:pPr>
        <w:pStyle w:val="43"/>
        <w:keepNext w:val="0"/>
        <w:keepLines w:val="0"/>
        <w:pageBreakBefore w:val="0"/>
        <w:widowControl w:val="0"/>
        <w:numPr>
          <w:ilvl w:val="0"/>
          <w:numId w:val="0"/>
        </w:numPr>
        <w:shd w:val="clear" w:color="auto" w:fill="auto"/>
        <w:tabs>
          <w:tab w:val="left" w:pos="2397"/>
        </w:tabs>
        <w:kinsoku/>
        <w:wordWrap/>
        <w:overflowPunct/>
        <w:topLinePunct w:val="0"/>
        <w:autoSpaceDE/>
        <w:autoSpaceDN/>
        <w:bidi w:val="0"/>
        <w:snapToGrid/>
        <w:spacing w:before="0" w:after="100" w:line="560" w:lineRule="exact"/>
        <w:ind w:right="0" w:rightChars="0" w:firstLine="643"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4.成本指标</w:t>
      </w:r>
      <w:r>
        <w:rPr>
          <w:rFonts w:hint="eastAsia" w:ascii="仿宋_GB2312" w:hAnsi="仿宋_GB2312" w:eastAsia="仿宋_GB2312" w:cs="仿宋_GB2312"/>
          <w:b/>
          <w:bCs/>
          <w:color w:val="000000"/>
          <w:spacing w:val="0"/>
          <w:w w:val="100"/>
          <w:position w:val="0"/>
          <w:sz w:val="32"/>
          <w:szCs w:val="32"/>
        </w:rPr>
        <w:t>。</w:t>
      </w:r>
      <w:r>
        <w:rPr>
          <w:rFonts w:hint="eastAsia" w:ascii="仿宋_GB2312" w:hAnsi="仿宋_GB2312" w:eastAsia="仿宋_GB2312" w:cs="仿宋_GB2312"/>
          <w:color w:val="000000"/>
          <w:spacing w:val="0"/>
          <w:w w:val="100"/>
          <w:position w:val="0"/>
          <w:sz w:val="32"/>
          <w:szCs w:val="32"/>
          <w:lang w:eastAsia="zh-CN"/>
        </w:rPr>
        <w:t>严格控制经费。</w:t>
      </w:r>
    </w:p>
    <w:p w14:paraId="296226C8">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lang w:eastAsia="zh-CN"/>
        </w:rPr>
        <w:t>（二）</w:t>
      </w:r>
      <w:r>
        <w:rPr>
          <w:rFonts w:hint="eastAsia" w:ascii="楷体" w:hAnsi="楷体" w:eastAsia="楷体" w:cs="楷体"/>
          <w:b w:val="0"/>
          <w:bCs w:val="0"/>
          <w:color w:val="000000"/>
          <w:spacing w:val="0"/>
          <w:w w:val="100"/>
          <w:position w:val="0"/>
          <w:sz w:val="32"/>
          <w:szCs w:val="32"/>
        </w:rPr>
        <w:t>效益指标完成情况分析。</w:t>
      </w:r>
    </w:p>
    <w:p w14:paraId="0A3B8B30">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社会效益。</w:t>
      </w:r>
      <w:r>
        <w:rPr>
          <w:rFonts w:hint="eastAsia" w:ascii="仿宋_GB2312" w:hAnsi="仿宋_GB2312" w:eastAsia="仿宋_GB2312" w:cs="仿宋_GB2312"/>
          <w:color w:val="000000"/>
          <w:spacing w:val="0"/>
          <w:w w:val="100"/>
          <w:position w:val="0"/>
          <w:sz w:val="32"/>
          <w:szCs w:val="32"/>
          <w:lang w:val="en-US" w:eastAsia="zh-CN"/>
        </w:rPr>
        <w:t>2023年，新区</w:t>
      </w:r>
      <w:r>
        <w:rPr>
          <w:rFonts w:hint="eastAsia" w:ascii="仿宋_GB2312" w:hAnsi="仿宋_GB2312" w:eastAsia="仿宋_GB2312" w:cs="仿宋_GB2312"/>
          <w:b w:val="0"/>
          <w:bCs w:val="0"/>
          <w:sz w:val="32"/>
          <w:szCs w:val="32"/>
          <w:lang w:val="en-US" w:eastAsia="zh-CN"/>
        </w:rPr>
        <w:t>无暴发传染病疫情引起的社会不稳定事件</w:t>
      </w:r>
    </w:p>
    <w:p w14:paraId="354F3746">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可持续影响。</w:t>
      </w:r>
      <w:r>
        <w:rPr>
          <w:rFonts w:hint="eastAsia" w:ascii="仿宋_GB2312" w:hAnsi="仿宋_GB2312" w:eastAsia="仿宋_GB2312" w:cs="仿宋_GB2312"/>
          <w:color w:val="000000"/>
          <w:spacing w:val="0"/>
          <w:w w:val="100"/>
          <w:position w:val="0"/>
          <w:sz w:val="32"/>
          <w:szCs w:val="32"/>
          <w:lang w:eastAsia="zh-CN"/>
        </w:rPr>
        <w:t>该项目对新区居民身体健康</w:t>
      </w:r>
      <w:r>
        <w:rPr>
          <w:rFonts w:hint="eastAsia" w:ascii="仿宋_GB2312" w:hAnsi="仿宋_GB2312" w:eastAsia="仿宋_GB2312" w:cs="仿宋_GB2312"/>
          <w:b w:val="0"/>
          <w:bCs w:val="0"/>
          <w:sz w:val="32"/>
          <w:szCs w:val="32"/>
          <w:lang w:val="en-US" w:eastAsia="zh-CN"/>
        </w:rPr>
        <w:t>具有长期健康扶助效益，可持续性良好。</w:t>
      </w:r>
    </w:p>
    <w:p w14:paraId="299447B7">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rPr>
        <w:t>（三）满意度指标完成情况分析。</w:t>
      </w:r>
    </w:p>
    <w:p w14:paraId="0602FC58">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应急小分队成员满意度对此项工作的认可程度，达到</w:t>
      </w:r>
      <w:r>
        <w:rPr>
          <w:rFonts w:hint="eastAsia" w:ascii="仿宋_GB2312" w:hAnsi="仿宋_GB2312" w:eastAsia="仿宋_GB2312" w:cs="仿宋_GB2312"/>
          <w:color w:val="000000"/>
          <w:spacing w:val="0"/>
          <w:w w:val="100"/>
          <w:position w:val="0"/>
          <w:sz w:val="32"/>
          <w:szCs w:val="32"/>
          <w:lang w:val="en-US" w:eastAsia="zh-CN"/>
        </w:rPr>
        <w:t>90%。</w:t>
      </w:r>
    </w:p>
    <w:p w14:paraId="37EB04F0">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楷体" w:hAnsi="楷体" w:eastAsia="楷体" w:cs="楷体"/>
          <w:b w:val="0"/>
          <w:bCs w:val="0"/>
          <w:color w:val="000000"/>
          <w:spacing w:val="0"/>
          <w:w w:val="100"/>
          <w:position w:val="0"/>
          <w:sz w:val="32"/>
          <w:szCs w:val="32"/>
        </w:rPr>
        <w:t>（四）其他需要说明的事项。</w:t>
      </w:r>
      <w:r>
        <w:rPr>
          <w:rFonts w:hint="eastAsia" w:ascii="仿宋_GB2312" w:hAnsi="仿宋_GB2312" w:eastAsia="仿宋_GB2312" w:cs="仿宋_GB2312"/>
          <w:color w:val="000000"/>
          <w:spacing w:val="0"/>
          <w:w w:val="100"/>
          <w:position w:val="0"/>
          <w:sz w:val="32"/>
          <w:szCs w:val="32"/>
          <w:lang w:eastAsia="zh-CN"/>
        </w:rPr>
        <w:t>无</w:t>
      </w:r>
    </w:p>
    <w:p w14:paraId="252ADBCD">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五、</w:t>
      </w:r>
      <w:r>
        <w:rPr>
          <w:rFonts w:hint="eastAsia" w:ascii="黑体" w:hAnsi="黑体" w:eastAsia="黑体" w:cs="黑体"/>
          <w:color w:val="000000"/>
          <w:spacing w:val="0"/>
          <w:w w:val="100"/>
          <w:position w:val="0"/>
          <w:sz w:val="32"/>
          <w:szCs w:val="32"/>
        </w:rPr>
        <w:t>结论</w:t>
      </w:r>
    </w:p>
    <w:p w14:paraId="2DDDAF9D">
      <w:pPr>
        <w:pStyle w:val="4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仿宋_GB2312" w:hAnsi="仿宋_GB2312" w:eastAsia="仿宋_GB2312" w:cs="仿宋_GB2312"/>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rPr>
        <w:t>（一）主要指标情况及结论。</w:t>
      </w:r>
      <w:r>
        <w:rPr>
          <w:rFonts w:hint="eastAsia" w:ascii="仿宋_GB2312" w:hAnsi="仿宋_GB2312" w:eastAsia="仿宋_GB2312" w:cs="仿宋_GB2312"/>
          <w:b w:val="0"/>
          <w:bCs w:val="0"/>
          <w:color w:val="000000"/>
          <w:spacing w:val="0"/>
          <w:w w:val="100"/>
          <w:position w:val="0"/>
          <w:sz w:val="32"/>
          <w:szCs w:val="32"/>
          <w:lang w:eastAsia="zh-CN"/>
        </w:rPr>
        <w:t>新区规范建设新区基层传染病应急小分队，全面提升基层传染病应急小分队的应急处置能力和水平，结合兰州新区实际，科学整合现有资源，组建新区基层传染病应急小分队。</w:t>
      </w:r>
    </w:p>
    <w:p w14:paraId="4EDD51E3">
      <w:pPr>
        <w:keepNext w:val="0"/>
        <w:keepLines w:val="0"/>
        <w:pageBreakBefore w:val="0"/>
        <w:widowControl w:val="0"/>
        <w:kinsoku/>
        <w:wordWrap/>
        <w:overflowPunct/>
        <w:topLinePunct w:val="0"/>
        <w:autoSpaceDE/>
        <w:autoSpaceDN/>
        <w:bidi w:val="0"/>
        <w:snapToGrid/>
        <w:spacing w:after="0" w:line="560" w:lineRule="exact"/>
        <w:ind w:firstLine="640" w:firstLineChars="200"/>
        <w:rPr>
          <w:rFonts w:hint="eastAsia" w:ascii="楷体" w:hAnsi="楷体" w:eastAsia="楷体" w:cs="楷体"/>
          <w:sz w:val="32"/>
          <w:szCs w:val="32"/>
          <w:highlight w:val="none"/>
          <w:lang w:val="en-US" w:eastAsia="zh-CN"/>
        </w:rPr>
      </w:pPr>
      <w:r>
        <w:rPr>
          <w:rFonts w:hint="eastAsia" w:ascii="楷体" w:hAnsi="楷体" w:eastAsia="楷体" w:cs="楷体"/>
          <w:b w:val="0"/>
          <w:bCs w:val="0"/>
          <w:sz w:val="32"/>
          <w:szCs w:val="32"/>
          <w:lang w:eastAsia="zh-CN"/>
        </w:rPr>
        <w:t>（二）存在的问题和不足。无</w:t>
      </w:r>
    </w:p>
    <w:p w14:paraId="0CE1EB1B">
      <w:pPr>
        <w:keepNext w:val="0"/>
        <w:keepLines w:val="0"/>
        <w:pageBreakBefore w:val="0"/>
        <w:widowControl/>
        <w:kinsoku/>
        <w:wordWrap/>
        <w:overflowPunct/>
        <w:topLinePunct w:val="0"/>
        <w:autoSpaceDE/>
        <w:autoSpaceDN/>
        <w:bidi w:val="0"/>
        <w:spacing w:after="0" w:line="560" w:lineRule="exact"/>
        <w:ind w:firstLine="640" w:firstLineChars="200"/>
        <w:jc w:val="both"/>
        <w:textAlignment w:val="auto"/>
        <w:rPr>
          <w:rFonts w:hint="default"/>
          <w:lang w:val="en-US" w:eastAsia="zh-CN"/>
        </w:rPr>
      </w:pPr>
      <w:r>
        <w:rPr>
          <w:rFonts w:hint="eastAsia" w:ascii="楷体" w:hAnsi="楷体" w:eastAsia="楷体" w:cs="楷体"/>
          <w:sz w:val="32"/>
          <w:szCs w:val="32"/>
          <w:highlight w:val="none"/>
          <w:lang w:val="en-US" w:eastAsia="zh-CN"/>
        </w:rPr>
        <w:t>（三）工作建议。</w:t>
      </w:r>
      <w:r>
        <w:rPr>
          <w:rFonts w:hint="eastAsia" w:ascii="仿宋_GB2312" w:hAnsi="Times New Roman" w:eastAsia="仿宋_GB2312" w:cs="Times New Roman"/>
          <w:color w:val="auto"/>
          <w:sz w:val="32"/>
          <w:szCs w:val="32"/>
          <w:lang w:val="en-US" w:eastAsia="zh-CN"/>
        </w:rPr>
        <w:t>无</w:t>
      </w:r>
    </w:p>
    <w:p w14:paraId="5B188F11">
      <w:pPr>
        <w:rPr>
          <w:rFonts w:hint="eastAsia" w:ascii="楷体" w:hAnsi="楷体" w:eastAsia="楷体" w:cs="楷体"/>
          <w:color w:val="000000"/>
          <w:spacing w:val="0"/>
          <w:w w:val="100"/>
          <w:position w:val="0"/>
          <w:sz w:val="32"/>
          <w:szCs w:val="32"/>
          <w:lang w:eastAsia="zh-CN"/>
        </w:rPr>
      </w:pPr>
      <w:r>
        <w:rPr>
          <w:rFonts w:hint="eastAsia" w:ascii="楷体" w:hAnsi="楷体" w:eastAsia="楷体" w:cs="楷体"/>
          <w:color w:val="000000"/>
          <w:spacing w:val="0"/>
          <w:w w:val="100"/>
          <w:position w:val="0"/>
          <w:sz w:val="32"/>
          <w:szCs w:val="32"/>
          <w:lang w:val="en-US" w:eastAsia="zh-CN"/>
        </w:rPr>
        <w:t>2023年</w:t>
      </w:r>
      <w:r>
        <w:rPr>
          <w:rFonts w:hint="eastAsia" w:ascii="楷体" w:hAnsi="楷体" w:eastAsia="楷体" w:cs="楷体"/>
          <w:color w:val="000000"/>
          <w:spacing w:val="0"/>
          <w:w w:val="100"/>
          <w:position w:val="0"/>
          <w:sz w:val="32"/>
          <w:szCs w:val="32"/>
          <w:lang w:eastAsia="zh-CN"/>
        </w:rPr>
        <w:t>传染病应急专业人才培训项目</w:t>
      </w:r>
    </w:p>
    <w:p w14:paraId="5D386B2F">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一、项目基本情况</w:t>
      </w:r>
    </w:p>
    <w:p w14:paraId="6F190BE8">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color w:val="000000"/>
          <w:spacing w:val="0"/>
          <w:w w:val="100"/>
          <w:position w:val="0"/>
          <w:sz w:val="32"/>
          <w:szCs w:val="32"/>
        </w:rPr>
      </w:pPr>
      <w:r>
        <w:rPr>
          <w:rFonts w:hint="eastAsia" w:ascii="楷体" w:hAnsi="楷体" w:eastAsia="楷体" w:cs="楷体"/>
          <w:color w:val="000000"/>
          <w:spacing w:val="0"/>
          <w:w w:val="100"/>
          <w:position w:val="0"/>
          <w:sz w:val="32"/>
          <w:szCs w:val="32"/>
          <w:lang w:eastAsia="zh-CN"/>
        </w:rPr>
        <w:t>（一）</w:t>
      </w:r>
      <w:r>
        <w:rPr>
          <w:rFonts w:hint="eastAsia" w:ascii="楷体" w:hAnsi="楷体" w:eastAsia="楷体" w:cs="楷体"/>
          <w:color w:val="000000"/>
          <w:spacing w:val="0"/>
          <w:w w:val="100"/>
          <w:position w:val="0"/>
          <w:sz w:val="32"/>
          <w:szCs w:val="32"/>
        </w:rPr>
        <w:t>项目概况。</w:t>
      </w:r>
      <w:r>
        <w:rPr>
          <w:rFonts w:hint="eastAsia" w:ascii="仿宋_GB2312" w:hAnsi="仿宋_GB2312" w:eastAsia="仿宋_GB2312" w:cs="仿宋_GB2312"/>
          <w:color w:val="000000"/>
          <w:spacing w:val="0"/>
          <w:w w:val="100"/>
          <w:position w:val="0"/>
          <w:sz w:val="32"/>
          <w:szCs w:val="32"/>
          <w:lang w:eastAsia="zh-CN"/>
        </w:rPr>
        <w:t>项目执行主体为兰州新区卫生健康委，实施单位为新区疾控中心，项目覆盖新区辖区所有医疗卫生机构。</w:t>
      </w:r>
    </w:p>
    <w:p w14:paraId="51387860">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rPr>
          <w:rFonts w:hint="eastAsia" w:ascii="仿宋_GB2312" w:hAnsi="仿宋_GB2312" w:eastAsia="仿宋_GB2312" w:cs="仿宋_GB2312"/>
          <w:sz w:val="32"/>
          <w:szCs w:val="32"/>
        </w:rPr>
      </w:pPr>
      <w:r>
        <w:rPr>
          <w:rFonts w:hint="eastAsia" w:ascii="楷体" w:hAnsi="楷体" w:eastAsia="楷体" w:cs="楷体"/>
          <w:color w:val="000000"/>
          <w:spacing w:val="0"/>
          <w:w w:val="100"/>
          <w:position w:val="0"/>
          <w:sz w:val="32"/>
          <w:szCs w:val="32"/>
          <w:lang w:eastAsia="zh-CN"/>
        </w:rPr>
        <w:t>（二）项目绩效目标情况。</w:t>
      </w:r>
      <w:r>
        <w:rPr>
          <w:rFonts w:hint="eastAsia" w:ascii="仿宋_GB2312" w:hAnsi="仿宋_GB2312" w:eastAsia="仿宋_GB2312" w:cs="仿宋_GB2312"/>
          <w:color w:val="000000"/>
          <w:spacing w:val="0"/>
          <w:w w:val="100"/>
          <w:position w:val="0"/>
          <w:sz w:val="32"/>
          <w:szCs w:val="32"/>
          <w:lang w:eastAsia="zh-CN"/>
        </w:rPr>
        <w:t>项目的实施旨在</w:t>
      </w:r>
      <w:r>
        <w:rPr>
          <w:rFonts w:hint="eastAsia" w:ascii="仿宋_GB2312" w:hAnsi="仿宋_GB2312" w:eastAsia="仿宋_GB2312" w:cs="仿宋_GB2312"/>
          <w:sz w:val="32"/>
          <w:szCs w:val="32"/>
        </w:rPr>
        <w:t>强化人员传染病监测预警专业知识，提高传染病疫情早期发现、科学评估和精准预警能力，有效防范和化解重大传染病风险，加强疫情监测和常态化预警能力，为应急处置和防控政策调整提供重要支撑。</w:t>
      </w:r>
    </w:p>
    <w:p w14:paraId="46B6750E">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二</w:t>
      </w:r>
      <w:r>
        <w:rPr>
          <w:rFonts w:hint="eastAsia" w:ascii="黑体" w:hAnsi="黑体" w:eastAsia="黑体" w:cs="黑体"/>
          <w:color w:val="000000"/>
          <w:spacing w:val="0"/>
          <w:w w:val="100"/>
          <w:position w:val="0"/>
          <w:sz w:val="32"/>
          <w:szCs w:val="32"/>
          <w:lang w:eastAsia="zh-CN"/>
        </w:rPr>
        <w:t>、</w:t>
      </w:r>
      <w:r>
        <w:rPr>
          <w:rFonts w:hint="eastAsia" w:ascii="黑体" w:hAnsi="黑体" w:eastAsia="黑体" w:cs="黑体"/>
          <w:color w:val="000000"/>
          <w:spacing w:val="0"/>
          <w:w w:val="100"/>
          <w:position w:val="0"/>
          <w:sz w:val="32"/>
          <w:szCs w:val="32"/>
        </w:rPr>
        <w:t>项目实施及管理情况</w:t>
      </w:r>
    </w:p>
    <w:p w14:paraId="4BA3B9C9">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（一）资金到位情况。</w:t>
      </w:r>
    </w:p>
    <w:p w14:paraId="44010B39">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jc w:val="both"/>
        <w:textAlignment w:val="auto"/>
        <w:rPr>
          <w:rFonts w:hint="eastAsia" w:ascii="仿宋_GB2312" w:hAnsi="仿宋" w:eastAsia="仿宋_GB2312"/>
          <w:kern w:val="0"/>
          <w:sz w:val="32"/>
          <w:szCs w:val="32"/>
        </w:rPr>
      </w:pPr>
      <w:r>
        <w:rPr>
          <w:rFonts w:hint="eastAsia" w:ascii="仿宋_GB2312" w:hAnsi="仿宋" w:eastAsia="仿宋_GB2312"/>
          <w:kern w:val="0"/>
          <w:sz w:val="32"/>
          <w:szCs w:val="32"/>
        </w:rPr>
        <w:t>本</w:t>
      </w:r>
      <w:r>
        <w:rPr>
          <w:rFonts w:hint="eastAsia" w:ascii="仿宋_GB2312" w:hAnsi="仿宋" w:eastAsia="仿宋_GB2312"/>
          <w:kern w:val="0"/>
          <w:sz w:val="32"/>
          <w:szCs w:val="32"/>
          <w:lang w:val="en-US" w:eastAsia="zh-CN"/>
        </w:rPr>
        <w:t>年度传染病应急专业人才培训项目</w:t>
      </w:r>
      <w:r>
        <w:rPr>
          <w:rFonts w:hint="eastAsia" w:ascii="仿宋_GB2312" w:hAnsi="仿宋" w:eastAsia="仿宋_GB2312"/>
          <w:kern w:val="0"/>
          <w:sz w:val="32"/>
          <w:szCs w:val="32"/>
        </w:rPr>
        <w:t>经费共计</w:t>
      </w:r>
      <w:r>
        <w:rPr>
          <w:rFonts w:hint="eastAsia" w:ascii="仿宋_GB2312" w:hAnsi="等线" w:eastAsia="仿宋_GB2312" w:cs="Times New Roman"/>
          <w:color w:val="000000"/>
          <w:kern w:val="2"/>
          <w:sz w:val="32"/>
          <w:szCs w:val="32"/>
          <w:lang w:val="en-US" w:eastAsia="zh-CN" w:bidi="ar-SA"/>
        </w:rPr>
        <w:t>0.48万元</w:t>
      </w:r>
      <w:r>
        <w:rPr>
          <w:rFonts w:hint="eastAsia" w:ascii="仿宋_GB2312" w:hAnsi="仿宋" w:eastAsia="仿宋_GB2312"/>
          <w:kern w:val="0"/>
          <w:sz w:val="32"/>
          <w:szCs w:val="32"/>
        </w:rPr>
        <w:t>。全部资金</w:t>
      </w:r>
      <w:r>
        <w:rPr>
          <w:rFonts w:hint="eastAsia" w:ascii="仿宋_GB2312" w:hAnsi="仿宋" w:eastAsia="仿宋_GB2312"/>
          <w:kern w:val="0"/>
          <w:sz w:val="32"/>
          <w:szCs w:val="32"/>
          <w:lang w:eastAsia="zh-CN"/>
        </w:rPr>
        <w:t>主要用于</w:t>
      </w:r>
      <w:r>
        <w:rPr>
          <w:rFonts w:hint="eastAsia" w:ascii="仿宋_GB2312" w:hAnsi="仿宋" w:eastAsia="仿宋_GB2312"/>
          <w:kern w:val="0"/>
          <w:sz w:val="32"/>
          <w:szCs w:val="32"/>
        </w:rPr>
        <w:t>基层专业人员培训，培训主要内容为传染病监测预警、数据处理和现场调查等。</w:t>
      </w:r>
    </w:p>
    <w:p w14:paraId="55C174A3">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line="560" w:lineRule="exact"/>
        <w:ind w:right="0" w:rightChars="0" w:firstLine="640" w:firstLineChars="200"/>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（二）项目开展情况。</w:t>
      </w:r>
    </w:p>
    <w:p w14:paraId="59B60D52">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default" w:ascii="仿宋_GB2312" w:hAnsi="仿宋" w:eastAsia="仿宋_GB2312" w:cs="Times New Roman"/>
          <w:color w:val="000000"/>
          <w:spacing w:val="0"/>
          <w:w w:val="100"/>
          <w:kern w:val="0"/>
          <w:position w:val="0"/>
          <w:sz w:val="32"/>
          <w:szCs w:val="32"/>
          <w:u w:val="none"/>
          <w:shd w:val="clear" w:color="auto" w:fill="auto"/>
          <w:lang w:val="en-US" w:eastAsia="zh-CN" w:bidi="en-US"/>
        </w:rPr>
      </w:pPr>
      <w:r>
        <w:rPr>
          <w:rFonts w:hint="eastAsia" w:ascii="仿宋_GB2312" w:hAnsi="仿宋" w:eastAsia="仿宋_GB2312" w:cs="Times New Roman"/>
          <w:color w:val="000000"/>
          <w:spacing w:val="0"/>
          <w:w w:val="100"/>
          <w:kern w:val="0"/>
          <w:position w:val="0"/>
          <w:sz w:val="32"/>
          <w:szCs w:val="32"/>
          <w:u w:val="none"/>
          <w:shd w:val="clear" w:color="auto" w:fill="auto"/>
          <w:lang w:val="en-US" w:eastAsia="zh-CN" w:bidi="en-US"/>
        </w:rPr>
        <w:t>项目培训工作由新区疾控中心负责，参加人员从新区各医疗机构公共卫生专业及应急处置队伍人员中选择，预计2024年4月底前完成培训工作。</w:t>
      </w:r>
    </w:p>
    <w:p w14:paraId="753537C3">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rPr>
        <w:t>三、项目绩效自评开展情况</w:t>
      </w:r>
    </w:p>
    <w:p w14:paraId="21948FF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新区卫生健康委高度重视疾控类项目绩效自评估工作，专门召开会议传达上级要求，结合新区</w:t>
      </w:r>
      <w:r>
        <w:rPr>
          <w:rFonts w:hint="eastAsia" w:ascii="仿宋_GB2312" w:hAnsi="仿宋_GB2312" w:eastAsia="仿宋_GB2312" w:cs="仿宋_GB2312"/>
          <w:color w:val="000000"/>
          <w:spacing w:val="0"/>
          <w:w w:val="100"/>
          <w:position w:val="0"/>
          <w:sz w:val="32"/>
          <w:szCs w:val="32"/>
          <w:lang w:val="en-US" w:eastAsia="zh-CN"/>
        </w:rPr>
        <w:t>2023年实施方案及对各单位绩效考核目标责任，</w:t>
      </w:r>
      <w:r>
        <w:rPr>
          <w:rFonts w:hint="eastAsia" w:ascii="仿宋_GB2312" w:hAnsi="仿宋_GB2312" w:eastAsia="仿宋_GB2312" w:cs="仿宋_GB2312"/>
          <w:color w:val="000000"/>
          <w:spacing w:val="0"/>
          <w:w w:val="100"/>
          <w:position w:val="0"/>
          <w:sz w:val="32"/>
          <w:szCs w:val="32"/>
          <w:lang w:eastAsia="zh-CN"/>
        </w:rPr>
        <w:t>认真组织自评报告。</w:t>
      </w:r>
    </w:p>
    <w:p w14:paraId="1249DF47">
      <w:pPr>
        <w:pStyle w:val="42"/>
        <w:keepNext w:val="0"/>
        <w:keepLines w:val="0"/>
        <w:pageBreakBefore w:val="0"/>
        <w:widowControl w:val="0"/>
        <w:shd w:val="clear" w:color="auto" w:fill="auto"/>
        <w:kinsoku/>
        <w:wordWrap/>
        <w:overflowPunct/>
        <w:topLinePunct w:val="0"/>
        <w:autoSpaceDE/>
        <w:autoSpaceDN/>
        <w:bidi w:val="0"/>
        <w:snapToGrid/>
        <w:spacing w:before="0" w:after="0" w:line="560" w:lineRule="exact"/>
        <w:ind w:right="0"/>
        <w:jc w:val="left"/>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四、</w:t>
      </w:r>
      <w:r>
        <w:rPr>
          <w:rFonts w:hint="eastAsia" w:ascii="黑体" w:hAnsi="黑体" w:eastAsia="黑体" w:cs="黑体"/>
          <w:color w:val="000000"/>
          <w:spacing w:val="0"/>
          <w:w w:val="100"/>
          <w:position w:val="0"/>
          <w:sz w:val="32"/>
          <w:szCs w:val="32"/>
        </w:rPr>
        <w:t>绩效目标完成情况分析</w:t>
      </w:r>
    </w:p>
    <w:p w14:paraId="012DABFB">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sz w:val="32"/>
          <w:szCs w:val="32"/>
        </w:rPr>
      </w:pPr>
      <w:r>
        <w:rPr>
          <w:rFonts w:hint="eastAsia" w:ascii="楷体" w:hAnsi="楷体" w:eastAsia="楷体" w:cs="楷体"/>
          <w:b w:val="0"/>
          <w:bCs w:val="0"/>
          <w:color w:val="000000"/>
          <w:spacing w:val="0"/>
          <w:w w:val="100"/>
          <w:position w:val="0"/>
          <w:sz w:val="32"/>
          <w:szCs w:val="32"/>
        </w:rPr>
        <w:t>（一）产出指标完成情况分析。</w:t>
      </w:r>
    </w:p>
    <w:p w14:paraId="27DF2BA5">
      <w:pPr>
        <w:keepNext w:val="0"/>
        <w:keepLines w:val="0"/>
        <w:pageBreakBefore w:val="0"/>
        <w:widowControl w:val="0"/>
        <w:kinsoku/>
        <w:wordWrap/>
        <w:overflowPunct/>
        <w:topLinePunct w:val="0"/>
        <w:autoSpaceDE/>
        <w:autoSpaceDN/>
        <w:bidi w:val="0"/>
        <w:snapToGrid/>
        <w:spacing w:after="0" w:line="560" w:lineRule="exact"/>
        <w:ind w:firstLine="643"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数量指标。</w:t>
      </w:r>
      <w:r>
        <w:rPr>
          <w:rFonts w:hint="eastAsia" w:ascii="仿宋_GB2312" w:hAnsi="仿宋" w:eastAsia="仿宋_GB2312"/>
          <w:kern w:val="0"/>
          <w:sz w:val="32"/>
          <w:szCs w:val="32"/>
          <w:lang w:val="en-US" w:eastAsia="zh-CN"/>
        </w:rPr>
        <w:t>培训基层专业人员20人次。</w:t>
      </w:r>
    </w:p>
    <w:p w14:paraId="33910515">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质量指标。</w:t>
      </w:r>
      <w:r>
        <w:rPr>
          <w:rFonts w:hint="eastAsia" w:ascii="仿宋_GB2312" w:hAnsi="仿宋" w:eastAsia="仿宋_GB2312" w:cs="Times New Roman"/>
          <w:color w:val="000000"/>
          <w:spacing w:val="0"/>
          <w:w w:val="100"/>
          <w:kern w:val="0"/>
          <w:position w:val="0"/>
          <w:sz w:val="32"/>
          <w:szCs w:val="32"/>
          <w:u w:val="none"/>
          <w:shd w:val="clear" w:color="auto" w:fill="auto"/>
          <w:lang w:val="en-US" w:eastAsia="zh-CN" w:bidi="en-US"/>
        </w:rPr>
        <w:t>提升</w:t>
      </w:r>
      <w:r>
        <w:rPr>
          <w:rFonts w:hint="eastAsia" w:ascii="仿宋_GB2312" w:hAnsi="仿宋_GB2312" w:eastAsia="仿宋_GB2312" w:cs="仿宋_GB2312"/>
          <w:color w:val="000000"/>
          <w:spacing w:val="0"/>
          <w:w w:val="100"/>
          <w:position w:val="0"/>
          <w:sz w:val="32"/>
          <w:szCs w:val="32"/>
          <w:lang w:eastAsia="zh-CN"/>
        </w:rPr>
        <w:t>基层专业人员传染病应急处置能力。</w:t>
      </w:r>
    </w:p>
    <w:p w14:paraId="3CE01751">
      <w:pPr>
        <w:pStyle w:val="43"/>
        <w:keepNext w:val="0"/>
        <w:keepLines w:val="0"/>
        <w:pageBreakBefore w:val="0"/>
        <w:widowControl w:val="0"/>
        <w:numPr>
          <w:ilvl w:val="0"/>
          <w:numId w:val="0"/>
        </w:numPr>
        <w:shd w:val="clear" w:color="auto" w:fill="auto"/>
        <w:tabs>
          <w:tab w:val="left" w:pos="2392"/>
        </w:tabs>
        <w:kinsoku/>
        <w:wordWrap/>
        <w:overflowPunct/>
        <w:topLinePunct w:val="0"/>
        <w:autoSpaceDE/>
        <w:autoSpaceDN/>
        <w:bidi w:val="0"/>
        <w:adjustRightInd/>
        <w:snapToGrid/>
        <w:spacing w:before="0" w:after="100" w:line="560" w:lineRule="exact"/>
        <w:ind w:right="0" w:righ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时效指标。</w:t>
      </w:r>
      <w:r>
        <w:rPr>
          <w:rFonts w:hint="eastAsia" w:ascii="仿宋_GB2312" w:hAnsi="仿宋_GB2312" w:eastAsia="仿宋_GB2312" w:cs="仿宋_GB2312"/>
          <w:color w:val="000000"/>
          <w:spacing w:val="0"/>
          <w:w w:val="100"/>
          <w:position w:val="0"/>
          <w:sz w:val="32"/>
          <w:szCs w:val="32"/>
          <w:lang w:val="en-US" w:eastAsia="zh-CN"/>
        </w:rPr>
        <w:t>2024年4月底前完成。</w:t>
      </w:r>
    </w:p>
    <w:p w14:paraId="5FDCAF57">
      <w:pPr>
        <w:pStyle w:val="43"/>
        <w:keepNext w:val="0"/>
        <w:keepLines w:val="0"/>
        <w:pageBreakBefore w:val="0"/>
        <w:widowControl w:val="0"/>
        <w:numPr>
          <w:ilvl w:val="0"/>
          <w:numId w:val="0"/>
        </w:numPr>
        <w:shd w:val="clear" w:color="auto" w:fill="auto"/>
        <w:tabs>
          <w:tab w:val="left" w:pos="2397"/>
        </w:tabs>
        <w:kinsoku/>
        <w:wordWrap/>
        <w:overflowPunct/>
        <w:topLinePunct w:val="0"/>
        <w:autoSpaceDE/>
        <w:autoSpaceDN/>
        <w:bidi w:val="0"/>
        <w:snapToGrid/>
        <w:spacing w:before="0" w:after="100" w:line="560" w:lineRule="exact"/>
        <w:ind w:right="0" w:rightChars="0" w:firstLine="643"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pacing w:val="0"/>
          <w:w w:val="100"/>
          <w:position w:val="0"/>
          <w:sz w:val="32"/>
          <w:szCs w:val="32"/>
          <w:lang w:val="en-US" w:eastAsia="zh-CN"/>
        </w:rPr>
        <w:t>4.成本指标</w:t>
      </w:r>
      <w:r>
        <w:rPr>
          <w:rFonts w:hint="eastAsia" w:ascii="仿宋_GB2312" w:hAnsi="仿宋_GB2312" w:eastAsia="仿宋_GB2312" w:cs="仿宋_GB2312"/>
          <w:b/>
          <w:bCs/>
          <w:color w:val="000000"/>
          <w:spacing w:val="0"/>
          <w:w w:val="100"/>
          <w:position w:val="0"/>
          <w:sz w:val="32"/>
          <w:szCs w:val="32"/>
        </w:rPr>
        <w:t>。</w:t>
      </w:r>
      <w:r>
        <w:rPr>
          <w:rFonts w:hint="eastAsia" w:ascii="仿宋_GB2312" w:hAnsi="仿宋_GB2312" w:eastAsia="仿宋_GB2312" w:cs="仿宋_GB2312"/>
          <w:color w:val="000000"/>
          <w:spacing w:val="0"/>
          <w:w w:val="100"/>
          <w:position w:val="0"/>
          <w:sz w:val="32"/>
          <w:szCs w:val="32"/>
          <w:lang w:eastAsia="zh-CN"/>
        </w:rPr>
        <w:t>严格控制经费。</w:t>
      </w:r>
    </w:p>
    <w:p w14:paraId="573C7512">
      <w:pPr>
        <w:pStyle w:val="43"/>
        <w:keepNext w:val="0"/>
        <w:keepLines w:val="0"/>
        <w:pageBreakBefore w:val="0"/>
        <w:widowControl w:val="0"/>
        <w:shd w:val="clear" w:color="auto" w:fill="auto"/>
        <w:kinsoku/>
        <w:wordWrap/>
        <w:overflowPunct/>
        <w:topLinePunct w:val="0"/>
        <w:autoSpaceDE/>
        <w:autoSpaceDN/>
        <w:bidi w:val="0"/>
        <w:snapToGrid/>
        <w:spacing w:before="0" w:after="100" w:line="560" w:lineRule="exact"/>
        <w:ind w:right="0" w:firstLine="851" w:firstLineChars="266"/>
        <w:jc w:val="left"/>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lang w:eastAsia="zh-CN"/>
        </w:rPr>
        <w:t>（二）</w:t>
      </w:r>
      <w:r>
        <w:rPr>
          <w:rFonts w:hint="eastAsia" w:ascii="楷体" w:hAnsi="楷体" w:eastAsia="楷体" w:cs="楷体"/>
          <w:b w:val="0"/>
          <w:bCs w:val="0"/>
          <w:color w:val="000000"/>
          <w:spacing w:val="0"/>
          <w:w w:val="100"/>
          <w:position w:val="0"/>
          <w:sz w:val="32"/>
          <w:szCs w:val="32"/>
        </w:rPr>
        <w:t>效益指标完成情况分析。</w:t>
      </w:r>
    </w:p>
    <w:p w14:paraId="5D4676CB">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1.</w:t>
      </w:r>
      <w:r>
        <w:rPr>
          <w:rFonts w:hint="eastAsia" w:ascii="仿宋_GB2312" w:hAnsi="仿宋_GB2312" w:eastAsia="仿宋_GB2312" w:cs="仿宋_GB2312"/>
          <w:b/>
          <w:bCs/>
          <w:color w:val="000000"/>
          <w:spacing w:val="0"/>
          <w:w w:val="100"/>
          <w:position w:val="0"/>
          <w:sz w:val="32"/>
          <w:szCs w:val="32"/>
        </w:rPr>
        <w:t>社会效益。</w:t>
      </w:r>
      <w:r>
        <w:rPr>
          <w:rFonts w:hint="eastAsia" w:ascii="仿宋_GB2312" w:hAnsi="仿宋_GB2312" w:eastAsia="仿宋_GB2312" w:cs="仿宋_GB2312"/>
          <w:color w:val="000000"/>
          <w:spacing w:val="0"/>
          <w:w w:val="100"/>
          <w:position w:val="0"/>
          <w:sz w:val="32"/>
          <w:szCs w:val="32"/>
          <w:lang w:val="en-US" w:eastAsia="zh-CN"/>
        </w:rPr>
        <w:t>为有效防范和化解重大传染病风险，新区卫生健康委于2023年组织开展猴痘疫情防控应急处置桌面推演，新区各医疗机构分管领导、流调员参加参演，按照演练分工就病例发现、报告、鉴别诊断，流行病学调查、采样检测、现场消杀、密接管理、社区宣传、重点场所及人群干预等环节进行了演练。同时对猴痘病例发现、报告、流行病学调查和应急处置等内容及工作要求进行培训讲解，着力提升医务人员业务水平。</w:t>
      </w:r>
    </w:p>
    <w:p w14:paraId="7F71D350">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3" w:firstLineChars="200"/>
        <w:jc w:val="left"/>
        <w:textAlignment w:val="auto"/>
        <w:rPr>
          <w:rFonts w:hint="eastAsia" w:ascii="仿宋_GB2312" w:hAnsi="仿宋_GB2312" w:eastAsia="仿宋_GB2312" w:cs="仿宋_GB2312"/>
          <w:b w:val="0"/>
          <w:bCs w:val="0"/>
          <w:color w:val="000000"/>
          <w:spacing w:val="0"/>
          <w:w w:val="100"/>
          <w:position w:val="0"/>
          <w:sz w:val="32"/>
          <w:szCs w:val="32"/>
          <w:lang w:val="en-US" w:eastAsia="zh-CN"/>
        </w:rPr>
      </w:pPr>
      <w:r>
        <w:rPr>
          <w:rFonts w:hint="eastAsia" w:ascii="仿宋_GB2312" w:hAnsi="仿宋_GB2312" w:eastAsia="仿宋_GB2312" w:cs="仿宋_GB2312"/>
          <w:b/>
          <w:bCs/>
          <w:color w:val="000000"/>
          <w:spacing w:val="0"/>
          <w:w w:val="100"/>
          <w:position w:val="0"/>
          <w:sz w:val="32"/>
          <w:szCs w:val="32"/>
          <w:lang w:val="en-US" w:eastAsia="zh-CN"/>
        </w:rPr>
        <w:t>2.</w:t>
      </w:r>
      <w:r>
        <w:rPr>
          <w:rFonts w:hint="eastAsia" w:ascii="仿宋_GB2312" w:hAnsi="仿宋_GB2312" w:eastAsia="仿宋_GB2312" w:cs="仿宋_GB2312"/>
          <w:b/>
          <w:bCs/>
          <w:color w:val="000000"/>
          <w:spacing w:val="0"/>
          <w:w w:val="100"/>
          <w:position w:val="0"/>
          <w:sz w:val="32"/>
          <w:szCs w:val="32"/>
        </w:rPr>
        <w:t>可持续影响。</w:t>
      </w:r>
      <w:r>
        <w:rPr>
          <w:rFonts w:hint="eastAsia" w:ascii="仿宋_GB2312" w:hAnsi="仿宋_GB2312" w:eastAsia="仿宋_GB2312" w:cs="仿宋_GB2312"/>
          <w:color w:val="000000"/>
          <w:spacing w:val="0"/>
          <w:w w:val="100"/>
          <w:position w:val="0"/>
          <w:sz w:val="32"/>
          <w:szCs w:val="32"/>
          <w:lang w:eastAsia="zh-CN"/>
        </w:rPr>
        <w:t>保障经济社会秩序正常运行。</w:t>
      </w:r>
    </w:p>
    <w:p w14:paraId="24181C6E">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eastAsia" w:ascii="楷体" w:hAnsi="楷体" w:eastAsia="楷体" w:cs="楷体"/>
          <w:b w:val="0"/>
          <w:bCs w:val="0"/>
          <w:color w:val="000000"/>
          <w:spacing w:val="0"/>
          <w:w w:val="100"/>
          <w:position w:val="0"/>
          <w:sz w:val="32"/>
          <w:szCs w:val="32"/>
        </w:rPr>
      </w:pPr>
      <w:r>
        <w:rPr>
          <w:rFonts w:hint="eastAsia" w:ascii="楷体" w:hAnsi="楷体" w:eastAsia="楷体" w:cs="楷体"/>
          <w:b w:val="0"/>
          <w:bCs w:val="0"/>
          <w:color w:val="000000"/>
          <w:spacing w:val="0"/>
          <w:w w:val="100"/>
          <w:position w:val="0"/>
          <w:sz w:val="32"/>
          <w:szCs w:val="32"/>
        </w:rPr>
        <w:t>（三）满意度指标完成情况分析。</w:t>
      </w:r>
    </w:p>
    <w:p w14:paraId="3D31A2F1">
      <w:pPr>
        <w:pStyle w:val="43"/>
        <w:keepNext w:val="0"/>
        <w:keepLines w:val="0"/>
        <w:pageBreakBefore w:val="0"/>
        <w:widowControl w:val="0"/>
        <w:numPr>
          <w:ilvl w:val="0"/>
          <w:numId w:val="0"/>
        </w:numPr>
        <w:shd w:val="clear" w:color="auto" w:fill="auto"/>
        <w:tabs>
          <w:tab w:val="left" w:pos="2492"/>
        </w:tabs>
        <w:kinsoku/>
        <w:wordWrap/>
        <w:overflowPunct/>
        <w:topLinePunct w:val="0"/>
        <w:autoSpaceDE/>
        <w:autoSpaceDN/>
        <w:bidi w:val="0"/>
        <w:adjustRightInd/>
        <w:snapToGrid/>
        <w:spacing w:before="0" w:after="0" w:line="560" w:lineRule="exact"/>
        <w:ind w:right="0" w:rightChars="0" w:firstLine="640" w:firstLineChars="200"/>
        <w:jc w:val="lef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eastAsia="zh-CN"/>
        </w:rPr>
        <w:t>新区各医疗机构公共卫生专业及应急处置队伍人员对此项工作的认可程度，达到</w:t>
      </w:r>
      <w:r>
        <w:rPr>
          <w:rFonts w:hint="eastAsia" w:ascii="仿宋_GB2312" w:hAnsi="仿宋_GB2312" w:eastAsia="仿宋_GB2312" w:cs="仿宋_GB2312"/>
          <w:color w:val="000000"/>
          <w:spacing w:val="0"/>
          <w:w w:val="100"/>
          <w:position w:val="0"/>
          <w:sz w:val="32"/>
          <w:szCs w:val="32"/>
          <w:lang w:val="en-US" w:eastAsia="zh-CN"/>
        </w:rPr>
        <w:t>90%。</w:t>
      </w:r>
    </w:p>
    <w:p w14:paraId="6DE514D0">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楷体" w:hAnsi="楷体" w:eastAsia="楷体" w:cs="楷体"/>
          <w:b w:val="0"/>
          <w:bCs w:val="0"/>
          <w:color w:val="000000"/>
          <w:spacing w:val="0"/>
          <w:w w:val="100"/>
          <w:position w:val="0"/>
          <w:sz w:val="32"/>
          <w:szCs w:val="32"/>
        </w:rPr>
        <w:t>（四）其他需要说明的事项。</w:t>
      </w:r>
      <w:r>
        <w:rPr>
          <w:rFonts w:hint="eastAsia" w:ascii="仿宋_GB2312" w:hAnsi="仿宋_GB2312" w:eastAsia="仿宋_GB2312" w:cs="仿宋_GB2312"/>
          <w:color w:val="000000"/>
          <w:spacing w:val="0"/>
          <w:w w:val="100"/>
          <w:position w:val="0"/>
          <w:sz w:val="32"/>
          <w:szCs w:val="32"/>
          <w:lang w:eastAsia="zh-CN"/>
        </w:rPr>
        <w:t>无</w:t>
      </w:r>
    </w:p>
    <w:p w14:paraId="002BA780">
      <w:pPr>
        <w:pStyle w:val="43"/>
        <w:keepNext w:val="0"/>
        <w:keepLines w:val="0"/>
        <w:pageBreakBefore w:val="0"/>
        <w:widowControl w:val="0"/>
        <w:shd w:val="clear" w:color="auto" w:fill="auto"/>
        <w:tabs>
          <w:tab w:val="left" w:pos="2758"/>
        </w:tabs>
        <w:kinsoku/>
        <w:wordWrap/>
        <w:overflowPunct/>
        <w:topLinePunct w:val="0"/>
        <w:autoSpaceDE/>
        <w:autoSpaceDN/>
        <w:bidi w:val="0"/>
        <w:adjustRightInd/>
        <w:snapToGrid/>
        <w:spacing w:before="0" w:after="0" w:line="560" w:lineRule="exact"/>
        <w:ind w:left="0" w:leftChars="0" w:right="0" w:firstLine="640" w:firstLineChars="200"/>
        <w:jc w:val="left"/>
        <w:textAlignment w:val="auto"/>
        <w:rPr>
          <w:rFonts w:hint="eastAsia" w:ascii="黑体" w:hAnsi="黑体" w:eastAsia="黑体" w:cs="黑体"/>
          <w:color w:val="000000"/>
          <w:spacing w:val="0"/>
          <w:w w:val="100"/>
          <w:position w:val="0"/>
          <w:sz w:val="32"/>
          <w:szCs w:val="32"/>
        </w:rPr>
      </w:pPr>
      <w:r>
        <w:rPr>
          <w:rFonts w:hint="eastAsia" w:ascii="黑体" w:hAnsi="黑体" w:eastAsia="黑体" w:cs="黑体"/>
          <w:color w:val="000000"/>
          <w:spacing w:val="0"/>
          <w:w w:val="100"/>
          <w:position w:val="0"/>
          <w:sz w:val="32"/>
          <w:szCs w:val="32"/>
          <w:lang w:eastAsia="zh-CN"/>
        </w:rPr>
        <w:t>五、</w:t>
      </w:r>
      <w:r>
        <w:rPr>
          <w:rFonts w:hint="eastAsia" w:ascii="黑体" w:hAnsi="黑体" w:eastAsia="黑体" w:cs="黑体"/>
          <w:color w:val="000000"/>
          <w:spacing w:val="0"/>
          <w:w w:val="100"/>
          <w:position w:val="0"/>
          <w:sz w:val="32"/>
          <w:szCs w:val="32"/>
        </w:rPr>
        <w:t>结论</w:t>
      </w:r>
    </w:p>
    <w:p w14:paraId="1E024D36">
      <w:pPr>
        <w:pStyle w:val="4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仿宋_GB2312" w:hAnsi="仿宋_GB2312" w:eastAsia="仿宋_GB2312" w:cs="仿宋_GB2312"/>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rPr>
        <w:t>（一）主要指标情况及结论。</w:t>
      </w:r>
      <w:r>
        <w:rPr>
          <w:rFonts w:hint="eastAsia" w:ascii="仿宋_GB2312" w:hAnsi="仿宋_GB2312" w:eastAsia="仿宋_GB2312" w:cs="仿宋_GB2312"/>
          <w:b w:val="0"/>
          <w:bCs w:val="0"/>
          <w:color w:val="000000"/>
          <w:spacing w:val="0"/>
          <w:w w:val="100"/>
          <w:position w:val="0"/>
          <w:sz w:val="32"/>
          <w:szCs w:val="32"/>
          <w:lang w:eastAsia="zh-CN"/>
        </w:rPr>
        <w:t>新区医疗卫生机构医务人员传染病监测预警专业能力得到提高。</w:t>
      </w:r>
    </w:p>
    <w:p w14:paraId="3DE9C447">
      <w:pPr>
        <w:keepNext w:val="0"/>
        <w:keepLines w:val="0"/>
        <w:pageBreakBefore w:val="0"/>
        <w:widowControl w:val="0"/>
        <w:kinsoku/>
        <w:wordWrap/>
        <w:overflowPunct/>
        <w:topLinePunct w:val="0"/>
        <w:autoSpaceDE/>
        <w:autoSpaceDN/>
        <w:bidi w:val="0"/>
        <w:snapToGrid/>
        <w:spacing w:after="0" w:line="560" w:lineRule="exact"/>
        <w:ind w:firstLine="640" w:firstLineChars="200"/>
        <w:rPr>
          <w:rFonts w:hint="eastAsia" w:ascii="仿宋_GB2312" w:eastAsia="仿宋_GB2312" w:cs="Times New Roman"/>
          <w:b/>
          <w:bCs/>
          <w:color w:val="auto"/>
          <w:sz w:val="32"/>
          <w:szCs w:val="32"/>
          <w:lang w:val="en-US" w:eastAsia="zh-CN"/>
        </w:rPr>
      </w:pPr>
      <w:r>
        <w:rPr>
          <w:rFonts w:hint="eastAsia" w:ascii="楷体" w:hAnsi="楷体" w:eastAsia="楷体" w:cs="楷体"/>
          <w:b w:val="0"/>
          <w:bCs w:val="0"/>
          <w:sz w:val="32"/>
          <w:szCs w:val="32"/>
          <w:lang w:eastAsia="zh-CN"/>
        </w:rPr>
        <w:t>（二）存在的问题和不足。</w:t>
      </w:r>
      <w:r>
        <w:rPr>
          <w:rFonts w:hint="eastAsia" w:ascii="仿宋_GB2312" w:hAnsi="仿宋_GB2312" w:eastAsia="仿宋_GB2312" w:cs="仿宋_GB2312"/>
          <w:b w:val="0"/>
          <w:bCs w:val="0"/>
          <w:color w:val="000000"/>
          <w:spacing w:val="0"/>
          <w:w w:val="100"/>
          <w:position w:val="0"/>
          <w:sz w:val="32"/>
          <w:szCs w:val="32"/>
          <w:u w:val="none"/>
          <w:shd w:val="clear" w:color="auto" w:fill="auto"/>
          <w:lang w:val="en-US" w:eastAsia="zh-CN" w:bidi="zh-TW"/>
        </w:rPr>
        <w:t>无</w:t>
      </w:r>
    </w:p>
    <w:p w14:paraId="4041DA70">
      <w:pPr>
        <w:keepNext w:val="0"/>
        <w:keepLines w:val="0"/>
        <w:pageBreakBefore w:val="0"/>
        <w:widowControl/>
        <w:kinsoku/>
        <w:wordWrap/>
        <w:overflowPunct/>
        <w:topLinePunct w:val="0"/>
        <w:autoSpaceDE/>
        <w:autoSpaceDN/>
        <w:bidi w:val="0"/>
        <w:spacing w:after="0" w:line="560" w:lineRule="exact"/>
        <w:ind w:firstLine="640" w:firstLineChars="200"/>
        <w:jc w:val="both"/>
        <w:textAlignment w:val="auto"/>
        <w:rPr>
          <w:rFonts w:hint="eastAsia" w:ascii="仿宋_GB2312" w:hAnsi="Times New Roman" w:eastAsia="仿宋_GB2312" w:cs="Times New Roman"/>
          <w:color w:val="auto"/>
          <w:sz w:val="32"/>
          <w:szCs w:val="32"/>
          <w:lang w:val="en-US" w:eastAsia="zh-CN"/>
        </w:rPr>
      </w:pPr>
      <w:r>
        <w:rPr>
          <w:rFonts w:hint="eastAsia" w:ascii="楷体" w:hAnsi="楷体" w:eastAsia="楷体" w:cs="楷体"/>
          <w:sz w:val="32"/>
          <w:szCs w:val="32"/>
          <w:highlight w:val="none"/>
          <w:lang w:val="en-US" w:eastAsia="zh-CN"/>
        </w:rPr>
        <w:t>（三）工作建议。</w:t>
      </w:r>
      <w:r>
        <w:rPr>
          <w:rFonts w:hint="eastAsia" w:ascii="仿宋_GB2312" w:hAnsi="Times New Roman" w:eastAsia="仿宋_GB2312" w:cs="Times New Roman"/>
          <w:color w:val="auto"/>
          <w:sz w:val="32"/>
          <w:szCs w:val="32"/>
          <w:lang w:val="en-US" w:eastAsia="zh-CN"/>
        </w:rPr>
        <w:t>无</w:t>
      </w:r>
    </w:p>
    <w:p w14:paraId="25A881DB">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textAlignment w:val="baseline"/>
        <w:outlineLvl w:val="2"/>
        <w:rPr>
          <w:rFonts w:hint="eastAsia" w:ascii="楷体" w:hAnsi="楷体" w:eastAsia="楷体" w:cs="楷体"/>
          <w:b/>
          <w:bCs/>
          <w:color w:val="auto"/>
          <w:szCs w:val="32"/>
          <w:lang w:eastAsia="zh-CN"/>
        </w:rPr>
      </w:pPr>
      <w:r>
        <w:rPr>
          <w:rFonts w:hint="eastAsia" w:ascii="楷体" w:hAnsi="楷体" w:eastAsia="楷体" w:cs="楷体"/>
          <w:b/>
          <w:bCs/>
          <w:color w:val="auto"/>
          <w:szCs w:val="32"/>
          <w:lang w:eastAsia="zh-CN"/>
        </w:rPr>
        <w:t>（五）上级转移支付疫情防控工作经费</w:t>
      </w:r>
    </w:p>
    <w:p w14:paraId="77C8FC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rPr>
        <w:t>1.项目支出预算执行情况</w:t>
      </w:r>
    </w:p>
    <w:p w14:paraId="5C69E9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rPr>
        <w:t>兰州新区202</w:t>
      </w:r>
      <w:r>
        <w:rPr>
          <w:rFonts w:hint="eastAsia" w:ascii="仿宋_GB2312" w:hAnsi="仿宋_GB2312" w:eastAsia="仿宋_GB2312" w:cs="仿宋_GB2312"/>
          <w:b w:val="0"/>
          <w:snapToGrid w:val="0"/>
          <w:color w:val="auto"/>
          <w:kern w:val="0"/>
          <w:sz w:val="32"/>
          <w:szCs w:val="32"/>
          <w:lang w:val="en-US" w:eastAsia="zh-CN"/>
        </w:rPr>
        <w:t>3</w:t>
      </w:r>
      <w:r>
        <w:rPr>
          <w:rFonts w:hint="eastAsia" w:ascii="仿宋_GB2312" w:hAnsi="仿宋_GB2312" w:eastAsia="仿宋_GB2312" w:cs="仿宋_GB2312"/>
          <w:b w:val="0"/>
          <w:snapToGrid w:val="0"/>
          <w:color w:val="auto"/>
          <w:kern w:val="0"/>
          <w:sz w:val="32"/>
          <w:szCs w:val="32"/>
        </w:rPr>
        <w:t>年</w:t>
      </w:r>
      <w:r>
        <w:rPr>
          <w:rFonts w:hint="eastAsia" w:ascii="仿宋_GB2312" w:hAnsi="仿宋_GB2312" w:eastAsia="仿宋_GB2312" w:cs="仿宋_GB2312"/>
          <w:b w:val="0"/>
          <w:snapToGrid w:val="0"/>
          <w:color w:val="auto"/>
          <w:kern w:val="0"/>
          <w:sz w:val="32"/>
          <w:szCs w:val="32"/>
          <w:lang w:eastAsia="zh-CN"/>
        </w:rPr>
        <w:t>省级</w:t>
      </w:r>
      <w:r>
        <w:rPr>
          <w:rFonts w:hint="eastAsia" w:ascii="仿宋_GB2312" w:hAnsi="仿宋_GB2312" w:eastAsia="仿宋_GB2312" w:cs="仿宋_GB2312"/>
          <w:b w:val="0"/>
          <w:snapToGrid w:val="0"/>
          <w:color w:val="auto"/>
          <w:kern w:val="0"/>
          <w:sz w:val="32"/>
          <w:szCs w:val="32"/>
        </w:rPr>
        <w:t>疫情防控资金为</w:t>
      </w:r>
      <w:r>
        <w:rPr>
          <w:rFonts w:hint="eastAsia" w:ascii="仿宋_GB2312" w:hAnsi="仿宋_GB2312" w:eastAsia="仿宋_GB2312" w:cs="仿宋_GB2312"/>
          <w:b w:val="0"/>
          <w:snapToGrid w:val="0"/>
          <w:color w:val="auto"/>
          <w:kern w:val="0"/>
          <w:sz w:val="32"/>
          <w:szCs w:val="32"/>
          <w:lang w:val="en-US" w:eastAsia="zh-CN"/>
        </w:rPr>
        <w:t>9036</w:t>
      </w:r>
      <w:r>
        <w:rPr>
          <w:rFonts w:hint="eastAsia" w:ascii="仿宋_GB2312" w:hAnsi="仿宋_GB2312" w:eastAsia="仿宋_GB2312" w:cs="仿宋_GB2312"/>
          <w:b w:val="0"/>
          <w:snapToGrid w:val="0"/>
          <w:color w:val="auto"/>
          <w:kern w:val="0"/>
          <w:sz w:val="32"/>
          <w:szCs w:val="32"/>
        </w:rPr>
        <w:t>万元，</w:t>
      </w:r>
      <w:r>
        <w:rPr>
          <w:rFonts w:hint="eastAsia" w:ascii="仿宋_GB2312" w:hAnsi="仿宋_GB2312" w:eastAsia="仿宋_GB2312" w:cs="仿宋_GB2312"/>
          <w:b w:val="0"/>
          <w:snapToGrid w:val="0"/>
          <w:color w:val="auto"/>
          <w:kern w:val="0"/>
          <w:sz w:val="32"/>
          <w:szCs w:val="32"/>
          <w:lang w:eastAsia="zh-CN"/>
        </w:rPr>
        <w:t>其中“外防输入”资金534万元、“内防反弹”费用7332万元，</w:t>
      </w:r>
      <w:r>
        <w:rPr>
          <w:rFonts w:hint="eastAsia" w:ascii="仿宋_GB2312" w:hAnsi="仿宋_GB2312" w:eastAsia="仿宋_GB2312" w:cs="仿宋_GB2312"/>
          <w:b w:val="0"/>
          <w:snapToGrid w:val="0"/>
          <w:color w:val="auto"/>
          <w:kern w:val="0"/>
          <w:sz w:val="32"/>
          <w:szCs w:val="32"/>
        </w:rPr>
        <w:t>全部为</w:t>
      </w:r>
      <w:r>
        <w:rPr>
          <w:rFonts w:hint="eastAsia" w:ascii="仿宋_GB2312" w:hAnsi="仿宋_GB2312" w:eastAsia="仿宋_GB2312" w:cs="仿宋_GB2312"/>
          <w:b w:val="0"/>
          <w:snapToGrid w:val="0"/>
          <w:color w:val="auto"/>
          <w:kern w:val="0"/>
          <w:sz w:val="32"/>
          <w:szCs w:val="32"/>
          <w:lang w:eastAsia="zh-CN"/>
        </w:rPr>
        <w:t>省级</w:t>
      </w:r>
      <w:r>
        <w:rPr>
          <w:rFonts w:hint="eastAsia" w:ascii="仿宋_GB2312" w:hAnsi="仿宋_GB2312" w:eastAsia="仿宋_GB2312" w:cs="仿宋_GB2312"/>
          <w:b w:val="0"/>
          <w:snapToGrid w:val="0"/>
          <w:color w:val="auto"/>
          <w:kern w:val="0"/>
          <w:sz w:val="32"/>
          <w:szCs w:val="32"/>
        </w:rPr>
        <w:t>财政拨款，全年执行数为</w:t>
      </w:r>
      <w:r>
        <w:rPr>
          <w:rFonts w:hint="eastAsia" w:ascii="仿宋_GB2312" w:hAnsi="仿宋_GB2312" w:eastAsia="仿宋_GB2312" w:cs="仿宋_GB2312"/>
          <w:b w:val="0"/>
          <w:snapToGrid w:val="0"/>
          <w:color w:val="auto"/>
          <w:kern w:val="0"/>
          <w:sz w:val="32"/>
          <w:szCs w:val="32"/>
          <w:lang w:val="en-US" w:eastAsia="zh-CN"/>
        </w:rPr>
        <w:t>7866</w:t>
      </w:r>
      <w:r>
        <w:rPr>
          <w:rFonts w:hint="eastAsia" w:ascii="仿宋_GB2312" w:hAnsi="仿宋_GB2312" w:eastAsia="仿宋_GB2312" w:cs="仿宋_GB2312"/>
          <w:b w:val="0"/>
          <w:snapToGrid w:val="0"/>
          <w:color w:val="auto"/>
          <w:kern w:val="0"/>
          <w:sz w:val="32"/>
          <w:szCs w:val="32"/>
        </w:rPr>
        <w:t>万元。</w:t>
      </w:r>
    </w:p>
    <w:p w14:paraId="46A4F1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lang w:val="en-US" w:eastAsia="zh-CN"/>
        </w:rPr>
        <w:t>2.</w:t>
      </w:r>
      <w:r>
        <w:rPr>
          <w:rFonts w:hint="eastAsia" w:ascii="仿宋_GB2312" w:hAnsi="仿宋_GB2312" w:eastAsia="仿宋_GB2312" w:cs="仿宋_GB2312"/>
          <w:b/>
          <w:bCs/>
          <w:snapToGrid w:val="0"/>
          <w:color w:val="auto"/>
          <w:kern w:val="0"/>
          <w:sz w:val="32"/>
          <w:szCs w:val="32"/>
        </w:rPr>
        <w:t>总体绩效目标完成情况分析</w:t>
      </w:r>
    </w:p>
    <w:p w14:paraId="262D50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rPr>
        <w:t>（1）总体绩效目标</w:t>
      </w:r>
    </w:p>
    <w:p w14:paraId="5BA243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rPr>
        <w:t>及时处置突发公共卫生事件，有效控制疫情大范围爆发，保障新区经济社会高质量发展</w:t>
      </w:r>
      <w:r>
        <w:rPr>
          <w:rFonts w:hint="eastAsia" w:ascii="仿宋_GB2312" w:hAnsi="仿宋_GB2312" w:eastAsia="仿宋_GB2312" w:cs="仿宋_GB2312"/>
          <w:b w:val="0"/>
          <w:snapToGrid w:val="0"/>
          <w:color w:val="auto"/>
          <w:kern w:val="0"/>
          <w:sz w:val="32"/>
          <w:szCs w:val="32"/>
          <w:lang w:eastAsia="zh-CN"/>
        </w:rPr>
        <w:t>和人民群众身体健康、生命安全</w:t>
      </w:r>
      <w:r>
        <w:rPr>
          <w:rFonts w:hint="eastAsia" w:ascii="仿宋_GB2312" w:hAnsi="仿宋_GB2312" w:eastAsia="仿宋_GB2312" w:cs="仿宋_GB2312"/>
          <w:b w:val="0"/>
          <w:snapToGrid w:val="0"/>
          <w:color w:val="auto"/>
          <w:kern w:val="0"/>
          <w:sz w:val="32"/>
          <w:szCs w:val="32"/>
        </w:rPr>
        <w:t>。</w:t>
      </w:r>
    </w:p>
    <w:p w14:paraId="20EFEA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rPr>
        <w:t>（2）完成情况分析</w:t>
      </w:r>
    </w:p>
    <w:p w14:paraId="3AF3422C">
      <w:pPr>
        <w:pStyle w:val="46"/>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snapToGrid w:val="0"/>
          <w:color w:val="auto"/>
          <w:kern w:val="0"/>
          <w:sz w:val="32"/>
          <w:szCs w:val="32"/>
          <w:lang w:eastAsia="zh-CN"/>
        </w:rPr>
      </w:pPr>
      <w:r>
        <w:rPr>
          <w:rFonts w:hint="eastAsia" w:ascii="仿宋_GB2312" w:hAnsi="仿宋_GB2312" w:eastAsia="仿宋_GB2312" w:cs="仿宋_GB2312"/>
          <w:b w:val="0"/>
          <w:snapToGrid w:val="0"/>
          <w:color w:val="auto"/>
          <w:kern w:val="0"/>
          <w:sz w:val="32"/>
          <w:szCs w:val="32"/>
          <w:lang w:eastAsia="zh-CN"/>
        </w:rPr>
        <w:t>拨付“外防输入”资金534万元、“内防反弹”费用7332万元，有效缓解企业资金压力。</w:t>
      </w:r>
    </w:p>
    <w:p w14:paraId="2B9F8A0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rPr>
        <w:t>3.各项指标完成情况分析</w:t>
      </w:r>
    </w:p>
    <w:p w14:paraId="121652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rPr>
        <w:t>（1）资金执行率</w:t>
      </w:r>
    </w:p>
    <w:p w14:paraId="396AD3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rPr>
        <w:t>202</w:t>
      </w:r>
      <w:r>
        <w:rPr>
          <w:rFonts w:hint="eastAsia" w:ascii="仿宋_GB2312" w:hAnsi="仿宋_GB2312" w:eastAsia="仿宋_GB2312" w:cs="仿宋_GB2312"/>
          <w:b w:val="0"/>
          <w:snapToGrid w:val="0"/>
          <w:color w:val="auto"/>
          <w:kern w:val="0"/>
          <w:sz w:val="32"/>
          <w:szCs w:val="32"/>
          <w:lang w:val="en-US" w:eastAsia="zh-CN"/>
        </w:rPr>
        <w:t>3</w:t>
      </w:r>
      <w:r>
        <w:rPr>
          <w:rFonts w:hint="eastAsia" w:ascii="仿宋_GB2312" w:hAnsi="仿宋_GB2312" w:eastAsia="仿宋_GB2312" w:cs="仿宋_GB2312"/>
          <w:b w:val="0"/>
          <w:snapToGrid w:val="0"/>
          <w:color w:val="auto"/>
          <w:kern w:val="0"/>
          <w:sz w:val="32"/>
          <w:szCs w:val="32"/>
        </w:rPr>
        <w:t>年度</w:t>
      </w:r>
      <w:r>
        <w:rPr>
          <w:rFonts w:hint="eastAsia" w:ascii="仿宋_GB2312" w:hAnsi="仿宋_GB2312" w:eastAsia="仿宋_GB2312" w:cs="仿宋_GB2312"/>
          <w:b w:val="0"/>
          <w:snapToGrid w:val="0"/>
          <w:color w:val="auto"/>
          <w:kern w:val="0"/>
          <w:sz w:val="32"/>
          <w:szCs w:val="32"/>
          <w:lang w:eastAsia="zh-CN"/>
        </w:rPr>
        <w:t>上级转移支付疫情防控资金为</w:t>
      </w:r>
      <w:r>
        <w:rPr>
          <w:rFonts w:hint="eastAsia" w:ascii="仿宋_GB2312" w:hAnsi="仿宋_GB2312" w:eastAsia="仿宋_GB2312" w:cs="仿宋_GB2312"/>
          <w:b w:val="0"/>
          <w:snapToGrid w:val="0"/>
          <w:color w:val="auto"/>
          <w:kern w:val="0"/>
          <w:sz w:val="32"/>
          <w:szCs w:val="32"/>
          <w:lang w:val="en-US" w:eastAsia="zh-CN"/>
        </w:rPr>
        <w:t>9036</w:t>
      </w:r>
      <w:r>
        <w:rPr>
          <w:rFonts w:hint="eastAsia" w:ascii="仿宋_GB2312" w:hAnsi="仿宋_GB2312" w:eastAsia="仿宋_GB2312" w:cs="仿宋_GB2312"/>
          <w:b w:val="0"/>
          <w:snapToGrid w:val="0"/>
          <w:color w:val="auto"/>
          <w:kern w:val="0"/>
          <w:sz w:val="32"/>
          <w:szCs w:val="32"/>
        </w:rPr>
        <w:t>万元，执行数为</w:t>
      </w:r>
      <w:r>
        <w:rPr>
          <w:rFonts w:hint="eastAsia" w:ascii="仿宋_GB2312" w:hAnsi="仿宋_GB2312" w:eastAsia="仿宋_GB2312" w:cs="仿宋_GB2312"/>
          <w:b w:val="0"/>
          <w:snapToGrid w:val="0"/>
          <w:color w:val="auto"/>
          <w:kern w:val="0"/>
          <w:sz w:val="32"/>
          <w:szCs w:val="32"/>
          <w:lang w:val="en-US" w:eastAsia="zh-CN"/>
        </w:rPr>
        <w:t>7866</w:t>
      </w:r>
      <w:r>
        <w:rPr>
          <w:rFonts w:hint="eastAsia" w:ascii="仿宋_GB2312" w:hAnsi="仿宋_GB2312" w:eastAsia="仿宋_GB2312" w:cs="仿宋_GB2312"/>
          <w:b w:val="0"/>
          <w:snapToGrid w:val="0"/>
          <w:color w:val="auto"/>
          <w:kern w:val="0"/>
          <w:sz w:val="32"/>
          <w:szCs w:val="32"/>
        </w:rPr>
        <w:t>万元，预算执行率为</w:t>
      </w:r>
      <w:r>
        <w:rPr>
          <w:rFonts w:hint="eastAsia" w:ascii="仿宋_GB2312" w:hAnsi="仿宋_GB2312" w:eastAsia="仿宋_GB2312" w:cs="仿宋_GB2312"/>
          <w:b w:val="0"/>
          <w:snapToGrid w:val="0"/>
          <w:color w:val="auto"/>
          <w:kern w:val="0"/>
          <w:sz w:val="32"/>
          <w:szCs w:val="32"/>
          <w:lang w:val="en-US" w:eastAsia="zh-CN"/>
        </w:rPr>
        <w:t>87.05</w:t>
      </w:r>
      <w:r>
        <w:rPr>
          <w:rFonts w:hint="eastAsia" w:ascii="仿宋_GB2312" w:hAnsi="仿宋_GB2312" w:eastAsia="仿宋_GB2312" w:cs="仿宋_GB2312"/>
          <w:b w:val="0"/>
          <w:snapToGrid w:val="0"/>
          <w:color w:val="auto"/>
          <w:kern w:val="0"/>
          <w:sz w:val="32"/>
          <w:szCs w:val="32"/>
        </w:rPr>
        <w:t>%，按比例，该指标得</w:t>
      </w:r>
      <w:r>
        <w:rPr>
          <w:rFonts w:hint="eastAsia" w:ascii="仿宋_GB2312" w:hAnsi="仿宋_GB2312" w:eastAsia="仿宋_GB2312" w:cs="仿宋_GB2312"/>
          <w:b w:val="0"/>
          <w:snapToGrid w:val="0"/>
          <w:color w:val="auto"/>
          <w:kern w:val="0"/>
          <w:sz w:val="32"/>
          <w:szCs w:val="32"/>
          <w:lang w:val="en-US" w:eastAsia="zh-CN"/>
        </w:rPr>
        <w:t>8.705</w:t>
      </w:r>
      <w:r>
        <w:rPr>
          <w:rFonts w:hint="eastAsia" w:ascii="仿宋_GB2312" w:hAnsi="仿宋_GB2312" w:eastAsia="仿宋_GB2312" w:cs="仿宋_GB2312"/>
          <w:b w:val="0"/>
          <w:snapToGrid w:val="0"/>
          <w:color w:val="auto"/>
          <w:kern w:val="0"/>
          <w:sz w:val="32"/>
          <w:szCs w:val="32"/>
        </w:rPr>
        <w:t>分。</w:t>
      </w:r>
    </w:p>
    <w:p w14:paraId="7CD62D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rPr>
        <w:t>（2）产出指标</w:t>
      </w:r>
    </w:p>
    <w:p w14:paraId="74CB4B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napToGrid w:val="0"/>
          <w:color w:val="auto"/>
          <w:kern w:val="0"/>
          <w:sz w:val="32"/>
          <w:szCs w:val="32"/>
          <w:lang w:eastAsia="zh-CN"/>
        </w:rPr>
      </w:pPr>
      <w:r>
        <w:rPr>
          <w:rFonts w:hint="eastAsia" w:ascii="仿宋_GB2312" w:hAnsi="仿宋_GB2312" w:eastAsia="仿宋_GB2312" w:cs="仿宋_GB2312"/>
          <w:b w:val="0"/>
          <w:snapToGrid w:val="0"/>
          <w:color w:val="auto"/>
          <w:kern w:val="0"/>
          <w:sz w:val="32"/>
          <w:szCs w:val="32"/>
          <w:lang w:val="en-US" w:eastAsia="zh-CN"/>
        </w:rPr>
        <w:t>2023年疫情防控补助资金</w:t>
      </w:r>
      <w:r>
        <w:rPr>
          <w:rFonts w:hint="eastAsia" w:ascii="仿宋_GB2312" w:hAnsi="仿宋_GB2312" w:eastAsia="仿宋_GB2312" w:cs="仿宋_GB2312"/>
          <w:b w:val="0"/>
          <w:snapToGrid w:val="0"/>
          <w:color w:val="auto"/>
          <w:kern w:val="0"/>
          <w:sz w:val="32"/>
          <w:szCs w:val="32"/>
        </w:rPr>
        <w:t>产出指标分值为</w:t>
      </w:r>
      <w:r>
        <w:rPr>
          <w:rFonts w:hint="eastAsia" w:ascii="仿宋_GB2312" w:hAnsi="仿宋_GB2312" w:eastAsia="仿宋_GB2312" w:cs="仿宋_GB2312"/>
          <w:b w:val="0"/>
          <w:snapToGrid w:val="0"/>
          <w:color w:val="auto"/>
          <w:kern w:val="0"/>
          <w:sz w:val="32"/>
          <w:szCs w:val="32"/>
          <w:lang w:val="en-US" w:eastAsia="zh-CN"/>
        </w:rPr>
        <w:t>80</w:t>
      </w:r>
      <w:r>
        <w:rPr>
          <w:rFonts w:hint="eastAsia" w:ascii="仿宋_GB2312" w:hAnsi="仿宋_GB2312" w:eastAsia="仿宋_GB2312" w:cs="仿宋_GB2312"/>
          <w:b w:val="0"/>
          <w:snapToGrid w:val="0"/>
          <w:color w:val="auto"/>
          <w:kern w:val="0"/>
          <w:sz w:val="32"/>
          <w:szCs w:val="32"/>
        </w:rPr>
        <w:t>分，得</w:t>
      </w:r>
      <w:r>
        <w:rPr>
          <w:rFonts w:hint="eastAsia" w:ascii="仿宋_GB2312" w:hAnsi="仿宋_GB2312" w:eastAsia="仿宋_GB2312" w:cs="仿宋_GB2312"/>
          <w:b w:val="0"/>
          <w:snapToGrid w:val="0"/>
          <w:color w:val="auto"/>
          <w:kern w:val="0"/>
          <w:sz w:val="32"/>
          <w:szCs w:val="32"/>
          <w:lang w:val="en-US" w:eastAsia="zh-CN"/>
        </w:rPr>
        <w:t>72</w:t>
      </w:r>
      <w:r>
        <w:rPr>
          <w:rFonts w:hint="eastAsia" w:ascii="仿宋_GB2312" w:hAnsi="仿宋_GB2312" w:eastAsia="仿宋_GB2312" w:cs="仿宋_GB2312"/>
          <w:b w:val="0"/>
          <w:snapToGrid w:val="0"/>
          <w:color w:val="auto"/>
          <w:kern w:val="0"/>
          <w:sz w:val="32"/>
          <w:szCs w:val="32"/>
        </w:rPr>
        <w:t>分</w:t>
      </w:r>
      <w:r>
        <w:rPr>
          <w:rFonts w:hint="eastAsia" w:ascii="仿宋_GB2312" w:hAnsi="仿宋_GB2312" w:eastAsia="仿宋_GB2312" w:cs="仿宋_GB2312"/>
          <w:b w:val="0"/>
          <w:snapToGrid w:val="0"/>
          <w:color w:val="auto"/>
          <w:kern w:val="0"/>
          <w:sz w:val="32"/>
          <w:szCs w:val="32"/>
          <w:lang w:eastAsia="zh-CN"/>
        </w:rPr>
        <w:t>，</w:t>
      </w:r>
      <w:r>
        <w:rPr>
          <w:rFonts w:hint="eastAsia" w:ascii="仿宋_GB2312" w:hAnsi="仿宋_GB2312" w:eastAsia="仿宋_GB2312" w:cs="仿宋_GB2312"/>
          <w:b w:val="0"/>
          <w:snapToGrid w:val="0"/>
          <w:color w:val="auto"/>
          <w:kern w:val="0"/>
          <w:sz w:val="32"/>
          <w:szCs w:val="32"/>
        </w:rPr>
        <w:t>202</w:t>
      </w:r>
      <w:r>
        <w:rPr>
          <w:rFonts w:hint="eastAsia" w:ascii="仿宋_GB2312" w:hAnsi="仿宋_GB2312" w:eastAsia="仿宋_GB2312" w:cs="仿宋_GB2312"/>
          <w:b w:val="0"/>
          <w:snapToGrid w:val="0"/>
          <w:color w:val="auto"/>
          <w:kern w:val="0"/>
          <w:sz w:val="32"/>
          <w:szCs w:val="32"/>
          <w:lang w:val="en-US" w:eastAsia="zh-CN"/>
        </w:rPr>
        <w:t>3</w:t>
      </w:r>
      <w:r>
        <w:rPr>
          <w:rFonts w:hint="eastAsia" w:ascii="仿宋_GB2312" w:hAnsi="仿宋_GB2312" w:eastAsia="仿宋_GB2312" w:cs="仿宋_GB2312"/>
          <w:b w:val="0"/>
          <w:snapToGrid w:val="0"/>
          <w:color w:val="auto"/>
          <w:kern w:val="0"/>
          <w:sz w:val="32"/>
          <w:szCs w:val="32"/>
        </w:rPr>
        <w:t>年度</w:t>
      </w:r>
      <w:r>
        <w:rPr>
          <w:rFonts w:hint="eastAsia" w:ascii="仿宋_GB2312" w:hAnsi="仿宋_GB2312" w:eastAsia="仿宋_GB2312" w:cs="仿宋_GB2312"/>
          <w:b w:val="0"/>
          <w:snapToGrid w:val="0"/>
          <w:color w:val="auto"/>
          <w:kern w:val="0"/>
          <w:sz w:val="32"/>
          <w:szCs w:val="32"/>
          <w:lang w:eastAsia="zh-CN"/>
        </w:rPr>
        <w:t>上级转移支付疫情防控资金为</w:t>
      </w:r>
      <w:r>
        <w:rPr>
          <w:rFonts w:hint="eastAsia" w:ascii="仿宋_GB2312" w:hAnsi="仿宋_GB2312" w:eastAsia="仿宋_GB2312" w:cs="仿宋_GB2312"/>
          <w:b w:val="0"/>
          <w:snapToGrid w:val="0"/>
          <w:color w:val="auto"/>
          <w:kern w:val="0"/>
          <w:sz w:val="32"/>
          <w:szCs w:val="32"/>
          <w:lang w:val="en-US" w:eastAsia="zh-CN"/>
        </w:rPr>
        <w:t>9036</w:t>
      </w:r>
      <w:r>
        <w:rPr>
          <w:rFonts w:hint="eastAsia" w:ascii="仿宋_GB2312" w:hAnsi="仿宋_GB2312" w:eastAsia="仿宋_GB2312" w:cs="仿宋_GB2312"/>
          <w:b w:val="0"/>
          <w:snapToGrid w:val="0"/>
          <w:color w:val="auto"/>
          <w:kern w:val="0"/>
          <w:sz w:val="32"/>
          <w:szCs w:val="32"/>
        </w:rPr>
        <w:t>万元，执行数为</w:t>
      </w:r>
      <w:r>
        <w:rPr>
          <w:rFonts w:hint="eastAsia" w:ascii="仿宋_GB2312" w:hAnsi="仿宋_GB2312" w:eastAsia="仿宋_GB2312" w:cs="仿宋_GB2312"/>
          <w:b w:val="0"/>
          <w:snapToGrid w:val="0"/>
          <w:color w:val="auto"/>
          <w:kern w:val="0"/>
          <w:sz w:val="32"/>
          <w:szCs w:val="32"/>
          <w:lang w:val="en-US" w:eastAsia="zh-CN"/>
        </w:rPr>
        <w:t>7866</w:t>
      </w:r>
      <w:r>
        <w:rPr>
          <w:rFonts w:hint="eastAsia" w:ascii="仿宋_GB2312" w:hAnsi="仿宋_GB2312" w:eastAsia="仿宋_GB2312" w:cs="仿宋_GB2312"/>
          <w:b w:val="0"/>
          <w:snapToGrid w:val="0"/>
          <w:color w:val="auto"/>
          <w:kern w:val="0"/>
          <w:sz w:val="32"/>
          <w:szCs w:val="32"/>
        </w:rPr>
        <w:t>万元，预算执行率为</w:t>
      </w:r>
      <w:r>
        <w:rPr>
          <w:rFonts w:hint="eastAsia" w:ascii="仿宋_GB2312" w:hAnsi="仿宋_GB2312" w:eastAsia="仿宋_GB2312" w:cs="仿宋_GB2312"/>
          <w:b w:val="0"/>
          <w:snapToGrid w:val="0"/>
          <w:color w:val="auto"/>
          <w:kern w:val="0"/>
          <w:sz w:val="32"/>
          <w:szCs w:val="32"/>
          <w:lang w:val="en-US" w:eastAsia="zh-CN"/>
        </w:rPr>
        <w:t>87.05</w:t>
      </w:r>
      <w:r>
        <w:rPr>
          <w:rFonts w:hint="eastAsia" w:ascii="仿宋_GB2312" w:hAnsi="仿宋_GB2312" w:eastAsia="仿宋_GB2312" w:cs="仿宋_GB2312"/>
          <w:b w:val="0"/>
          <w:snapToGrid w:val="0"/>
          <w:color w:val="auto"/>
          <w:kern w:val="0"/>
          <w:sz w:val="32"/>
          <w:szCs w:val="32"/>
        </w:rPr>
        <w:t>%</w:t>
      </w:r>
      <w:r>
        <w:rPr>
          <w:rFonts w:hint="eastAsia" w:ascii="仿宋_GB2312" w:hAnsi="仿宋_GB2312" w:eastAsia="仿宋_GB2312" w:cs="仿宋_GB2312"/>
          <w:b w:val="0"/>
          <w:snapToGrid w:val="0"/>
          <w:color w:val="auto"/>
          <w:kern w:val="0"/>
          <w:sz w:val="32"/>
          <w:szCs w:val="32"/>
          <w:lang w:eastAsia="zh-CN"/>
        </w:rPr>
        <w:t>。</w:t>
      </w:r>
    </w:p>
    <w:p w14:paraId="223C4A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rPr>
        <w:t>（3）效益指标</w:t>
      </w:r>
    </w:p>
    <w:p w14:paraId="6942C1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napToGrid w:val="0"/>
          <w:color w:val="auto"/>
          <w:kern w:val="0"/>
          <w:sz w:val="32"/>
          <w:szCs w:val="32"/>
        </w:rPr>
      </w:pPr>
      <w:r>
        <w:rPr>
          <w:rFonts w:hint="eastAsia" w:ascii="仿宋_GB2312" w:hAnsi="仿宋_GB2312" w:eastAsia="仿宋_GB2312" w:cs="仿宋_GB2312"/>
          <w:b w:val="0"/>
          <w:snapToGrid w:val="0"/>
          <w:color w:val="auto"/>
          <w:kern w:val="0"/>
          <w:sz w:val="32"/>
          <w:szCs w:val="32"/>
          <w:lang w:val="en-US" w:eastAsia="zh-CN"/>
        </w:rPr>
        <w:t>2023年疫情防控补助资金</w:t>
      </w:r>
      <w:r>
        <w:rPr>
          <w:rFonts w:hint="eastAsia" w:ascii="仿宋_GB2312" w:hAnsi="仿宋_GB2312" w:eastAsia="仿宋_GB2312" w:cs="仿宋_GB2312"/>
          <w:b w:val="0"/>
          <w:snapToGrid w:val="0"/>
          <w:color w:val="auto"/>
          <w:kern w:val="0"/>
          <w:sz w:val="32"/>
          <w:szCs w:val="32"/>
        </w:rPr>
        <w:t>效益指标分值为</w:t>
      </w:r>
      <w:r>
        <w:rPr>
          <w:rFonts w:hint="eastAsia" w:ascii="仿宋_GB2312" w:hAnsi="仿宋_GB2312" w:eastAsia="仿宋_GB2312" w:cs="仿宋_GB2312"/>
          <w:b w:val="0"/>
          <w:snapToGrid w:val="0"/>
          <w:color w:val="auto"/>
          <w:kern w:val="0"/>
          <w:sz w:val="32"/>
          <w:szCs w:val="32"/>
          <w:lang w:val="en-US" w:eastAsia="zh-CN"/>
        </w:rPr>
        <w:t>20</w:t>
      </w:r>
      <w:r>
        <w:rPr>
          <w:rFonts w:hint="eastAsia" w:ascii="仿宋_GB2312" w:hAnsi="仿宋_GB2312" w:eastAsia="仿宋_GB2312" w:cs="仿宋_GB2312"/>
          <w:b w:val="0"/>
          <w:snapToGrid w:val="0"/>
          <w:color w:val="auto"/>
          <w:kern w:val="0"/>
          <w:sz w:val="32"/>
          <w:szCs w:val="32"/>
        </w:rPr>
        <w:t>分，得</w:t>
      </w:r>
      <w:r>
        <w:rPr>
          <w:rFonts w:hint="eastAsia" w:ascii="仿宋_GB2312" w:hAnsi="仿宋_GB2312" w:eastAsia="仿宋_GB2312" w:cs="仿宋_GB2312"/>
          <w:b w:val="0"/>
          <w:snapToGrid w:val="0"/>
          <w:color w:val="auto"/>
          <w:kern w:val="0"/>
          <w:sz w:val="32"/>
          <w:szCs w:val="32"/>
          <w:lang w:val="en-US" w:eastAsia="zh-CN"/>
        </w:rPr>
        <w:t>20</w:t>
      </w:r>
      <w:r>
        <w:rPr>
          <w:rFonts w:hint="eastAsia" w:ascii="仿宋_GB2312" w:hAnsi="仿宋_GB2312" w:eastAsia="仿宋_GB2312" w:cs="仿宋_GB2312"/>
          <w:b w:val="0"/>
          <w:snapToGrid w:val="0"/>
          <w:color w:val="auto"/>
          <w:kern w:val="0"/>
          <w:sz w:val="32"/>
          <w:szCs w:val="32"/>
        </w:rPr>
        <w:t>分</w:t>
      </w:r>
      <w:r>
        <w:rPr>
          <w:rFonts w:hint="eastAsia" w:ascii="仿宋_GB2312" w:hAnsi="仿宋_GB2312" w:eastAsia="仿宋_GB2312" w:cs="仿宋_GB2312"/>
          <w:b w:val="0"/>
          <w:snapToGrid w:val="0"/>
          <w:color w:val="auto"/>
          <w:kern w:val="0"/>
          <w:sz w:val="32"/>
          <w:szCs w:val="32"/>
          <w:lang w:eastAsia="zh-CN"/>
        </w:rPr>
        <w:t>，资金及时支付有效缓解了企业资金压力。</w:t>
      </w:r>
    </w:p>
    <w:p w14:paraId="241553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lang w:val="en-US" w:eastAsia="zh-CN"/>
        </w:rPr>
        <w:t>4.</w:t>
      </w:r>
      <w:r>
        <w:rPr>
          <w:rFonts w:hint="eastAsia" w:ascii="仿宋_GB2312" w:hAnsi="仿宋_GB2312" w:eastAsia="仿宋_GB2312" w:cs="仿宋_GB2312"/>
          <w:b/>
          <w:bCs/>
          <w:snapToGrid w:val="0"/>
          <w:color w:val="auto"/>
          <w:kern w:val="0"/>
          <w:sz w:val="32"/>
          <w:szCs w:val="32"/>
        </w:rPr>
        <w:t>偏离绩效目标的原因及下一步改进措施</w:t>
      </w:r>
    </w:p>
    <w:p w14:paraId="1CFE70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snapToGrid w:val="0"/>
          <w:color w:val="auto"/>
          <w:kern w:val="0"/>
          <w:sz w:val="32"/>
          <w:szCs w:val="32"/>
          <w:lang w:val="en-US" w:eastAsia="zh-CN"/>
        </w:rPr>
      </w:pPr>
      <w:r>
        <w:rPr>
          <w:rFonts w:hint="eastAsia" w:ascii="仿宋_GB2312" w:hAnsi="仿宋_GB2312" w:eastAsia="仿宋_GB2312" w:cs="仿宋_GB2312"/>
          <w:b w:val="0"/>
          <w:snapToGrid w:val="0"/>
          <w:color w:val="auto"/>
          <w:kern w:val="0"/>
          <w:sz w:val="32"/>
          <w:szCs w:val="32"/>
        </w:rPr>
        <w:t>经财政局综合统筹剩余资金纳入2024年支付计划。</w:t>
      </w:r>
      <w:r>
        <w:rPr>
          <w:rFonts w:hint="eastAsia" w:ascii="仿宋_GB2312" w:hAnsi="仿宋_GB2312" w:eastAsia="仿宋_GB2312" w:cs="仿宋_GB2312"/>
          <w:b w:val="0"/>
          <w:snapToGrid w:val="0"/>
          <w:color w:val="auto"/>
          <w:kern w:val="0"/>
          <w:sz w:val="32"/>
          <w:szCs w:val="32"/>
          <w:lang w:eastAsia="zh-CN"/>
        </w:rPr>
        <w:t>制定剩余资金</w:t>
      </w:r>
      <w:r>
        <w:rPr>
          <w:rFonts w:hint="eastAsia" w:ascii="仿宋_GB2312" w:hAnsi="仿宋_GB2312" w:eastAsia="仿宋_GB2312" w:cs="仿宋_GB2312"/>
          <w:b w:val="0"/>
          <w:snapToGrid w:val="0"/>
          <w:color w:val="auto"/>
          <w:kern w:val="0"/>
          <w:sz w:val="32"/>
          <w:szCs w:val="32"/>
          <w:lang w:val="en-US" w:eastAsia="zh-CN"/>
        </w:rPr>
        <w:t>1170万元分配计划。</w:t>
      </w:r>
    </w:p>
    <w:p w14:paraId="407145B8">
      <w:pPr>
        <w:pStyle w:val="4"/>
        <w:rPr>
          <w:rFonts w:hint="eastAsia"/>
        </w:rPr>
      </w:pPr>
    </w:p>
    <w:p w14:paraId="65A0063E">
      <w:pPr>
        <w:pStyle w:val="45"/>
        <w:rPr>
          <w:rFonts w:hint="default"/>
          <w:lang w:val="en-US" w:eastAsia="zh-CN"/>
        </w:rPr>
      </w:pPr>
    </w:p>
    <w:p w14:paraId="6F14529B">
      <w:r>
        <w:rPr>
          <w:rFonts w:hint="eastAsia"/>
        </w:rPr>
        <w:br w:type="page"/>
      </w:r>
    </w:p>
    <w:p w14:paraId="1E5F68AC">
      <w:pPr>
        <w:ind w:firstLine="0" w:firstLineChars="0"/>
        <w:outlineLvl w:val="0"/>
      </w:pPr>
      <w:bookmarkStart w:id="23" w:name="_Toc31201"/>
      <w:bookmarkStart w:id="24" w:name="_Toc24484"/>
      <w:r>
        <w:rPr>
          <w:rFonts w:hint="eastAsia"/>
          <w:b/>
          <w:bCs/>
        </w:rPr>
        <w:t>附件1 部门整体支出自评表</w:t>
      </w:r>
      <w:bookmarkEnd w:id="23"/>
      <w:bookmarkEnd w:id="24"/>
    </w:p>
    <w:tbl>
      <w:tblPr>
        <w:tblStyle w:val="15"/>
        <w:tblpPr w:leftFromText="180" w:rightFromText="180" w:vertAnchor="text" w:horzAnchor="page" w:tblpX="1796" w:tblpY="627"/>
        <w:tblOverlap w:val="never"/>
        <w:tblW w:w="5101" w:type="pct"/>
        <w:tblInd w:w="0" w:type="dxa"/>
        <w:tblLayout w:type="fixed"/>
        <w:tblCellMar>
          <w:top w:w="0" w:type="dxa"/>
          <w:left w:w="0" w:type="dxa"/>
          <w:bottom w:w="0" w:type="dxa"/>
          <w:right w:w="0" w:type="dxa"/>
        </w:tblCellMar>
      </w:tblPr>
      <w:tblGrid>
        <w:gridCol w:w="981"/>
        <w:gridCol w:w="860"/>
        <w:gridCol w:w="931"/>
        <w:gridCol w:w="2095"/>
        <w:gridCol w:w="1218"/>
        <w:gridCol w:w="654"/>
        <w:gridCol w:w="383"/>
        <w:gridCol w:w="614"/>
        <w:gridCol w:w="777"/>
      </w:tblGrid>
      <w:tr w14:paraId="43538A09">
        <w:tblPrEx>
          <w:tblCellMar>
            <w:top w:w="0" w:type="dxa"/>
            <w:left w:w="0" w:type="dxa"/>
            <w:bottom w:w="0" w:type="dxa"/>
            <w:right w:w="0" w:type="dxa"/>
          </w:tblCellMar>
        </w:tblPrEx>
        <w:trPr>
          <w:trHeight w:val="1290" w:hRule="atLeast"/>
        </w:trPr>
        <w:tc>
          <w:tcPr>
            <w:tcW w:w="5000" w:type="pct"/>
            <w:gridSpan w:val="9"/>
            <w:tcBorders>
              <w:top w:val="nil"/>
              <w:left w:val="nil"/>
              <w:bottom w:val="single" w:color="000000" w:sz="4" w:space="0"/>
              <w:right w:val="nil"/>
            </w:tcBorders>
            <w:shd w:val="clear" w:color="auto" w:fill="auto"/>
            <w:tcMar>
              <w:top w:w="12" w:type="dxa"/>
              <w:left w:w="12" w:type="dxa"/>
              <w:right w:w="12" w:type="dxa"/>
            </w:tcMar>
            <w:vAlign w:val="center"/>
          </w:tcPr>
          <w:p w14:paraId="12254257">
            <w:pPr>
              <w:widowControl/>
              <w:spacing w:line="240" w:lineRule="auto"/>
              <w:ind w:firstLine="0" w:firstLineChars="0"/>
              <w:jc w:val="center"/>
              <w:textAlignment w:val="center"/>
              <w:rPr>
                <w:rFonts w:ascii="宋体" w:hAnsi="宋体" w:eastAsia="宋体" w:cs="宋体"/>
                <w:b/>
                <w:color w:val="000000"/>
                <w:sz w:val="40"/>
                <w:szCs w:val="40"/>
              </w:rPr>
            </w:pPr>
            <w:r>
              <w:rPr>
                <w:rFonts w:hint="eastAsia" w:ascii="宋体" w:hAnsi="宋体" w:eastAsia="宋体" w:cs="宋体"/>
                <w:b/>
                <w:color w:val="000000"/>
                <w:kern w:val="0"/>
                <w:sz w:val="40"/>
                <w:szCs w:val="40"/>
              </w:rPr>
              <w:t>202</w:t>
            </w:r>
            <w:r>
              <w:rPr>
                <w:rFonts w:hint="eastAsia" w:ascii="宋体" w:hAnsi="宋体" w:eastAsia="宋体" w:cs="宋体"/>
                <w:b/>
                <w:color w:val="000000"/>
                <w:kern w:val="0"/>
                <w:sz w:val="40"/>
                <w:szCs w:val="40"/>
                <w:lang w:val="en-US" w:eastAsia="zh-CN"/>
              </w:rPr>
              <w:t>3</w:t>
            </w:r>
            <w:r>
              <w:rPr>
                <w:rFonts w:hint="eastAsia" w:ascii="宋体" w:hAnsi="宋体" w:eastAsia="宋体" w:cs="宋体"/>
                <w:b/>
                <w:color w:val="000000"/>
                <w:kern w:val="0"/>
                <w:sz w:val="40"/>
                <w:szCs w:val="40"/>
              </w:rPr>
              <w:t>年</w:t>
            </w:r>
            <w:r>
              <w:rPr>
                <w:rStyle w:val="22"/>
                <w:rFonts w:hint="default"/>
              </w:rPr>
              <w:t>兰州新区卫生健康委员会</w:t>
            </w:r>
            <w:r>
              <w:rPr>
                <w:rStyle w:val="23"/>
                <w:rFonts w:hint="default"/>
              </w:rPr>
              <w:t>整体支出</w:t>
            </w:r>
            <w:r>
              <w:rPr>
                <w:rStyle w:val="23"/>
                <w:rFonts w:hint="eastAsia" w:eastAsia="宋体"/>
                <w:lang w:val="en-US" w:eastAsia="zh-CN"/>
              </w:rPr>
              <w:t xml:space="preserve">     </w:t>
            </w:r>
            <w:r>
              <w:rPr>
                <w:rStyle w:val="23"/>
                <w:rFonts w:hint="default"/>
              </w:rPr>
              <w:t>绩效自评表</w:t>
            </w:r>
          </w:p>
        </w:tc>
      </w:tr>
      <w:tr w14:paraId="2CFDC4E6">
        <w:tblPrEx>
          <w:tblCellMar>
            <w:top w:w="0" w:type="dxa"/>
            <w:left w:w="0" w:type="dxa"/>
            <w:bottom w:w="0" w:type="dxa"/>
            <w:right w:w="0" w:type="dxa"/>
          </w:tblCellMar>
        </w:tblPrEx>
        <w:trPr>
          <w:trHeight w:val="600" w:hRule="atLeast"/>
        </w:trPr>
        <w:tc>
          <w:tcPr>
            <w:tcW w:w="576" w:type="pct"/>
            <w:tcBorders>
              <w:top w:val="single" w:color="000000" w:sz="4" w:space="0"/>
              <w:left w:val="single" w:color="000000" w:sz="4" w:space="0"/>
              <w:bottom w:val="nil"/>
              <w:right w:val="nil"/>
            </w:tcBorders>
            <w:shd w:val="clear" w:color="auto" w:fill="auto"/>
            <w:tcMar>
              <w:top w:w="12" w:type="dxa"/>
              <w:left w:w="12" w:type="dxa"/>
              <w:right w:w="12" w:type="dxa"/>
            </w:tcMar>
            <w:vAlign w:val="center"/>
          </w:tcPr>
          <w:p w14:paraId="76A9BC82">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单位名称</w:t>
            </w:r>
          </w:p>
        </w:tc>
        <w:tc>
          <w:tcPr>
            <w:tcW w:w="4423" w:type="pct"/>
            <w:gridSpan w:val="8"/>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917268">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兰州新区卫生健康委员会</w:t>
            </w:r>
          </w:p>
        </w:tc>
      </w:tr>
      <w:tr w14:paraId="764EF003">
        <w:tblPrEx>
          <w:tblCellMar>
            <w:top w:w="0" w:type="dxa"/>
            <w:left w:w="0" w:type="dxa"/>
            <w:bottom w:w="0" w:type="dxa"/>
            <w:right w:w="0" w:type="dxa"/>
          </w:tblCellMar>
        </w:tblPrEx>
        <w:trPr>
          <w:trHeight w:val="525" w:hRule="atLeast"/>
        </w:trPr>
        <w:tc>
          <w:tcPr>
            <w:tcW w:w="57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09E44D">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单位整体支出</w:t>
            </w:r>
            <w:r>
              <w:rPr>
                <w:rFonts w:hint="eastAsia" w:ascii="宋体" w:hAnsi="宋体" w:eastAsia="宋体" w:cs="宋体"/>
                <w:b/>
                <w:color w:val="000000"/>
                <w:kern w:val="0"/>
                <w:sz w:val="21"/>
                <w:szCs w:val="21"/>
              </w:rPr>
              <w:br w:type="textWrapping"/>
            </w:r>
            <w:r>
              <w:rPr>
                <w:rFonts w:hint="eastAsia" w:ascii="宋体" w:hAnsi="宋体" w:eastAsia="宋体" w:cs="宋体"/>
                <w:b/>
                <w:color w:val="000000"/>
                <w:kern w:val="0"/>
                <w:sz w:val="21"/>
                <w:szCs w:val="21"/>
              </w:rPr>
              <w:t>（万元）</w:t>
            </w:r>
          </w:p>
        </w:tc>
        <w:tc>
          <w:tcPr>
            <w:tcW w:w="50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80304A">
            <w:pPr>
              <w:widowControl/>
              <w:spacing w:line="240" w:lineRule="auto"/>
              <w:ind w:firstLine="0" w:firstLineChars="0"/>
              <w:jc w:val="center"/>
              <w:rPr>
                <w:rFonts w:ascii="宋体" w:hAnsi="宋体" w:eastAsia="宋体" w:cs="宋体"/>
                <w:b/>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A1D899">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年初预算数</w:t>
            </w:r>
          </w:p>
        </w:tc>
        <w:tc>
          <w:tcPr>
            <w:tcW w:w="1230" w:type="pct"/>
            <w:tcBorders>
              <w:top w:val="nil"/>
              <w:left w:val="nil"/>
              <w:bottom w:val="single" w:color="000000" w:sz="4" w:space="0"/>
              <w:right w:val="nil"/>
            </w:tcBorders>
            <w:shd w:val="clear" w:color="auto" w:fill="auto"/>
            <w:tcMar>
              <w:top w:w="12" w:type="dxa"/>
              <w:left w:w="12" w:type="dxa"/>
              <w:right w:w="12" w:type="dxa"/>
            </w:tcMar>
            <w:vAlign w:val="center"/>
          </w:tcPr>
          <w:p w14:paraId="3B18CC00">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全年预算数（A）</w:t>
            </w:r>
          </w:p>
        </w:tc>
        <w:tc>
          <w:tcPr>
            <w:tcW w:w="715" w:type="pct"/>
            <w:tcBorders>
              <w:top w:val="nil"/>
              <w:left w:val="single" w:color="000000" w:sz="4" w:space="0"/>
              <w:bottom w:val="single" w:color="000000" w:sz="4" w:space="0"/>
              <w:right w:val="nil"/>
            </w:tcBorders>
            <w:shd w:val="clear" w:color="auto" w:fill="auto"/>
            <w:tcMar>
              <w:top w:w="12" w:type="dxa"/>
              <w:left w:w="12" w:type="dxa"/>
              <w:right w:w="12" w:type="dxa"/>
            </w:tcMar>
            <w:vAlign w:val="center"/>
          </w:tcPr>
          <w:p w14:paraId="3B725EFE">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实际支出数（B）</w:t>
            </w:r>
          </w:p>
        </w:tc>
        <w:tc>
          <w:tcPr>
            <w:tcW w:w="609" w:type="pct"/>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F93FAD">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执行率（B/A）</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5B6B2EE">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分值</w:t>
            </w:r>
          </w:p>
        </w:tc>
        <w:tc>
          <w:tcPr>
            <w:tcW w:w="456" w:type="pct"/>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2B391352">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得分</w:t>
            </w:r>
          </w:p>
        </w:tc>
      </w:tr>
      <w:tr w14:paraId="0611A098">
        <w:tblPrEx>
          <w:tblCellMar>
            <w:top w:w="0" w:type="dxa"/>
            <w:left w:w="0" w:type="dxa"/>
            <w:bottom w:w="0" w:type="dxa"/>
            <w:right w:w="0" w:type="dxa"/>
          </w:tblCellMar>
        </w:tblPrEx>
        <w:trPr>
          <w:trHeight w:val="9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852EB0">
            <w:pPr>
              <w:widowControl/>
              <w:spacing w:line="240" w:lineRule="auto"/>
              <w:ind w:firstLine="0" w:firstLineChars="0"/>
              <w:jc w:val="center"/>
              <w:rPr>
                <w:rFonts w:ascii="宋体" w:hAnsi="宋体" w:eastAsia="宋体" w:cs="宋体"/>
                <w:b/>
                <w:color w:val="000000"/>
                <w:sz w:val="21"/>
                <w:szCs w:val="21"/>
              </w:rPr>
            </w:pPr>
          </w:p>
        </w:tc>
        <w:tc>
          <w:tcPr>
            <w:tcW w:w="50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AA8CC1">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全年支出</w:t>
            </w:r>
          </w:p>
        </w:tc>
        <w:tc>
          <w:tcPr>
            <w:tcW w:w="546"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31BA3207">
            <w:pPr>
              <w:widowControl/>
              <w:spacing w:line="240" w:lineRule="auto"/>
              <w:ind w:firstLine="0" w:firstLineChars="0"/>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5500.27</w:t>
            </w:r>
          </w:p>
        </w:tc>
        <w:tc>
          <w:tcPr>
            <w:tcW w:w="1230"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7D8BE7A6">
            <w:pPr>
              <w:widowControl/>
              <w:spacing w:line="240" w:lineRule="auto"/>
              <w:ind w:firstLine="0" w:firstLineChars="0"/>
              <w:jc w:val="right"/>
              <w:textAlignment w:val="center"/>
              <w:rPr>
                <w:rFonts w:hint="default"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rPr>
              <w:t>12384.73</w:t>
            </w:r>
          </w:p>
        </w:tc>
        <w:tc>
          <w:tcPr>
            <w:tcW w:w="715"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3E7B8D9A">
            <w:pPr>
              <w:widowControl/>
              <w:spacing w:line="240" w:lineRule="auto"/>
              <w:ind w:firstLine="0" w:firstLineChars="0"/>
              <w:jc w:val="right"/>
              <w:textAlignment w:val="center"/>
              <w:rPr>
                <w:rFonts w:hint="default"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rPr>
              <w:t>11472.75</w:t>
            </w:r>
          </w:p>
        </w:tc>
        <w:tc>
          <w:tcPr>
            <w:tcW w:w="609" w:type="pct"/>
            <w:gridSpan w:val="2"/>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6B12D7E8">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val="en-US" w:eastAsia="zh-CN"/>
              </w:rPr>
              <w:t>100</w:t>
            </w:r>
            <w:r>
              <w:rPr>
                <w:rFonts w:hint="eastAsia" w:ascii="宋体" w:hAnsi="宋体" w:eastAsia="宋体" w:cs="宋体"/>
                <w:color w:val="000000"/>
                <w:kern w:val="0"/>
                <w:sz w:val="21"/>
                <w:szCs w:val="21"/>
              </w:rPr>
              <w:t>%</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995598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w:t>
            </w:r>
          </w:p>
        </w:tc>
        <w:tc>
          <w:tcPr>
            <w:tcW w:w="456" w:type="pct"/>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1387DF26">
            <w:pPr>
              <w:widowControl/>
              <w:spacing w:line="240" w:lineRule="auto"/>
              <w:ind w:firstLine="0" w:firstLineChars="0"/>
              <w:jc w:val="center"/>
              <w:textAlignment w:val="center"/>
              <w:rPr>
                <w:rFonts w:hint="default" w:ascii="宋体" w:hAnsi="宋体" w:eastAsia="宋体" w:cs="宋体"/>
                <w:b/>
                <w:color w:val="000000"/>
                <w:sz w:val="21"/>
                <w:szCs w:val="21"/>
                <w:lang w:val="en-US" w:eastAsia="zh-CN"/>
              </w:rPr>
            </w:pPr>
            <w:r>
              <w:rPr>
                <w:rFonts w:hint="eastAsia" w:ascii="宋体" w:hAnsi="宋体" w:eastAsia="宋体" w:cs="宋体"/>
                <w:b/>
                <w:color w:val="000000"/>
                <w:kern w:val="0"/>
                <w:sz w:val="21"/>
                <w:szCs w:val="21"/>
                <w:lang w:val="en-US" w:eastAsia="zh-CN"/>
              </w:rPr>
              <w:t>9.22</w:t>
            </w:r>
          </w:p>
        </w:tc>
      </w:tr>
      <w:tr w14:paraId="6015D8CB">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5254B4">
            <w:pPr>
              <w:widowControl/>
              <w:spacing w:line="240" w:lineRule="auto"/>
              <w:ind w:firstLine="0" w:firstLineChars="0"/>
              <w:jc w:val="center"/>
              <w:rPr>
                <w:rFonts w:ascii="宋体" w:hAnsi="宋体" w:eastAsia="宋体" w:cs="宋体"/>
                <w:b/>
                <w:color w:val="000000"/>
                <w:sz w:val="21"/>
                <w:szCs w:val="21"/>
              </w:rPr>
            </w:pPr>
          </w:p>
        </w:tc>
        <w:tc>
          <w:tcPr>
            <w:tcW w:w="50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DD4D01">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其中：基本支出</w:t>
            </w:r>
          </w:p>
        </w:tc>
        <w:tc>
          <w:tcPr>
            <w:tcW w:w="546"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772C4D76">
            <w:pPr>
              <w:widowControl/>
              <w:spacing w:line="240" w:lineRule="auto"/>
              <w:ind w:firstLine="0" w:firstLineChars="0"/>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704.21</w:t>
            </w:r>
          </w:p>
        </w:tc>
        <w:tc>
          <w:tcPr>
            <w:tcW w:w="1230"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2BF74EA3">
            <w:pPr>
              <w:widowControl/>
              <w:spacing w:line="240" w:lineRule="auto"/>
              <w:ind w:firstLine="0" w:firstLineChars="0"/>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704.21</w:t>
            </w:r>
          </w:p>
        </w:tc>
        <w:tc>
          <w:tcPr>
            <w:tcW w:w="715"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51A5DB94">
            <w:pPr>
              <w:widowControl/>
              <w:spacing w:line="240" w:lineRule="auto"/>
              <w:ind w:firstLine="0" w:firstLineChars="0"/>
              <w:jc w:val="right"/>
              <w:textAlignment w:val="center"/>
              <w:rPr>
                <w:rFonts w:hint="default"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rPr>
              <w:t>704.21</w:t>
            </w:r>
          </w:p>
        </w:tc>
        <w:tc>
          <w:tcPr>
            <w:tcW w:w="609" w:type="pct"/>
            <w:gridSpan w:val="2"/>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5091E60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9493EC6">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9DF8EE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r>
      <w:tr w14:paraId="1F313CE3">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C4EC4A">
            <w:pPr>
              <w:widowControl/>
              <w:spacing w:line="240" w:lineRule="auto"/>
              <w:ind w:firstLine="0" w:firstLineChars="0"/>
              <w:jc w:val="center"/>
              <w:rPr>
                <w:rFonts w:ascii="宋体" w:hAnsi="宋体" w:eastAsia="宋体" w:cs="宋体"/>
                <w:b/>
                <w:color w:val="000000"/>
                <w:sz w:val="21"/>
                <w:szCs w:val="21"/>
              </w:rPr>
            </w:pPr>
          </w:p>
        </w:tc>
        <w:tc>
          <w:tcPr>
            <w:tcW w:w="50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A3A345">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项目支出</w:t>
            </w:r>
          </w:p>
        </w:tc>
        <w:tc>
          <w:tcPr>
            <w:tcW w:w="546"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79DF6A51">
            <w:pPr>
              <w:widowControl/>
              <w:spacing w:line="240" w:lineRule="auto"/>
              <w:ind w:firstLine="0" w:firstLineChars="0"/>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4796.05</w:t>
            </w:r>
          </w:p>
        </w:tc>
        <w:tc>
          <w:tcPr>
            <w:tcW w:w="1230"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11A18F02">
            <w:pPr>
              <w:widowControl/>
              <w:spacing w:line="240" w:lineRule="auto"/>
              <w:ind w:firstLine="0" w:firstLineChars="0"/>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11680.52</w:t>
            </w:r>
          </w:p>
        </w:tc>
        <w:tc>
          <w:tcPr>
            <w:tcW w:w="715" w:type="pc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52CD3C4E">
            <w:pPr>
              <w:widowControl/>
              <w:spacing w:line="240" w:lineRule="auto"/>
              <w:ind w:firstLine="0" w:firstLineChars="0"/>
              <w:jc w:val="right"/>
              <w:textAlignment w:val="center"/>
              <w:rPr>
                <w:rFonts w:hint="default"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rPr>
              <w:t>10768.54</w:t>
            </w:r>
          </w:p>
        </w:tc>
        <w:tc>
          <w:tcPr>
            <w:tcW w:w="609" w:type="pct"/>
            <w:gridSpan w:val="2"/>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47BB73D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val="en-US" w:eastAsia="zh-CN"/>
              </w:rPr>
              <w:t>92.19</w:t>
            </w:r>
            <w:r>
              <w:rPr>
                <w:rFonts w:hint="eastAsia" w:ascii="宋体" w:hAnsi="宋体" w:eastAsia="宋体" w:cs="宋体"/>
                <w:color w:val="000000"/>
                <w:kern w:val="0"/>
                <w:sz w:val="21"/>
                <w:szCs w:val="21"/>
              </w:rPr>
              <w:t>%</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44E177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9CC40C6">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r>
      <w:tr w14:paraId="4EA965F4">
        <w:tblPrEx>
          <w:tblCellMar>
            <w:top w:w="0" w:type="dxa"/>
            <w:left w:w="0" w:type="dxa"/>
            <w:bottom w:w="0" w:type="dxa"/>
            <w:right w:w="0" w:type="dxa"/>
          </w:tblCellMar>
        </w:tblPrEx>
        <w:trPr>
          <w:trHeight w:val="406" w:hRule="atLeast"/>
        </w:trPr>
        <w:tc>
          <w:tcPr>
            <w:tcW w:w="57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9694F7">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年度总体绩效目标完成情况</w:t>
            </w:r>
          </w:p>
        </w:tc>
        <w:tc>
          <w:tcPr>
            <w:tcW w:w="2282" w:type="pct"/>
            <w:gridSpan w:val="3"/>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14:paraId="035069BC">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预期目标</w:t>
            </w:r>
          </w:p>
        </w:tc>
        <w:tc>
          <w:tcPr>
            <w:tcW w:w="2141" w:type="pct"/>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70BEF1">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目标实际完成情况</w:t>
            </w:r>
          </w:p>
        </w:tc>
      </w:tr>
      <w:tr w14:paraId="224B4B95">
        <w:tblPrEx>
          <w:tblCellMar>
            <w:top w:w="0" w:type="dxa"/>
            <w:left w:w="0" w:type="dxa"/>
            <w:bottom w:w="0" w:type="dxa"/>
            <w:right w:w="0" w:type="dxa"/>
          </w:tblCellMar>
        </w:tblPrEx>
        <w:trPr>
          <w:trHeight w:val="144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D9AABB">
            <w:pPr>
              <w:widowControl/>
              <w:spacing w:line="240" w:lineRule="auto"/>
              <w:ind w:firstLine="0" w:firstLineChars="0"/>
              <w:jc w:val="center"/>
              <w:rPr>
                <w:rFonts w:ascii="宋体" w:hAnsi="宋体" w:eastAsia="宋体" w:cs="宋体"/>
                <w:b/>
                <w:color w:val="000000"/>
                <w:sz w:val="21"/>
                <w:szCs w:val="21"/>
              </w:rPr>
            </w:pPr>
          </w:p>
        </w:tc>
        <w:tc>
          <w:tcPr>
            <w:tcW w:w="2282" w:type="pct"/>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4128C6">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目标1：处置传染病等突发公共卫生事件，提升非传染性疾病、学校卫生、职业卫生、环境卫生监测的能力水平。</w:t>
            </w:r>
          </w:p>
        </w:tc>
        <w:tc>
          <w:tcPr>
            <w:tcW w:w="2141" w:type="pct"/>
            <w:gridSpan w:val="5"/>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109644C3">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1完成情况：组织第三方检测机构对全区公共场所、学校、二次供水、医疗机构消毒产品等卫生现状及主要健康危害因素开展检验检测，抽样检测涉及住宿类、美容美发类、游泳场所类公共该场所共44家，学校类14家、供水单位8家、医疗机构15家，并分别下发了《兰州新区公共场所等卫生监测结果通报》和《兰州新区学校环境卫生监测结果通报》。组织开展公共场所卫生专项监督检查。</w:t>
            </w:r>
          </w:p>
        </w:tc>
      </w:tr>
      <w:tr w14:paraId="4E237598">
        <w:tblPrEx>
          <w:tblCellMar>
            <w:top w:w="0" w:type="dxa"/>
            <w:left w:w="0" w:type="dxa"/>
            <w:bottom w:w="0" w:type="dxa"/>
            <w:right w:w="0" w:type="dxa"/>
          </w:tblCellMar>
        </w:tblPrEx>
        <w:trPr>
          <w:trHeight w:val="122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C750F2">
            <w:pPr>
              <w:widowControl/>
              <w:spacing w:line="240" w:lineRule="auto"/>
              <w:ind w:firstLine="0" w:firstLineChars="0"/>
              <w:jc w:val="center"/>
              <w:rPr>
                <w:rFonts w:ascii="宋体" w:hAnsi="宋体" w:eastAsia="宋体" w:cs="宋体"/>
                <w:b/>
                <w:color w:val="000000"/>
                <w:sz w:val="21"/>
                <w:szCs w:val="21"/>
              </w:rPr>
            </w:pPr>
          </w:p>
        </w:tc>
        <w:tc>
          <w:tcPr>
            <w:tcW w:w="2282" w:type="pct"/>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CF6D35">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2：通过开展家庭签约服务，能最大限度合理截留基层普通病人基层首诊，发现需要上转治疗的，由家庭医生负责联接上级专家及医疗机构给病人提供快捷、高效的专业服务，在解决基层“看病难看病贵”的同时，也极大提高大医院优质医疗资源效益，推进我国医学科学进步发展。</w:t>
            </w:r>
          </w:p>
        </w:tc>
        <w:tc>
          <w:tcPr>
            <w:tcW w:w="2141" w:type="pct"/>
            <w:gridSpan w:val="5"/>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3E8CC002">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目标2完成情况：截至目前，建档立卡贫困户家庭医生签约14902人，签约率99.6%，服务协议和帮扶措施已全部通过“健康甘肃”手机APP上传到甘肃省建档立卡因病致贫返贫信息管理系统。</w:t>
            </w:r>
          </w:p>
        </w:tc>
      </w:tr>
      <w:tr w14:paraId="3418F1B4">
        <w:tblPrEx>
          <w:tblCellMar>
            <w:top w:w="0" w:type="dxa"/>
            <w:left w:w="0" w:type="dxa"/>
            <w:bottom w:w="0" w:type="dxa"/>
            <w:right w:w="0" w:type="dxa"/>
          </w:tblCellMar>
        </w:tblPrEx>
        <w:trPr>
          <w:trHeight w:val="90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34FE08">
            <w:pPr>
              <w:widowControl/>
              <w:spacing w:line="240" w:lineRule="auto"/>
              <w:ind w:firstLine="0" w:firstLineChars="0"/>
              <w:jc w:val="center"/>
              <w:rPr>
                <w:rFonts w:ascii="宋体" w:hAnsi="宋体" w:eastAsia="宋体" w:cs="宋体"/>
                <w:b/>
                <w:color w:val="000000"/>
                <w:sz w:val="21"/>
                <w:szCs w:val="21"/>
              </w:rPr>
            </w:pPr>
          </w:p>
        </w:tc>
        <w:tc>
          <w:tcPr>
            <w:tcW w:w="2282" w:type="pct"/>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674E6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目标3：降低新区孕产妇、婴儿及儿童死亡率，加强母婴安全保健工作，提升新区基层工作人员的业务水平。通过学习考试保证医疗安全，促进医疗质量整体提升，进一步提升专业技术人员的基础理论知识水平。</w:t>
            </w:r>
          </w:p>
        </w:tc>
        <w:tc>
          <w:tcPr>
            <w:tcW w:w="2141" w:type="pct"/>
            <w:gridSpan w:val="5"/>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7CB38824">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3完成情况：邀请省妇幼保健院专家开展了孕产妇、儿童健康管理专项培训，对辖区高危孕产妇病例开展专业评审，对新区母婴保健工作人员能力提升起到了积极作用。组织基层医疗机构全员参与基层能力提升远程培训项目。</w:t>
            </w:r>
          </w:p>
        </w:tc>
      </w:tr>
      <w:tr w14:paraId="0CF2F8ED">
        <w:tblPrEx>
          <w:tblCellMar>
            <w:top w:w="0" w:type="dxa"/>
            <w:left w:w="0" w:type="dxa"/>
            <w:bottom w:w="0" w:type="dxa"/>
            <w:right w:w="0" w:type="dxa"/>
          </w:tblCellMar>
        </w:tblPrEx>
        <w:trPr>
          <w:trHeight w:val="66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830E70">
            <w:pPr>
              <w:widowControl/>
              <w:spacing w:line="240" w:lineRule="auto"/>
              <w:ind w:firstLine="0" w:firstLineChars="0"/>
              <w:jc w:val="center"/>
              <w:rPr>
                <w:rFonts w:ascii="宋体" w:hAnsi="宋体" w:eastAsia="宋体" w:cs="宋体"/>
                <w:b/>
                <w:color w:val="000000"/>
                <w:sz w:val="21"/>
                <w:szCs w:val="21"/>
              </w:rPr>
            </w:pPr>
          </w:p>
        </w:tc>
        <w:tc>
          <w:tcPr>
            <w:tcW w:w="2282" w:type="pct"/>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25020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目标4：落实供水单位主体责任，提高饮用水卫生监督监测水平，有效保障城乡饮用水卫生安全，切实维护人民群众健康权益</w:t>
            </w:r>
          </w:p>
        </w:tc>
        <w:tc>
          <w:tcPr>
            <w:tcW w:w="2141" w:type="pct"/>
            <w:gridSpan w:val="5"/>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4C16A7C4">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目标4完成情况：组织第三方检测机构对全区8家供水单位开展公共场所卫生专项监督检查。</w:t>
            </w:r>
          </w:p>
        </w:tc>
      </w:tr>
      <w:tr w14:paraId="22607DAB">
        <w:tblPrEx>
          <w:tblCellMar>
            <w:top w:w="0" w:type="dxa"/>
            <w:left w:w="0" w:type="dxa"/>
            <w:bottom w:w="0" w:type="dxa"/>
            <w:right w:w="0" w:type="dxa"/>
          </w:tblCellMar>
        </w:tblPrEx>
        <w:trPr>
          <w:trHeight w:val="66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CAC541">
            <w:pPr>
              <w:widowControl/>
              <w:spacing w:line="240" w:lineRule="auto"/>
              <w:ind w:firstLine="0" w:firstLineChars="0"/>
              <w:jc w:val="center"/>
              <w:rPr>
                <w:rFonts w:ascii="宋体" w:hAnsi="宋体" w:eastAsia="宋体" w:cs="宋体"/>
                <w:b/>
                <w:color w:val="000000"/>
                <w:sz w:val="21"/>
                <w:szCs w:val="21"/>
              </w:rPr>
            </w:pPr>
          </w:p>
        </w:tc>
        <w:tc>
          <w:tcPr>
            <w:tcW w:w="2282" w:type="pct"/>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D458E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目标5：快速推进兰州新区疾控中心建设项目、兰州新区医疗应急物资储备库项目建设进度</w:t>
            </w:r>
          </w:p>
        </w:tc>
        <w:tc>
          <w:tcPr>
            <w:tcW w:w="2141" w:type="pct"/>
            <w:gridSpan w:val="5"/>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1C11062F">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目标5完成情况：兰州新区疾病预防控制中心和新区应急医疗物资储备库已完成试验桩建设，项目计划2021年年底完工。</w:t>
            </w:r>
          </w:p>
        </w:tc>
      </w:tr>
      <w:tr w14:paraId="09B02B07">
        <w:tblPrEx>
          <w:tblCellMar>
            <w:top w:w="0" w:type="dxa"/>
            <w:left w:w="0" w:type="dxa"/>
            <w:bottom w:w="0" w:type="dxa"/>
            <w:right w:w="0" w:type="dxa"/>
          </w:tblCellMar>
        </w:tblPrEx>
        <w:trPr>
          <w:trHeight w:val="66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05ABC3">
            <w:pPr>
              <w:widowControl/>
              <w:spacing w:line="240" w:lineRule="auto"/>
              <w:ind w:firstLine="0" w:firstLineChars="0"/>
              <w:jc w:val="center"/>
              <w:rPr>
                <w:rFonts w:ascii="宋体" w:hAnsi="宋体" w:eastAsia="宋体" w:cs="宋体"/>
                <w:b/>
                <w:color w:val="000000"/>
                <w:sz w:val="21"/>
                <w:szCs w:val="21"/>
              </w:rPr>
            </w:pPr>
          </w:p>
        </w:tc>
        <w:tc>
          <w:tcPr>
            <w:tcW w:w="2282" w:type="pct"/>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82ACED">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目标6：为在岗村医参加城镇职工养老保险支付单位缴纳部分，为离岗村医按服务年限支付养老补助。</w:t>
            </w:r>
          </w:p>
        </w:tc>
        <w:tc>
          <w:tcPr>
            <w:tcW w:w="2141" w:type="pct"/>
            <w:gridSpan w:val="5"/>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329C59A4">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目标6完成情况：完成缴纳村医养老保险补助及离岗村医养老补助、定额补助。定村医队伍，为离岗村医解决后顾之忧，提高基层医疗机构服务能力</w:t>
            </w:r>
          </w:p>
        </w:tc>
      </w:tr>
      <w:tr w14:paraId="6CF2978B">
        <w:tblPrEx>
          <w:tblCellMar>
            <w:top w:w="0" w:type="dxa"/>
            <w:left w:w="0" w:type="dxa"/>
            <w:bottom w:w="0" w:type="dxa"/>
            <w:right w:w="0" w:type="dxa"/>
          </w:tblCellMar>
        </w:tblPrEx>
        <w:trPr>
          <w:trHeight w:val="465" w:hRule="atLeast"/>
        </w:trPr>
        <w:tc>
          <w:tcPr>
            <w:tcW w:w="57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450202">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年度绩效指标完成情况</w:t>
            </w:r>
          </w:p>
        </w:tc>
        <w:tc>
          <w:tcPr>
            <w:tcW w:w="50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6BDD27">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一级指标</w:t>
            </w: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19DA72">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二级指标</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BF9CA2">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三级指标</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60DE6D">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年度指标值</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D0E948">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实际完成值</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C61E03">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分值</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BB6CBC">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得分</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AB1FE8">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偏差原因分析及改进措施</w:t>
            </w:r>
          </w:p>
        </w:tc>
      </w:tr>
      <w:tr w14:paraId="056448EB">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08DB4E">
            <w:pPr>
              <w:widowControl/>
              <w:spacing w:line="240" w:lineRule="auto"/>
              <w:ind w:firstLine="0" w:firstLineChars="0"/>
              <w:jc w:val="center"/>
              <w:rPr>
                <w:rFonts w:ascii="宋体" w:hAnsi="宋体" w:eastAsia="宋体" w:cs="宋体"/>
                <w:b/>
                <w:color w:val="000000"/>
                <w:sz w:val="21"/>
                <w:szCs w:val="21"/>
              </w:rPr>
            </w:pPr>
          </w:p>
        </w:tc>
        <w:tc>
          <w:tcPr>
            <w:tcW w:w="505"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465DB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部门管理</w:t>
            </w: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2D383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资金投入</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21F016">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基本支出预算执行率</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8E9D88">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7F8CD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CFF92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78CFF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4506C5">
            <w:pPr>
              <w:widowControl/>
              <w:spacing w:line="240" w:lineRule="auto"/>
              <w:ind w:firstLine="0" w:firstLineChars="0"/>
              <w:rPr>
                <w:rFonts w:ascii="宋体" w:hAnsi="宋体" w:eastAsia="宋体" w:cs="宋体"/>
                <w:color w:val="000000"/>
                <w:sz w:val="21"/>
                <w:szCs w:val="21"/>
              </w:rPr>
            </w:pPr>
          </w:p>
        </w:tc>
      </w:tr>
      <w:tr w14:paraId="50CD6D1D">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9A356E">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E54AE0">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1FA1DE">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C93A61">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项目支出预算执行率</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96FEC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5AED3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w:t>
            </w: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9</w:t>
            </w:r>
            <w:r>
              <w:rPr>
                <w:rFonts w:hint="eastAsia" w:ascii="宋体" w:hAnsi="宋体" w:eastAsia="宋体" w:cs="宋体"/>
                <w:color w:val="000000"/>
                <w:kern w:val="0"/>
                <w:sz w:val="21"/>
                <w:szCs w:val="21"/>
              </w:rPr>
              <w:t>%</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1F9CE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83D4D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84</w:t>
            </w:r>
            <w:r>
              <w:rPr>
                <w:rFonts w:hint="eastAsia" w:ascii="宋体" w:hAnsi="宋体" w:eastAsia="宋体" w:cs="宋体"/>
                <w:color w:val="000000"/>
                <w:kern w:val="0"/>
                <w:sz w:val="21"/>
                <w:szCs w:val="21"/>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455F48">
            <w:pPr>
              <w:widowControl/>
              <w:spacing w:line="240" w:lineRule="auto"/>
              <w:ind w:firstLine="0" w:firstLineChars="0"/>
              <w:rPr>
                <w:rFonts w:ascii="宋体" w:hAnsi="宋体" w:eastAsia="宋体" w:cs="宋体"/>
                <w:color w:val="000000"/>
                <w:sz w:val="21"/>
                <w:szCs w:val="21"/>
              </w:rPr>
            </w:pPr>
          </w:p>
        </w:tc>
      </w:tr>
      <w:tr w14:paraId="2DAE1B8B">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C12FAF">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364CBA">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BDBC59">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E633E6">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“三公经费”控制率</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6C15B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C51E7D">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val="en-US" w:eastAsia="zh-CN"/>
              </w:rPr>
              <w:t>53.96</w:t>
            </w:r>
            <w:r>
              <w:rPr>
                <w:rFonts w:hint="eastAsia" w:ascii="宋体" w:hAnsi="宋体" w:eastAsia="宋体" w:cs="宋体"/>
                <w:color w:val="000000"/>
                <w:kern w:val="0"/>
                <w:sz w:val="21"/>
                <w:szCs w:val="21"/>
              </w:rPr>
              <w:t>%</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E3E4B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6BAA5A">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886F6D">
            <w:pPr>
              <w:widowControl/>
              <w:spacing w:line="240" w:lineRule="auto"/>
              <w:ind w:firstLine="0" w:firstLineChars="0"/>
              <w:rPr>
                <w:rFonts w:ascii="宋体" w:hAnsi="宋体" w:eastAsia="宋体" w:cs="宋体"/>
                <w:color w:val="000000"/>
                <w:sz w:val="21"/>
                <w:szCs w:val="21"/>
              </w:rPr>
            </w:pPr>
          </w:p>
        </w:tc>
      </w:tr>
      <w:tr w14:paraId="501D56F9">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16EEE6">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AB86A8">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39F3C0">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9A75F1">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结转结余变动率</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C6058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F06C2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val="en-US" w:eastAsia="zh-CN"/>
              </w:rPr>
              <w:t>183.04</w:t>
            </w:r>
            <w:r>
              <w:rPr>
                <w:rFonts w:hint="eastAsia" w:ascii="宋体" w:hAnsi="宋体" w:eastAsia="宋体" w:cs="宋体"/>
                <w:color w:val="000000"/>
                <w:kern w:val="0"/>
                <w:sz w:val="21"/>
                <w:szCs w:val="21"/>
              </w:rPr>
              <w:t>%</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E9C2A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336805">
            <w:pPr>
              <w:widowControl/>
              <w:spacing w:line="240" w:lineRule="auto"/>
              <w:ind w:firstLine="0" w:firstLineChars="0"/>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0.5</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F20019">
            <w:pPr>
              <w:widowControl/>
              <w:spacing w:line="240" w:lineRule="auto"/>
              <w:ind w:firstLine="0" w:firstLineChars="0"/>
              <w:rPr>
                <w:rFonts w:ascii="宋体" w:hAnsi="宋体" w:eastAsia="宋体" w:cs="宋体"/>
                <w:color w:val="000000"/>
                <w:sz w:val="21"/>
                <w:szCs w:val="21"/>
              </w:rPr>
            </w:pPr>
          </w:p>
        </w:tc>
      </w:tr>
      <w:tr w14:paraId="0259AFD1">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363DD1">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3EECD8">
            <w:pPr>
              <w:widowControl/>
              <w:spacing w:line="240" w:lineRule="auto"/>
              <w:ind w:firstLine="0" w:firstLineChars="0"/>
              <w:jc w:val="center"/>
              <w:rPr>
                <w:rFonts w:ascii="宋体" w:hAnsi="宋体" w:eastAsia="宋体" w:cs="宋体"/>
                <w:color w:val="000000"/>
                <w:sz w:val="21"/>
                <w:szCs w:val="21"/>
              </w:rPr>
            </w:pP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3E351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财务管理</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3B29AC">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财务管理制度健全性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D733E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53BD0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B8FDE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862C4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CF6AA7">
            <w:pPr>
              <w:widowControl/>
              <w:spacing w:line="240" w:lineRule="auto"/>
              <w:ind w:firstLine="0" w:firstLineChars="0"/>
              <w:rPr>
                <w:rFonts w:ascii="宋体" w:hAnsi="宋体" w:eastAsia="宋体" w:cs="宋体"/>
                <w:color w:val="000000"/>
                <w:sz w:val="21"/>
                <w:szCs w:val="21"/>
              </w:rPr>
            </w:pPr>
          </w:p>
        </w:tc>
      </w:tr>
      <w:tr w14:paraId="34DD81EB">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C09944">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8AB373">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8DF875">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FE9799">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资金使用规范性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3EAB1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9852E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254B8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C20B0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3EAB3C">
            <w:pPr>
              <w:widowControl/>
              <w:spacing w:line="240" w:lineRule="auto"/>
              <w:ind w:firstLine="0" w:firstLineChars="0"/>
              <w:rPr>
                <w:rFonts w:ascii="宋体" w:hAnsi="宋体" w:eastAsia="宋体" w:cs="宋体"/>
                <w:color w:val="000000"/>
                <w:sz w:val="21"/>
                <w:szCs w:val="21"/>
              </w:rPr>
            </w:pPr>
          </w:p>
        </w:tc>
      </w:tr>
      <w:tr w14:paraId="5484697B">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DFD33D">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4241C0">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E05F7D">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采购管理</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DBA23B">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政府采购规范性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FFAFA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243F2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815CE1">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D3B93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A8E60D">
            <w:pPr>
              <w:widowControl/>
              <w:spacing w:line="240" w:lineRule="auto"/>
              <w:ind w:firstLine="0" w:firstLineChars="0"/>
              <w:rPr>
                <w:rFonts w:ascii="宋体" w:hAnsi="宋体" w:eastAsia="宋体" w:cs="宋体"/>
                <w:color w:val="000000"/>
                <w:sz w:val="21"/>
                <w:szCs w:val="21"/>
              </w:rPr>
            </w:pPr>
          </w:p>
        </w:tc>
      </w:tr>
      <w:tr w14:paraId="565648FC">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D39601">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EA212A">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E3522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资产管理</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9DE241">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资产管理规范性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48177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A0EB4D">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B5C636">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EEA98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840A46">
            <w:pPr>
              <w:widowControl/>
              <w:spacing w:line="240" w:lineRule="auto"/>
              <w:ind w:firstLine="0" w:firstLineChars="0"/>
              <w:rPr>
                <w:rFonts w:ascii="宋体" w:hAnsi="宋体" w:eastAsia="宋体" w:cs="宋体"/>
                <w:color w:val="000000"/>
                <w:sz w:val="21"/>
                <w:szCs w:val="21"/>
              </w:rPr>
            </w:pPr>
          </w:p>
        </w:tc>
      </w:tr>
      <w:tr w14:paraId="42A57021">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423CBC">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B4D5E6">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CC85F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人员管理</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CA7DEB">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在职人员控制率</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507BBA">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747EF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94%</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5C2D51">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ADE9D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A97354">
            <w:pPr>
              <w:widowControl/>
              <w:spacing w:line="240" w:lineRule="auto"/>
              <w:ind w:firstLine="0" w:firstLineChars="0"/>
              <w:rPr>
                <w:rFonts w:ascii="宋体" w:hAnsi="宋体" w:eastAsia="宋体" w:cs="宋体"/>
                <w:color w:val="000000"/>
                <w:sz w:val="21"/>
                <w:szCs w:val="21"/>
              </w:rPr>
            </w:pPr>
          </w:p>
        </w:tc>
      </w:tr>
      <w:tr w14:paraId="45D3FE15">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549E1F">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8477AE">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9CEA3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重点工作管理</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11BA3F">
            <w:pPr>
              <w:widowControl/>
              <w:spacing w:line="240" w:lineRule="auto"/>
              <w:ind w:firstLine="0" w:firstLineChars="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重点工作管理制度健全性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1DD048">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3F527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FA395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C8D58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F49D47">
            <w:pPr>
              <w:widowControl/>
              <w:spacing w:line="240" w:lineRule="auto"/>
              <w:ind w:firstLine="0" w:firstLineChars="0"/>
              <w:rPr>
                <w:rFonts w:ascii="宋体" w:hAnsi="宋体" w:eastAsia="宋体" w:cs="宋体"/>
                <w:color w:val="000000"/>
                <w:sz w:val="21"/>
                <w:szCs w:val="21"/>
              </w:rPr>
            </w:pPr>
          </w:p>
        </w:tc>
      </w:tr>
      <w:tr w14:paraId="08F90580">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FDD8A3">
            <w:pPr>
              <w:widowControl/>
              <w:spacing w:line="240" w:lineRule="auto"/>
              <w:ind w:firstLine="0" w:firstLineChars="0"/>
              <w:jc w:val="center"/>
              <w:rPr>
                <w:rFonts w:ascii="宋体" w:hAnsi="宋体" w:eastAsia="宋体" w:cs="宋体"/>
                <w:b/>
                <w:color w:val="000000"/>
                <w:sz w:val="21"/>
                <w:szCs w:val="21"/>
              </w:rPr>
            </w:pPr>
          </w:p>
        </w:tc>
        <w:tc>
          <w:tcPr>
            <w:tcW w:w="505"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5FF1C1">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履职效果</w:t>
            </w: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EC8F0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部门履职目标</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bottom"/>
          </w:tcPr>
          <w:p w14:paraId="58A6FE6B">
            <w:pPr>
              <w:widowControl/>
              <w:spacing w:line="240" w:lineRule="auto"/>
              <w:ind w:firstLine="0" w:firstLineChars="0"/>
              <w:jc w:val="left"/>
              <w:textAlignment w:val="bottom"/>
              <w:rPr>
                <w:rFonts w:ascii="宋体" w:hAnsi="宋体" w:eastAsia="宋体" w:cs="宋体"/>
                <w:color w:val="000000"/>
                <w:sz w:val="18"/>
                <w:szCs w:val="18"/>
              </w:rPr>
            </w:pPr>
            <w:r>
              <w:rPr>
                <w:rFonts w:hint="eastAsia" w:ascii="宋体" w:hAnsi="宋体" w:eastAsia="宋体" w:cs="宋体"/>
                <w:color w:val="000000"/>
                <w:kern w:val="0"/>
                <w:sz w:val="18"/>
                <w:szCs w:val="18"/>
                <w:lang w:eastAsia="zh-CN"/>
              </w:rPr>
              <w:t>党在建设及学习</w:t>
            </w:r>
            <w:r>
              <w:rPr>
                <w:rFonts w:hint="eastAsia" w:ascii="宋体" w:hAnsi="宋体" w:eastAsia="宋体" w:cs="宋体"/>
                <w:color w:val="000000"/>
                <w:kern w:val="0"/>
                <w:sz w:val="18"/>
                <w:szCs w:val="18"/>
              </w:rPr>
              <w:t>完成情况</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E4DD6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014CF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E92A10">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8</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AF2312">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8</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B84215">
            <w:pPr>
              <w:widowControl/>
              <w:spacing w:line="240" w:lineRule="auto"/>
              <w:ind w:firstLine="0" w:firstLineChars="0"/>
              <w:rPr>
                <w:rFonts w:ascii="宋体" w:hAnsi="宋体" w:eastAsia="宋体" w:cs="宋体"/>
                <w:color w:val="000000"/>
                <w:sz w:val="21"/>
                <w:szCs w:val="21"/>
              </w:rPr>
            </w:pPr>
          </w:p>
        </w:tc>
      </w:tr>
      <w:tr w14:paraId="57E128CB">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80F1F3">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C13B5D">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546DD9">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bottom"/>
          </w:tcPr>
          <w:p w14:paraId="1FCB8766">
            <w:pPr>
              <w:widowControl/>
              <w:spacing w:line="240" w:lineRule="auto"/>
              <w:ind w:firstLine="0" w:firstLineChars="0"/>
              <w:jc w:val="left"/>
              <w:textAlignment w:val="bottom"/>
              <w:rPr>
                <w:rFonts w:ascii="宋体" w:hAnsi="宋体" w:eastAsia="宋体" w:cs="宋体"/>
                <w:color w:val="000000"/>
                <w:sz w:val="18"/>
                <w:szCs w:val="18"/>
              </w:rPr>
            </w:pPr>
            <w:r>
              <w:rPr>
                <w:rFonts w:hint="eastAsia" w:ascii="宋体" w:hAnsi="宋体" w:eastAsia="宋体" w:cs="宋体"/>
                <w:color w:val="000000"/>
                <w:kern w:val="0"/>
                <w:sz w:val="18"/>
                <w:szCs w:val="18"/>
                <w:lang w:eastAsia="zh-CN"/>
              </w:rPr>
              <w:t>主要经济指标完成</w:t>
            </w:r>
            <w:r>
              <w:rPr>
                <w:rFonts w:hint="eastAsia" w:ascii="宋体" w:hAnsi="宋体" w:eastAsia="宋体" w:cs="宋体"/>
                <w:color w:val="000000"/>
                <w:kern w:val="0"/>
                <w:sz w:val="18"/>
                <w:szCs w:val="18"/>
              </w:rPr>
              <w:t>情况</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CE3EE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26F791">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0D9B62">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5</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CD7808">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5</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D9DAF6">
            <w:pPr>
              <w:widowControl/>
              <w:spacing w:line="240" w:lineRule="auto"/>
              <w:ind w:firstLine="0" w:firstLineChars="0"/>
              <w:rPr>
                <w:rFonts w:ascii="宋体" w:hAnsi="宋体" w:eastAsia="宋体" w:cs="宋体"/>
                <w:color w:val="000000"/>
                <w:sz w:val="21"/>
                <w:szCs w:val="21"/>
              </w:rPr>
            </w:pPr>
          </w:p>
        </w:tc>
      </w:tr>
      <w:tr w14:paraId="6F11B11A">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BB8753">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126C8F">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A7AD7D">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bottom"/>
          </w:tcPr>
          <w:p w14:paraId="088C8C66">
            <w:pPr>
              <w:widowControl/>
              <w:spacing w:line="240" w:lineRule="auto"/>
              <w:ind w:firstLine="0" w:firstLineChars="0"/>
              <w:jc w:val="left"/>
              <w:textAlignment w:val="bottom"/>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eastAsia="zh-CN"/>
              </w:rPr>
              <w:t>医疗卫生人才队伍建设</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F78EA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911C2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398D34">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68D159">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14E17F">
            <w:pPr>
              <w:widowControl/>
              <w:spacing w:line="240" w:lineRule="auto"/>
              <w:ind w:firstLine="0" w:firstLineChars="0"/>
              <w:rPr>
                <w:rFonts w:ascii="宋体" w:hAnsi="宋体" w:eastAsia="宋体" w:cs="宋体"/>
                <w:color w:val="000000"/>
                <w:sz w:val="21"/>
                <w:szCs w:val="21"/>
              </w:rPr>
            </w:pPr>
          </w:p>
        </w:tc>
      </w:tr>
      <w:tr w14:paraId="544341E1">
        <w:tblPrEx>
          <w:tblCellMar>
            <w:top w:w="0" w:type="dxa"/>
            <w:left w:w="0" w:type="dxa"/>
            <w:bottom w:w="0" w:type="dxa"/>
            <w:right w:w="0" w:type="dxa"/>
          </w:tblCellMar>
        </w:tblPrEx>
        <w:trPr>
          <w:trHeight w:val="580"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78B873">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51C5D1">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2F7BA0">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bottom"/>
          </w:tcPr>
          <w:p w14:paraId="3DE43A29">
            <w:pPr>
              <w:widowControl/>
              <w:spacing w:line="240" w:lineRule="auto"/>
              <w:ind w:firstLine="0" w:firstLineChars="0"/>
              <w:jc w:val="left"/>
              <w:textAlignment w:val="bottom"/>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eastAsia="zh-CN"/>
              </w:rPr>
              <w:t>中医药产业提质增效</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05F1CA">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7FD37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EAE44B">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5</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FF0C19">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5</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293A4E">
            <w:pPr>
              <w:widowControl/>
              <w:spacing w:line="240" w:lineRule="auto"/>
              <w:ind w:firstLine="0" w:firstLineChars="0"/>
              <w:rPr>
                <w:rFonts w:ascii="宋体" w:hAnsi="宋体" w:eastAsia="宋体" w:cs="宋体"/>
                <w:color w:val="000000"/>
                <w:sz w:val="21"/>
                <w:szCs w:val="21"/>
              </w:rPr>
            </w:pPr>
          </w:p>
        </w:tc>
      </w:tr>
      <w:tr w14:paraId="404EEF61">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553878">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4A448E">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DD860B">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bottom"/>
          </w:tcPr>
          <w:p w14:paraId="2151C2BF">
            <w:pPr>
              <w:widowControl/>
              <w:spacing w:line="240" w:lineRule="auto"/>
              <w:ind w:firstLine="0" w:firstLineChars="0"/>
              <w:jc w:val="left"/>
              <w:textAlignment w:val="bottom"/>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eastAsia="zh-CN"/>
              </w:rPr>
              <w:t>科学精准防控传染病</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D6D31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50982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val="en-US" w:eastAsia="zh-CN"/>
              </w:rPr>
              <w:t>100</w:t>
            </w:r>
            <w:r>
              <w:rPr>
                <w:rFonts w:hint="eastAsia" w:ascii="宋体" w:hAnsi="宋体" w:eastAsia="宋体" w:cs="宋体"/>
                <w:color w:val="000000"/>
                <w:kern w:val="0"/>
                <w:sz w:val="21"/>
                <w:szCs w:val="21"/>
              </w:rPr>
              <w:t>%</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63D852">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216879">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F674F1">
            <w:pPr>
              <w:widowControl/>
              <w:spacing w:line="240" w:lineRule="auto"/>
              <w:ind w:firstLine="0" w:firstLineChars="0"/>
              <w:rPr>
                <w:rFonts w:ascii="宋体" w:hAnsi="宋体" w:eastAsia="宋体" w:cs="宋体"/>
                <w:color w:val="000000"/>
                <w:sz w:val="21"/>
                <w:szCs w:val="21"/>
              </w:rPr>
            </w:pPr>
          </w:p>
        </w:tc>
      </w:tr>
      <w:tr w14:paraId="114B710C">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CE23B0">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ED26A2">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706976">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bottom"/>
          </w:tcPr>
          <w:p w14:paraId="71BFF190">
            <w:pPr>
              <w:widowControl/>
              <w:spacing w:line="240" w:lineRule="auto"/>
              <w:ind w:firstLine="0" w:firstLineChars="0"/>
              <w:jc w:val="left"/>
              <w:textAlignment w:val="bottom"/>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eastAsia="zh-CN"/>
              </w:rPr>
              <w:t>基本公共卫生服务</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9D0DE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2C887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01EF8D">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6</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3C520C">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6</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D15CAC">
            <w:pPr>
              <w:widowControl/>
              <w:spacing w:line="240" w:lineRule="auto"/>
              <w:ind w:firstLine="0" w:firstLineChars="0"/>
              <w:rPr>
                <w:rFonts w:ascii="宋体" w:hAnsi="宋体" w:eastAsia="宋体" w:cs="宋体"/>
                <w:color w:val="000000"/>
                <w:sz w:val="21"/>
                <w:szCs w:val="21"/>
              </w:rPr>
            </w:pPr>
          </w:p>
        </w:tc>
      </w:tr>
      <w:tr w14:paraId="1F2A735D">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DE96A5">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9439D6">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F7FB01">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bottom"/>
          </w:tcPr>
          <w:p w14:paraId="2E2B4E41">
            <w:pPr>
              <w:widowControl/>
              <w:spacing w:line="240" w:lineRule="auto"/>
              <w:ind w:firstLine="0" w:firstLineChars="0"/>
              <w:jc w:val="left"/>
              <w:textAlignment w:val="bottom"/>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eastAsia="zh-CN"/>
              </w:rPr>
              <w:t>卫生监督执法和放管服改革</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BFA4A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8DA45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1AC8D6">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8CC85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552F74">
            <w:pPr>
              <w:widowControl/>
              <w:spacing w:line="240" w:lineRule="auto"/>
              <w:ind w:firstLine="0" w:firstLineChars="0"/>
              <w:rPr>
                <w:rFonts w:ascii="宋体" w:hAnsi="宋体" w:eastAsia="宋体" w:cs="宋体"/>
                <w:color w:val="000000"/>
                <w:sz w:val="21"/>
                <w:szCs w:val="21"/>
              </w:rPr>
            </w:pPr>
          </w:p>
        </w:tc>
      </w:tr>
      <w:tr w14:paraId="258E3240">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7B50EC">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219F6F">
            <w:pPr>
              <w:widowControl/>
              <w:spacing w:line="240" w:lineRule="auto"/>
              <w:ind w:firstLine="0" w:firstLineChars="0"/>
              <w:jc w:val="center"/>
              <w:rPr>
                <w:rFonts w:ascii="宋体" w:hAnsi="宋体" w:eastAsia="宋体" w:cs="宋体"/>
                <w:color w:val="000000"/>
                <w:sz w:val="21"/>
                <w:szCs w:val="21"/>
              </w:rPr>
            </w:pP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FB936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部门效果目标</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F82458">
            <w:pPr>
              <w:widowControl/>
              <w:spacing w:line="240" w:lineRule="auto"/>
              <w:ind w:firstLine="0" w:firstLineChars="0"/>
              <w:jc w:val="left"/>
              <w:textAlignment w:val="center"/>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rPr>
              <w:t>维</w:t>
            </w:r>
            <w:r>
              <w:rPr>
                <w:rFonts w:hint="eastAsia" w:ascii="宋体" w:hAnsi="宋体" w:eastAsia="宋体" w:cs="宋体"/>
                <w:color w:val="000000"/>
                <w:kern w:val="0"/>
                <w:sz w:val="18"/>
                <w:szCs w:val="18"/>
                <w:lang w:eastAsia="zh-CN"/>
              </w:rPr>
              <w:t>红十字会健康教育</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BC653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D05DE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082F77">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AFF9E6">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9DACE3">
            <w:pPr>
              <w:widowControl/>
              <w:spacing w:line="240" w:lineRule="auto"/>
              <w:ind w:firstLine="0" w:firstLineChars="0"/>
              <w:rPr>
                <w:rFonts w:ascii="宋体" w:hAnsi="宋体" w:eastAsia="宋体" w:cs="宋体"/>
                <w:color w:val="000000"/>
                <w:sz w:val="21"/>
                <w:szCs w:val="21"/>
              </w:rPr>
            </w:pPr>
          </w:p>
        </w:tc>
      </w:tr>
      <w:tr w14:paraId="7D7A614C">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CC0FC7">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E63483">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D4D95E">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5C10CF">
            <w:pPr>
              <w:widowControl/>
              <w:spacing w:line="240" w:lineRule="auto"/>
              <w:ind w:firstLine="0" w:firstLineChars="0"/>
              <w:jc w:val="left"/>
              <w:textAlignment w:val="center"/>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eastAsia="zh-CN"/>
              </w:rPr>
              <w:t>爱国卫生运动</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260FB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DC663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34388D">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F0E2C3">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64F344">
            <w:pPr>
              <w:widowControl/>
              <w:spacing w:line="240" w:lineRule="auto"/>
              <w:ind w:firstLine="0" w:firstLineChars="0"/>
              <w:rPr>
                <w:rFonts w:ascii="宋体" w:hAnsi="宋体" w:eastAsia="宋体" w:cs="宋体"/>
                <w:color w:val="000000"/>
                <w:sz w:val="21"/>
                <w:szCs w:val="21"/>
              </w:rPr>
            </w:pPr>
          </w:p>
        </w:tc>
      </w:tr>
      <w:tr w14:paraId="383F8336">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8AE3AB">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790AE7">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141628">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A3411E">
            <w:pPr>
              <w:widowControl/>
              <w:spacing w:line="240" w:lineRule="auto"/>
              <w:ind w:firstLine="0" w:firstLineChars="0"/>
              <w:jc w:val="left"/>
              <w:textAlignment w:val="center"/>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eastAsia="zh-CN"/>
              </w:rPr>
              <w:t>部门履职效果</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FB7C1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57800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10BE6E">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6</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DF8EEB">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6</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C97345">
            <w:pPr>
              <w:widowControl/>
              <w:spacing w:line="240" w:lineRule="auto"/>
              <w:ind w:firstLine="0" w:firstLineChars="0"/>
              <w:rPr>
                <w:rFonts w:ascii="宋体" w:hAnsi="宋体" w:eastAsia="宋体" w:cs="宋体"/>
                <w:color w:val="000000"/>
                <w:sz w:val="21"/>
                <w:szCs w:val="21"/>
              </w:rPr>
            </w:pPr>
          </w:p>
        </w:tc>
      </w:tr>
      <w:tr w14:paraId="72937365">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C0F400">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E0696D">
            <w:pPr>
              <w:widowControl/>
              <w:spacing w:line="240" w:lineRule="auto"/>
              <w:ind w:firstLine="0" w:firstLineChars="0"/>
              <w:jc w:val="center"/>
              <w:rPr>
                <w:rFonts w:ascii="宋体" w:hAnsi="宋体" w:eastAsia="宋体" w:cs="宋体"/>
                <w:color w:val="000000"/>
                <w:sz w:val="21"/>
                <w:szCs w:val="21"/>
              </w:rPr>
            </w:pP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5ABCAF">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社会影响</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280049">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单位获奖情况</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3F4E41">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E6E31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6EE7B1">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570D60">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C29E06">
            <w:pPr>
              <w:widowControl/>
              <w:spacing w:line="240" w:lineRule="auto"/>
              <w:ind w:firstLine="0" w:firstLineChars="0"/>
              <w:rPr>
                <w:rFonts w:ascii="宋体" w:hAnsi="宋体" w:eastAsia="宋体" w:cs="宋体"/>
                <w:color w:val="000000"/>
                <w:sz w:val="21"/>
                <w:szCs w:val="21"/>
              </w:rPr>
            </w:pPr>
          </w:p>
        </w:tc>
      </w:tr>
      <w:tr w14:paraId="18DE2715">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F1CA6A">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00017A">
            <w:pPr>
              <w:widowControl/>
              <w:spacing w:line="240" w:lineRule="auto"/>
              <w:ind w:firstLine="0" w:firstLineChars="0"/>
              <w:jc w:val="center"/>
              <w:rPr>
                <w:rFonts w:ascii="宋体" w:hAnsi="宋体" w:eastAsia="宋体" w:cs="宋体"/>
                <w:color w:val="000000"/>
                <w:sz w:val="21"/>
                <w:szCs w:val="21"/>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856001">
            <w:pPr>
              <w:widowControl/>
              <w:spacing w:line="240" w:lineRule="auto"/>
              <w:ind w:firstLine="0" w:firstLineChars="0"/>
              <w:jc w:val="center"/>
              <w:rPr>
                <w:rFonts w:ascii="宋体" w:hAnsi="宋体" w:eastAsia="宋体" w:cs="宋体"/>
                <w:color w:val="000000"/>
                <w:sz w:val="21"/>
                <w:szCs w:val="21"/>
              </w:rPr>
            </w:pP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EA246A">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违法违纪情况</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7CCB7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D41881">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FC9E9D">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2C292C">
            <w:pPr>
              <w:widowControl/>
              <w:spacing w:line="240" w:lineRule="auto"/>
              <w:ind w:firstLine="0" w:firstLineChars="0"/>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rPr>
              <w:t>3</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2AA046">
            <w:pPr>
              <w:widowControl/>
              <w:spacing w:line="240" w:lineRule="auto"/>
              <w:ind w:firstLine="0" w:firstLineChars="0"/>
              <w:rPr>
                <w:rFonts w:ascii="宋体" w:hAnsi="宋体" w:eastAsia="宋体" w:cs="宋体"/>
                <w:color w:val="000000"/>
                <w:sz w:val="21"/>
                <w:szCs w:val="21"/>
              </w:rPr>
            </w:pPr>
          </w:p>
        </w:tc>
      </w:tr>
      <w:tr w14:paraId="4471BF2F">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1903D0">
            <w:pPr>
              <w:widowControl/>
              <w:spacing w:line="240" w:lineRule="auto"/>
              <w:ind w:firstLine="0" w:firstLineChars="0"/>
              <w:jc w:val="center"/>
              <w:rPr>
                <w:rFonts w:ascii="宋体" w:hAnsi="宋体" w:eastAsia="宋体" w:cs="宋体"/>
                <w:b/>
                <w:color w:val="000000"/>
                <w:sz w:val="21"/>
                <w:szCs w:val="21"/>
              </w:rPr>
            </w:pPr>
          </w:p>
        </w:tc>
        <w:tc>
          <w:tcPr>
            <w:tcW w:w="505"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926EE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能力建设</w:t>
            </w: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311BE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长效管理</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6028E3">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中期规划建设完备程度</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6966F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B6C08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A4887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726F28">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45E0C5">
            <w:pPr>
              <w:widowControl/>
              <w:spacing w:line="240" w:lineRule="auto"/>
              <w:ind w:firstLine="0" w:firstLineChars="0"/>
              <w:rPr>
                <w:rFonts w:ascii="宋体" w:hAnsi="宋体" w:eastAsia="宋体" w:cs="宋体"/>
                <w:color w:val="000000"/>
                <w:sz w:val="21"/>
                <w:szCs w:val="21"/>
              </w:rPr>
            </w:pPr>
          </w:p>
        </w:tc>
      </w:tr>
      <w:tr w14:paraId="17CB6D00">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258D5E">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364C2E">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1A6776">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组织建设</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F8639F">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党建工作开展规律性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472EE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8F5D6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A7DDF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7C2D3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415FBA">
            <w:pPr>
              <w:widowControl/>
              <w:spacing w:line="240" w:lineRule="auto"/>
              <w:ind w:firstLine="0" w:firstLineChars="0"/>
              <w:rPr>
                <w:rFonts w:ascii="宋体" w:hAnsi="宋体" w:eastAsia="宋体" w:cs="宋体"/>
                <w:color w:val="000000"/>
                <w:sz w:val="21"/>
                <w:szCs w:val="21"/>
              </w:rPr>
            </w:pPr>
          </w:p>
        </w:tc>
      </w:tr>
      <w:tr w14:paraId="40A5AE87">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56976E">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FCDE20">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54462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信息化建设情况</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6821EC">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信息化管理覆盖率</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01159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16DFDB">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C1B9E8">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CE580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982E59">
            <w:pPr>
              <w:widowControl/>
              <w:spacing w:line="240" w:lineRule="auto"/>
              <w:ind w:firstLine="0" w:firstLineChars="0"/>
              <w:rPr>
                <w:rFonts w:ascii="宋体" w:hAnsi="宋体" w:eastAsia="宋体" w:cs="宋体"/>
                <w:color w:val="000000"/>
                <w:sz w:val="21"/>
                <w:szCs w:val="21"/>
              </w:rPr>
            </w:pPr>
          </w:p>
        </w:tc>
      </w:tr>
      <w:tr w14:paraId="2BC4D6E9">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92A831">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13D7DF">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21F7A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人力资源建设</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29C7B0">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人员培训机制完备性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01E52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621783">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9978FD">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93C230">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97F5D8">
            <w:pPr>
              <w:widowControl/>
              <w:spacing w:line="240" w:lineRule="auto"/>
              <w:ind w:firstLine="0" w:firstLineChars="0"/>
              <w:rPr>
                <w:rFonts w:ascii="宋体" w:hAnsi="宋体" w:eastAsia="宋体" w:cs="宋体"/>
                <w:color w:val="000000"/>
                <w:sz w:val="21"/>
                <w:szCs w:val="21"/>
              </w:rPr>
            </w:pPr>
          </w:p>
        </w:tc>
      </w:tr>
      <w:tr w14:paraId="1F949570">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ADC5C0">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3D7D92">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21630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档案管理</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22773D">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档案管理完备性</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AC509E">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D4654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B86AE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55B2C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E1AE8D">
            <w:pPr>
              <w:widowControl/>
              <w:spacing w:line="240" w:lineRule="auto"/>
              <w:ind w:firstLine="0" w:firstLineChars="0"/>
              <w:rPr>
                <w:rFonts w:ascii="宋体" w:hAnsi="宋体" w:eastAsia="宋体" w:cs="宋体"/>
                <w:color w:val="000000"/>
                <w:sz w:val="21"/>
                <w:szCs w:val="21"/>
              </w:rPr>
            </w:pPr>
          </w:p>
        </w:tc>
      </w:tr>
      <w:tr w14:paraId="35FDB48B">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BFAD43">
            <w:pPr>
              <w:widowControl/>
              <w:spacing w:line="240" w:lineRule="auto"/>
              <w:ind w:firstLine="0" w:firstLineChars="0"/>
              <w:jc w:val="center"/>
              <w:rPr>
                <w:rFonts w:ascii="宋体" w:hAnsi="宋体" w:eastAsia="宋体" w:cs="宋体"/>
                <w:b/>
                <w:color w:val="000000"/>
                <w:sz w:val="21"/>
                <w:szCs w:val="21"/>
              </w:rPr>
            </w:pPr>
          </w:p>
        </w:tc>
        <w:tc>
          <w:tcPr>
            <w:tcW w:w="505"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9B4511">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服务对象满意度</w:t>
            </w: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68DCB9">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服务对象1的满意度</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E2C87F">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工作人员及医务人员满意度</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544F58">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8FCD15">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0AC3F4">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47A5F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18AA23">
            <w:pPr>
              <w:widowControl/>
              <w:spacing w:line="240" w:lineRule="auto"/>
              <w:ind w:firstLine="0" w:firstLineChars="0"/>
              <w:rPr>
                <w:rFonts w:ascii="宋体" w:hAnsi="宋体" w:eastAsia="宋体" w:cs="宋体"/>
                <w:color w:val="000000"/>
                <w:sz w:val="21"/>
                <w:szCs w:val="21"/>
              </w:rPr>
            </w:pPr>
          </w:p>
        </w:tc>
      </w:tr>
      <w:tr w14:paraId="3DAE3433">
        <w:tblPrEx>
          <w:tblCellMar>
            <w:top w:w="0" w:type="dxa"/>
            <w:left w:w="0" w:type="dxa"/>
            <w:bottom w:w="0" w:type="dxa"/>
            <w:right w:w="0" w:type="dxa"/>
          </w:tblCellMar>
        </w:tblPrEx>
        <w:trPr>
          <w:trHeight w:val="465" w:hRule="atLeast"/>
        </w:trPr>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4F8EE9">
            <w:pPr>
              <w:widowControl/>
              <w:spacing w:line="240" w:lineRule="auto"/>
              <w:ind w:firstLine="0" w:firstLineChars="0"/>
              <w:jc w:val="center"/>
              <w:rPr>
                <w:rFonts w:ascii="宋体" w:hAnsi="宋体" w:eastAsia="宋体" w:cs="宋体"/>
                <w:b/>
                <w:color w:val="000000"/>
                <w:sz w:val="21"/>
                <w:szCs w:val="21"/>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F8E135">
            <w:pPr>
              <w:widowControl/>
              <w:spacing w:line="240" w:lineRule="auto"/>
              <w:ind w:firstLine="0" w:firstLineChars="0"/>
              <w:jc w:val="center"/>
              <w:rPr>
                <w:rFonts w:ascii="宋体" w:hAnsi="宋体" w:eastAsia="宋体" w:cs="宋体"/>
                <w:color w:val="000000"/>
                <w:sz w:val="21"/>
                <w:szCs w:val="21"/>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2AB4D7">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服务对象2的满意度</w:t>
            </w:r>
          </w:p>
        </w:tc>
        <w:tc>
          <w:tcPr>
            <w:tcW w:w="12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6C4EA4">
            <w:pPr>
              <w:widowControl/>
              <w:spacing w:line="240" w:lineRule="auto"/>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群众满意度</w:t>
            </w:r>
          </w:p>
        </w:tc>
        <w:tc>
          <w:tcPr>
            <w:tcW w:w="71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80517C">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≥90</w:t>
            </w:r>
          </w:p>
        </w:tc>
        <w:tc>
          <w:tcPr>
            <w:tcW w:w="38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0C6E6A">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100%</w:t>
            </w:r>
          </w:p>
        </w:tc>
        <w:tc>
          <w:tcPr>
            <w:tcW w:w="224"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BE6CBA">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528E66">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C5C150">
            <w:pPr>
              <w:widowControl/>
              <w:spacing w:line="240" w:lineRule="auto"/>
              <w:ind w:firstLine="0" w:firstLineChars="0"/>
              <w:rPr>
                <w:rFonts w:ascii="宋体" w:hAnsi="宋体" w:eastAsia="宋体" w:cs="宋体"/>
                <w:color w:val="000000"/>
                <w:sz w:val="21"/>
                <w:szCs w:val="21"/>
              </w:rPr>
            </w:pPr>
          </w:p>
        </w:tc>
      </w:tr>
      <w:tr w14:paraId="3B83191F">
        <w:tblPrEx>
          <w:tblCellMar>
            <w:top w:w="0" w:type="dxa"/>
            <w:left w:w="0" w:type="dxa"/>
            <w:bottom w:w="0" w:type="dxa"/>
            <w:right w:w="0" w:type="dxa"/>
          </w:tblCellMar>
        </w:tblPrEx>
        <w:trPr>
          <w:trHeight w:val="465" w:hRule="atLeast"/>
        </w:trPr>
        <w:tc>
          <w:tcPr>
            <w:tcW w:w="4183" w:type="pct"/>
            <w:gridSpan w:val="7"/>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03D375">
            <w:pPr>
              <w:widowControl/>
              <w:spacing w:line="240" w:lineRule="auto"/>
              <w:ind w:firstLine="0" w:firstLineChars="0"/>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    计</w:t>
            </w:r>
          </w:p>
        </w:tc>
        <w:tc>
          <w:tcPr>
            <w:tcW w:w="36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804C42">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98.</w:t>
            </w: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rPr>
              <w:t>4</w:t>
            </w:r>
          </w:p>
        </w:tc>
        <w:tc>
          <w:tcPr>
            <w:tcW w:w="456"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1D81D0">
            <w:pPr>
              <w:widowControl/>
              <w:spacing w:line="240" w:lineRule="auto"/>
              <w:ind w:firstLine="0" w:firstLineChars="0"/>
              <w:rPr>
                <w:rFonts w:ascii="宋体" w:hAnsi="宋体" w:eastAsia="宋体" w:cs="宋体"/>
                <w:color w:val="000000"/>
                <w:sz w:val="21"/>
                <w:szCs w:val="21"/>
              </w:rPr>
            </w:pPr>
          </w:p>
        </w:tc>
      </w:tr>
      <w:tr w14:paraId="31B30DF4">
        <w:tblPrEx>
          <w:tblCellMar>
            <w:top w:w="0" w:type="dxa"/>
            <w:left w:w="0" w:type="dxa"/>
            <w:bottom w:w="0" w:type="dxa"/>
            <w:right w:w="0" w:type="dxa"/>
          </w:tblCellMar>
        </w:tblPrEx>
        <w:trPr>
          <w:trHeight w:val="465"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309BAA">
            <w:pPr>
              <w:widowControl/>
              <w:spacing w:line="240" w:lineRule="auto"/>
              <w:ind w:firstLine="0" w:firstLineChars="0"/>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无</w:t>
            </w:r>
          </w:p>
        </w:tc>
      </w:tr>
    </w:tbl>
    <w:p w14:paraId="3FD16FD2">
      <w:pPr>
        <w:ind w:firstLine="0" w:firstLineChars="0"/>
        <w:rPr>
          <w:b/>
          <w:bCs/>
        </w:rPr>
        <w:sectPr>
          <w:footerReference r:id="rId11" w:type="default"/>
          <w:pgSz w:w="11906" w:h="16838"/>
          <w:pgMar w:top="1440" w:right="1466" w:bottom="1440" w:left="2120" w:header="851" w:footer="992" w:gutter="0"/>
          <w:cols w:space="425" w:num="1"/>
          <w:docGrid w:type="lines" w:linePitch="312" w:charSpace="0"/>
        </w:sectPr>
      </w:pPr>
      <w:bookmarkStart w:id="25" w:name="_Toc9328"/>
    </w:p>
    <w:p w14:paraId="16D8076F">
      <w:pPr>
        <w:ind w:firstLine="0" w:firstLineChars="0"/>
        <w:outlineLvl w:val="0"/>
        <w:rPr>
          <w:b/>
          <w:bCs/>
        </w:rPr>
      </w:pPr>
      <w:bookmarkStart w:id="26" w:name="_Toc21028"/>
      <w:r>
        <w:rPr>
          <w:rFonts w:hint="eastAsia"/>
          <w:b/>
          <w:bCs/>
        </w:rPr>
        <w:t>附件2 部门预算项目支出绩效自评结果汇总表</w:t>
      </w:r>
      <w:bookmarkEnd w:id="25"/>
      <w:bookmarkEnd w:id="26"/>
    </w:p>
    <w:tbl>
      <w:tblPr>
        <w:tblStyle w:val="15"/>
        <w:tblW w:w="5000" w:type="pct"/>
        <w:tblInd w:w="0" w:type="dxa"/>
        <w:tblLayout w:type="autofit"/>
        <w:tblCellMar>
          <w:top w:w="0" w:type="dxa"/>
          <w:left w:w="0" w:type="dxa"/>
          <w:bottom w:w="0" w:type="dxa"/>
          <w:right w:w="0" w:type="dxa"/>
        </w:tblCellMar>
      </w:tblPr>
      <w:tblGrid>
        <w:gridCol w:w="466"/>
        <w:gridCol w:w="4921"/>
        <w:gridCol w:w="908"/>
        <w:gridCol w:w="904"/>
        <w:gridCol w:w="1171"/>
        <w:gridCol w:w="1056"/>
        <w:gridCol w:w="844"/>
        <w:gridCol w:w="1143"/>
        <w:gridCol w:w="1115"/>
        <w:gridCol w:w="911"/>
        <w:gridCol w:w="543"/>
      </w:tblGrid>
      <w:tr w14:paraId="5A81107E">
        <w:tblPrEx>
          <w:tblCellMar>
            <w:top w:w="0" w:type="dxa"/>
            <w:left w:w="0" w:type="dxa"/>
            <w:bottom w:w="0" w:type="dxa"/>
            <w:right w:w="0" w:type="dxa"/>
          </w:tblCellMar>
        </w:tblPrEx>
        <w:trPr>
          <w:trHeight w:val="1140" w:hRule="atLeast"/>
        </w:trPr>
        <w:tc>
          <w:tcPr>
            <w:tcW w:w="5000" w:type="pct"/>
            <w:gridSpan w:val="11"/>
            <w:tcBorders>
              <w:top w:val="nil"/>
              <w:left w:val="nil"/>
              <w:bottom w:val="nil"/>
              <w:right w:val="nil"/>
            </w:tcBorders>
            <w:shd w:val="clear" w:color="auto" w:fill="auto"/>
            <w:noWrap/>
            <w:tcMar>
              <w:top w:w="12" w:type="dxa"/>
              <w:left w:w="12" w:type="dxa"/>
              <w:right w:w="12" w:type="dxa"/>
            </w:tcMar>
            <w:vAlign w:val="center"/>
          </w:tcPr>
          <w:p w14:paraId="6F5248A0">
            <w:pPr>
              <w:widowControl/>
              <w:spacing w:line="240" w:lineRule="auto"/>
              <w:ind w:firstLine="0" w:firstLineChars="0"/>
              <w:jc w:val="center"/>
              <w:textAlignment w:val="center"/>
              <w:rPr>
                <w:rFonts w:ascii="宋体" w:hAnsi="宋体" w:eastAsia="宋体" w:cs="宋体"/>
                <w:b/>
                <w:color w:val="000000"/>
                <w:sz w:val="40"/>
                <w:szCs w:val="40"/>
              </w:rPr>
            </w:pPr>
            <w:r>
              <w:rPr>
                <w:rFonts w:hint="eastAsia" w:ascii="宋体" w:hAnsi="宋体" w:eastAsia="宋体" w:cs="宋体"/>
                <w:b/>
                <w:color w:val="000000"/>
                <w:kern w:val="0"/>
                <w:sz w:val="40"/>
                <w:szCs w:val="40"/>
              </w:rPr>
              <w:t>202</w:t>
            </w:r>
            <w:r>
              <w:rPr>
                <w:rFonts w:hint="eastAsia" w:ascii="宋体" w:hAnsi="宋体" w:eastAsia="宋体" w:cs="宋体"/>
                <w:b/>
                <w:color w:val="000000"/>
                <w:kern w:val="0"/>
                <w:sz w:val="40"/>
                <w:szCs w:val="40"/>
                <w:lang w:val="en-US" w:eastAsia="zh-CN"/>
              </w:rPr>
              <w:t>3</w:t>
            </w:r>
            <w:r>
              <w:rPr>
                <w:rFonts w:hint="eastAsia" w:ascii="宋体" w:hAnsi="宋体" w:eastAsia="宋体" w:cs="宋体"/>
                <w:b/>
                <w:color w:val="000000"/>
                <w:kern w:val="0"/>
                <w:sz w:val="40"/>
                <w:szCs w:val="40"/>
              </w:rPr>
              <w:t>年度</w:t>
            </w:r>
            <w:r>
              <w:rPr>
                <w:rStyle w:val="24"/>
                <w:rFonts w:hint="default"/>
              </w:rPr>
              <w:t>兰州新区卫生健康委员会</w:t>
            </w:r>
            <w:r>
              <w:rPr>
                <w:rFonts w:hint="eastAsia" w:ascii="宋体" w:hAnsi="宋体" w:eastAsia="宋体" w:cs="宋体"/>
                <w:b/>
                <w:color w:val="000000"/>
                <w:kern w:val="0"/>
                <w:sz w:val="40"/>
                <w:szCs w:val="40"/>
              </w:rPr>
              <w:t>部门预算支出项目绩效自评结果汇总表</w:t>
            </w:r>
          </w:p>
        </w:tc>
      </w:tr>
      <w:tr w14:paraId="57E677C0">
        <w:tblPrEx>
          <w:tblCellMar>
            <w:top w:w="0" w:type="dxa"/>
            <w:left w:w="0" w:type="dxa"/>
            <w:bottom w:w="0" w:type="dxa"/>
            <w:right w:w="0" w:type="dxa"/>
          </w:tblCellMar>
        </w:tblPrEx>
        <w:trPr>
          <w:trHeight w:val="600" w:hRule="atLeast"/>
        </w:trPr>
        <w:tc>
          <w:tcPr>
            <w:tcW w:w="166"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1BA2228">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序号</w:t>
            </w:r>
          </w:p>
        </w:tc>
        <w:tc>
          <w:tcPr>
            <w:tcW w:w="1760"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18B30B">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项目名称</w:t>
            </w:r>
          </w:p>
        </w:tc>
        <w:tc>
          <w:tcPr>
            <w:tcW w:w="324"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D3BDE62">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主管部门</w:t>
            </w:r>
          </w:p>
        </w:tc>
        <w:tc>
          <w:tcPr>
            <w:tcW w:w="2230" w:type="pct"/>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510E60">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项目资金（万元）</w:t>
            </w:r>
          </w:p>
        </w:tc>
        <w:tc>
          <w:tcPr>
            <w:tcW w:w="326"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1FC6D82">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自评得分</w:t>
            </w:r>
          </w:p>
        </w:tc>
        <w:tc>
          <w:tcPr>
            <w:tcW w:w="192" w:type="pct"/>
            <w:vMerge w:val="restart"/>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14:paraId="5902AF60">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备注</w:t>
            </w:r>
          </w:p>
        </w:tc>
      </w:tr>
      <w:tr w14:paraId="76D6D693">
        <w:tblPrEx>
          <w:tblCellMar>
            <w:top w:w="0" w:type="dxa"/>
            <w:left w:w="0" w:type="dxa"/>
            <w:bottom w:w="0" w:type="dxa"/>
            <w:right w:w="0" w:type="dxa"/>
          </w:tblCellMar>
        </w:tblPrEx>
        <w:trPr>
          <w:trHeight w:val="60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29B32BF">
            <w:pPr>
              <w:widowControl/>
              <w:spacing w:line="240" w:lineRule="auto"/>
              <w:ind w:firstLine="0" w:firstLineChars="0"/>
              <w:jc w:val="center"/>
              <w:rPr>
                <w:rFonts w:ascii="宋体" w:hAnsi="宋体" w:eastAsia="宋体" w:cs="宋体"/>
                <w:b/>
                <w:color w:val="000000"/>
                <w:sz w:val="22"/>
                <w:szCs w:val="22"/>
              </w:rPr>
            </w:pPr>
          </w:p>
        </w:tc>
        <w:tc>
          <w:tcPr>
            <w:tcW w:w="176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890B1D">
            <w:pPr>
              <w:widowControl/>
              <w:spacing w:line="240" w:lineRule="auto"/>
              <w:ind w:firstLine="0" w:firstLineChars="0"/>
              <w:jc w:val="center"/>
              <w:rPr>
                <w:rFonts w:ascii="宋体" w:hAnsi="宋体" w:eastAsia="宋体" w:cs="宋体"/>
                <w:b/>
                <w:color w:val="000000"/>
                <w:sz w:val="22"/>
                <w:szCs w:val="22"/>
              </w:rPr>
            </w:pPr>
          </w:p>
        </w:tc>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F4159D8">
            <w:pPr>
              <w:widowControl/>
              <w:spacing w:line="240" w:lineRule="auto"/>
              <w:ind w:firstLine="0" w:firstLineChars="0"/>
              <w:jc w:val="center"/>
              <w:rPr>
                <w:rFonts w:ascii="宋体" w:hAnsi="宋体" w:eastAsia="宋体" w:cs="宋体"/>
                <w:b/>
                <w:color w:val="000000"/>
                <w:sz w:val="22"/>
                <w:szCs w:val="22"/>
              </w:rPr>
            </w:pPr>
          </w:p>
        </w:tc>
        <w:tc>
          <w:tcPr>
            <w:tcW w:w="1422" w:type="pct"/>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7DC6FB">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全年预算数（A）</w:t>
            </w:r>
          </w:p>
        </w:tc>
        <w:tc>
          <w:tcPr>
            <w:tcW w:w="409"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D3AF2A">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全年执行数（B）</w:t>
            </w:r>
          </w:p>
        </w:tc>
        <w:tc>
          <w:tcPr>
            <w:tcW w:w="398"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A0C715">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执行率</w:t>
            </w:r>
            <w:r>
              <w:rPr>
                <w:rFonts w:hint="eastAsia" w:ascii="宋体" w:hAnsi="宋体" w:eastAsia="宋体" w:cs="宋体"/>
                <w:b/>
                <w:color w:val="000000"/>
                <w:kern w:val="0"/>
                <w:sz w:val="22"/>
                <w:szCs w:val="22"/>
              </w:rPr>
              <w:br w:type="textWrapping"/>
            </w:r>
            <w:r>
              <w:rPr>
                <w:rFonts w:hint="eastAsia" w:ascii="宋体" w:hAnsi="宋体" w:eastAsia="宋体" w:cs="宋体"/>
                <w:b/>
                <w:color w:val="000000"/>
                <w:kern w:val="0"/>
                <w:sz w:val="22"/>
                <w:szCs w:val="22"/>
              </w:rPr>
              <w:t>（B/A）</w:t>
            </w: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A1DCDA4">
            <w:pPr>
              <w:widowControl/>
              <w:spacing w:line="240" w:lineRule="auto"/>
              <w:ind w:firstLine="0" w:firstLineChars="0"/>
              <w:jc w:val="center"/>
              <w:rPr>
                <w:rFonts w:ascii="宋体" w:hAnsi="宋体" w:eastAsia="宋体" w:cs="宋体"/>
                <w:b/>
                <w:color w:val="000000"/>
                <w:sz w:val="22"/>
                <w:szCs w:val="22"/>
              </w:rPr>
            </w:pPr>
          </w:p>
        </w:tc>
        <w:tc>
          <w:tcPr>
            <w:tcW w:w="192" w:type="pct"/>
            <w:vMerge w:val="continue"/>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14:paraId="69408838">
            <w:pPr>
              <w:widowControl/>
              <w:spacing w:line="240" w:lineRule="auto"/>
              <w:ind w:firstLine="0" w:firstLineChars="0"/>
              <w:jc w:val="center"/>
              <w:rPr>
                <w:rFonts w:ascii="宋体" w:hAnsi="宋体" w:eastAsia="宋体" w:cs="宋体"/>
                <w:b/>
                <w:color w:val="000000"/>
                <w:sz w:val="22"/>
                <w:szCs w:val="22"/>
              </w:rPr>
            </w:pPr>
          </w:p>
        </w:tc>
      </w:tr>
      <w:tr w14:paraId="50DECC8E">
        <w:tblPrEx>
          <w:tblCellMar>
            <w:top w:w="0" w:type="dxa"/>
            <w:left w:w="0" w:type="dxa"/>
            <w:bottom w:w="0" w:type="dxa"/>
            <w:right w:w="0" w:type="dxa"/>
          </w:tblCellMar>
        </w:tblPrEx>
        <w:trPr>
          <w:trHeight w:val="60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7C5C0E">
            <w:pPr>
              <w:widowControl/>
              <w:spacing w:line="240" w:lineRule="auto"/>
              <w:ind w:firstLine="0" w:firstLineChars="0"/>
              <w:jc w:val="center"/>
              <w:rPr>
                <w:rFonts w:ascii="宋体" w:hAnsi="宋体" w:eastAsia="宋体" w:cs="宋体"/>
                <w:b/>
                <w:color w:val="000000"/>
                <w:sz w:val="22"/>
                <w:szCs w:val="22"/>
              </w:rPr>
            </w:pPr>
          </w:p>
        </w:tc>
        <w:tc>
          <w:tcPr>
            <w:tcW w:w="176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958773">
            <w:pPr>
              <w:widowControl/>
              <w:spacing w:line="240" w:lineRule="auto"/>
              <w:ind w:firstLine="0" w:firstLineChars="0"/>
              <w:jc w:val="center"/>
              <w:rPr>
                <w:rFonts w:ascii="宋体" w:hAnsi="宋体" w:eastAsia="宋体" w:cs="宋体"/>
                <w:b/>
                <w:color w:val="000000"/>
                <w:sz w:val="22"/>
                <w:szCs w:val="22"/>
              </w:rPr>
            </w:pPr>
          </w:p>
        </w:tc>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7C60304">
            <w:pPr>
              <w:widowControl/>
              <w:spacing w:line="240" w:lineRule="auto"/>
              <w:ind w:firstLine="0" w:firstLineChars="0"/>
              <w:jc w:val="center"/>
              <w:rPr>
                <w:rFonts w:ascii="宋体" w:hAnsi="宋体" w:eastAsia="宋体" w:cs="宋体"/>
                <w:b/>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8DE27DA">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小计</w:t>
            </w:r>
          </w:p>
        </w:tc>
        <w:tc>
          <w:tcPr>
            <w:tcW w:w="41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8EC1D5">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当年财政拨款</w:t>
            </w:r>
          </w:p>
        </w:tc>
        <w:tc>
          <w:tcPr>
            <w:tcW w:w="37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715A04">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上年结转资金</w:t>
            </w:r>
          </w:p>
        </w:tc>
        <w:tc>
          <w:tcPr>
            <w:tcW w:w="30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422DF2">
            <w:pPr>
              <w:widowControl/>
              <w:spacing w:line="240" w:lineRule="auto"/>
              <w:ind w:firstLine="0" w:firstLineChars="0"/>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 xml:space="preserve">  其他资金</w:t>
            </w:r>
          </w:p>
        </w:tc>
        <w:tc>
          <w:tcPr>
            <w:tcW w:w="409"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EA5C94">
            <w:pPr>
              <w:widowControl/>
              <w:spacing w:line="240" w:lineRule="auto"/>
              <w:ind w:firstLine="0" w:firstLineChars="0"/>
              <w:jc w:val="center"/>
              <w:rPr>
                <w:rFonts w:ascii="宋体" w:hAnsi="宋体" w:eastAsia="宋体" w:cs="宋体"/>
                <w:b/>
                <w:color w:val="000000"/>
                <w:sz w:val="22"/>
                <w:szCs w:val="22"/>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F63699">
            <w:pPr>
              <w:widowControl/>
              <w:spacing w:line="240" w:lineRule="auto"/>
              <w:ind w:firstLine="0" w:firstLineChars="0"/>
              <w:jc w:val="center"/>
              <w:rPr>
                <w:rFonts w:ascii="宋体" w:hAnsi="宋体" w:eastAsia="宋体" w:cs="宋体"/>
                <w:b/>
                <w:color w:val="000000"/>
                <w:sz w:val="22"/>
                <w:szCs w:val="22"/>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8D64AA6">
            <w:pPr>
              <w:widowControl/>
              <w:spacing w:line="240" w:lineRule="auto"/>
              <w:ind w:firstLine="0" w:firstLineChars="0"/>
              <w:jc w:val="center"/>
              <w:rPr>
                <w:rFonts w:ascii="宋体" w:hAnsi="宋体" w:eastAsia="宋体" w:cs="宋体"/>
                <w:b/>
                <w:color w:val="000000"/>
                <w:sz w:val="22"/>
                <w:szCs w:val="22"/>
              </w:rPr>
            </w:pPr>
          </w:p>
        </w:tc>
        <w:tc>
          <w:tcPr>
            <w:tcW w:w="192" w:type="pct"/>
            <w:vMerge w:val="continue"/>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14:paraId="3ED811AC">
            <w:pPr>
              <w:widowControl/>
              <w:spacing w:line="240" w:lineRule="auto"/>
              <w:ind w:firstLine="0" w:firstLineChars="0"/>
              <w:jc w:val="center"/>
              <w:rPr>
                <w:rFonts w:ascii="宋体" w:hAnsi="宋体" w:eastAsia="宋体" w:cs="宋体"/>
                <w:b/>
                <w:color w:val="000000"/>
                <w:sz w:val="22"/>
                <w:szCs w:val="22"/>
              </w:rPr>
            </w:pPr>
          </w:p>
        </w:tc>
      </w:tr>
      <w:tr w14:paraId="7887AC5D">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84D7FF5">
            <w:pPr>
              <w:widowControl/>
              <w:spacing w:line="240" w:lineRule="auto"/>
              <w:ind w:firstLine="0" w:firstLineChars="0"/>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6F36A8D">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eastAsia="zh-CN"/>
              </w:rPr>
              <w:t>急救运转经费</w:t>
            </w:r>
            <w:r>
              <w:rPr>
                <w:rFonts w:hint="eastAsia" w:ascii="宋体" w:hAnsi="宋体" w:eastAsia="宋体" w:cs="宋体"/>
                <w:color w:val="000000"/>
                <w:kern w:val="0"/>
                <w:sz w:val="22"/>
                <w:szCs w:val="22"/>
              </w:rPr>
              <w:t>资金</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D202E22">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CF57DFA">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200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043E3B6">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200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85CF8C">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0D3BD5">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423C434">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B63DED">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90EFB55">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6D254BA">
            <w:pPr>
              <w:widowControl/>
              <w:spacing w:line="240" w:lineRule="auto"/>
              <w:ind w:firstLine="0" w:firstLineChars="0"/>
              <w:rPr>
                <w:rFonts w:ascii="宋体" w:hAnsi="宋体" w:eastAsia="宋体" w:cs="宋体"/>
                <w:color w:val="000000"/>
                <w:sz w:val="22"/>
                <w:szCs w:val="22"/>
              </w:rPr>
            </w:pPr>
          </w:p>
        </w:tc>
      </w:tr>
      <w:tr w14:paraId="4F482C02">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402CE96">
            <w:pPr>
              <w:widowControl/>
              <w:spacing w:line="240" w:lineRule="auto"/>
              <w:ind w:firstLine="0" w:firstLineChars="0"/>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9E21D8C">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eastAsia="zh-CN"/>
              </w:rPr>
              <w:t>干部体检经</w:t>
            </w:r>
            <w:r>
              <w:rPr>
                <w:rFonts w:hint="eastAsia" w:ascii="宋体" w:hAnsi="宋体" w:eastAsia="宋体" w:cs="宋体"/>
                <w:color w:val="000000"/>
                <w:kern w:val="0"/>
                <w:sz w:val="22"/>
                <w:szCs w:val="22"/>
              </w:rPr>
              <w:t>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E68C58D">
            <w:pPr>
              <w:widowControl/>
              <w:spacing w:line="240" w:lineRule="auto"/>
              <w:ind w:firstLine="0" w:firstLineChars="0"/>
              <w:jc w:val="center"/>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EE49340">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500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047C51F">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500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9E616B9">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84FE4AA">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2B58A44">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5</w:t>
            </w:r>
            <w:r>
              <w:rPr>
                <w:rFonts w:hint="eastAsia" w:ascii="宋体" w:hAnsi="宋体" w:eastAsia="宋体" w:cs="宋体"/>
                <w:color w:val="000000"/>
                <w:kern w:val="0"/>
                <w:sz w:val="22"/>
                <w:szCs w:val="22"/>
              </w:rPr>
              <w:t>00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2D679D4">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EDA7D7C">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B6D56B1">
            <w:pPr>
              <w:widowControl/>
              <w:spacing w:line="240" w:lineRule="auto"/>
              <w:ind w:firstLine="0" w:firstLineChars="0"/>
              <w:rPr>
                <w:rFonts w:ascii="宋体" w:hAnsi="宋体" w:eastAsia="宋体" w:cs="宋体"/>
                <w:color w:val="000000"/>
                <w:sz w:val="22"/>
                <w:szCs w:val="22"/>
              </w:rPr>
            </w:pPr>
          </w:p>
        </w:tc>
      </w:tr>
      <w:tr w14:paraId="366EDC7E">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06F65B5">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3</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DE553E2">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eastAsia="zh-CN"/>
              </w:rPr>
              <w:t>中医药建设和发展经费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4D0ABFF">
            <w:pPr>
              <w:widowControl/>
              <w:spacing w:line="240" w:lineRule="auto"/>
              <w:ind w:firstLine="0" w:firstLineChars="0"/>
              <w:jc w:val="center"/>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DC54BC7">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40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AF93209">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40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FD08504">
            <w:pPr>
              <w:widowControl/>
              <w:spacing w:line="240" w:lineRule="auto"/>
              <w:ind w:firstLine="0" w:firstLineChars="0"/>
              <w:jc w:val="righ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0</w:t>
            </w: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BADC7BB">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9BEADE1">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24</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D727131">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60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D1F69B2">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92</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7971B63">
            <w:pPr>
              <w:widowControl/>
              <w:spacing w:line="240" w:lineRule="auto"/>
              <w:ind w:firstLine="0" w:firstLineChars="0"/>
              <w:rPr>
                <w:rFonts w:ascii="宋体" w:hAnsi="宋体" w:eastAsia="宋体" w:cs="宋体"/>
                <w:color w:val="000000"/>
                <w:sz w:val="22"/>
                <w:szCs w:val="22"/>
              </w:rPr>
            </w:pPr>
          </w:p>
        </w:tc>
      </w:tr>
      <w:tr w14:paraId="20DF2D4F">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F88F8E0">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4</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F7642D9">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eastAsia="zh-CN"/>
              </w:rPr>
              <w:t>医政医改管理经费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1C225F4">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81D6786">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180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4A14386">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180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2E64D77">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1365E32">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A946AA1">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BB30057">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329C707">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99.7</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4C6B46C">
            <w:pPr>
              <w:widowControl/>
              <w:spacing w:line="240" w:lineRule="auto"/>
              <w:ind w:firstLine="0" w:firstLineChars="0"/>
              <w:rPr>
                <w:rFonts w:ascii="宋体" w:hAnsi="宋体" w:eastAsia="宋体" w:cs="宋体"/>
                <w:color w:val="000000"/>
                <w:sz w:val="22"/>
                <w:szCs w:val="22"/>
              </w:rPr>
            </w:pPr>
          </w:p>
        </w:tc>
      </w:tr>
      <w:tr w14:paraId="099AA25C">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7AC58DA">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5</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1A0B54F">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eastAsia="zh-CN"/>
              </w:rPr>
              <w:t>红字会运转经费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87FA728">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43B44A3">
            <w:pPr>
              <w:widowControl/>
              <w:spacing w:line="240" w:lineRule="auto"/>
              <w:ind w:firstLine="0" w:firstLineChars="0"/>
              <w:jc w:val="righ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6</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73E648C">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6</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E5CBE5D">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914786A">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E949499">
            <w:pPr>
              <w:widowControl/>
              <w:spacing w:line="240" w:lineRule="auto"/>
              <w:ind w:firstLine="0" w:firstLineChars="0"/>
              <w:jc w:val="righ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6</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E4BE934">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D1D84AA">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F2E0C8">
            <w:pPr>
              <w:widowControl/>
              <w:spacing w:line="240" w:lineRule="auto"/>
              <w:ind w:firstLine="0" w:firstLineChars="0"/>
              <w:rPr>
                <w:rFonts w:ascii="宋体" w:hAnsi="宋体" w:eastAsia="宋体" w:cs="宋体"/>
                <w:color w:val="000000"/>
                <w:sz w:val="22"/>
                <w:szCs w:val="22"/>
              </w:rPr>
            </w:pPr>
          </w:p>
        </w:tc>
      </w:tr>
      <w:tr w14:paraId="12137C11">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3674096">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6</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F201F50">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eastAsia="zh-CN"/>
              </w:rPr>
              <w:t>基本公共卫生服务经费（转移支付及本级）</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C84C516">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589B231">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3059.94</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8EA6712">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3059.94</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842C38C">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BB9A768">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7D9EDDB">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3059.94</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E0BF91D">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206DAAB">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1CB7F3D">
            <w:pPr>
              <w:widowControl/>
              <w:spacing w:line="240" w:lineRule="auto"/>
              <w:ind w:firstLine="0" w:firstLineChars="0"/>
              <w:rPr>
                <w:rFonts w:ascii="宋体" w:hAnsi="宋体" w:eastAsia="宋体" w:cs="宋体"/>
                <w:color w:val="000000"/>
                <w:sz w:val="22"/>
                <w:szCs w:val="22"/>
              </w:rPr>
            </w:pPr>
          </w:p>
        </w:tc>
      </w:tr>
      <w:tr w14:paraId="5557AC57">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D5790AB">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7</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C552E1A">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eastAsia="zh-CN"/>
              </w:rPr>
              <w:t>妇幼安全保障经费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55DA4DD">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9B58173">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89DB301">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A7314F">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853F37E">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C2CAB1C">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7F0BE47">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CAB9A0E">
            <w:pPr>
              <w:widowControl/>
              <w:spacing w:line="240" w:lineRule="auto"/>
              <w:ind w:firstLine="0" w:firstLineChars="0"/>
              <w:jc w:val="right"/>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E9C23F8">
            <w:pPr>
              <w:widowControl/>
              <w:spacing w:line="240" w:lineRule="auto"/>
              <w:ind w:firstLine="0" w:firstLineChars="0"/>
              <w:rPr>
                <w:rFonts w:ascii="宋体" w:hAnsi="宋体" w:eastAsia="宋体" w:cs="宋体"/>
                <w:color w:val="000000"/>
                <w:sz w:val="22"/>
                <w:szCs w:val="22"/>
              </w:rPr>
            </w:pPr>
          </w:p>
        </w:tc>
      </w:tr>
      <w:tr w14:paraId="4968DB98">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61324EE">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rPr>
              <w:t>8</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E87A105">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医养结合工作经费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DDE8B2E">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B1678B">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C9218AF">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598334A">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7F8FDB7">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62391AF">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48E82F1">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9278799">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D8EA516">
            <w:pPr>
              <w:widowControl/>
              <w:spacing w:line="240" w:lineRule="auto"/>
              <w:ind w:firstLine="0" w:firstLineChars="0"/>
              <w:rPr>
                <w:rFonts w:ascii="宋体" w:hAnsi="宋体" w:eastAsia="宋体" w:cs="宋体"/>
                <w:color w:val="000000"/>
                <w:sz w:val="22"/>
                <w:szCs w:val="22"/>
              </w:rPr>
            </w:pPr>
          </w:p>
        </w:tc>
      </w:tr>
      <w:tr w14:paraId="29CA77DC">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F4369BB">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9</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8F0E4F0">
            <w:pPr>
              <w:widowControl/>
              <w:spacing w:line="240" w:lineRule="auto"/>
              <w:ind w:firstLine="0" w:firstLineChars="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家庭医生签约服务补助经费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1197DDC">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5C6889">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43.9</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C2AFE58">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43.9</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1405124">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59431E0">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1FD5B88">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43.9</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AC3F422">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C58B3FE">
            <w:pPr>
              <w:widowControl/>
              <w:spacing w:line="240" w:lineRule="auto"/>
              <w:ind w:firstLine="0" w:firstLineChars="0"/>
              <w:jc w:val="right"/>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3B89B0B">
            <w:pPr>
              <w:widowControl/>
              <w:spacing w:line="240" w:lineRule="auto"/>
              <w:ind w:firstLine="0" w:firstLineChars="0"/>
              <w:rPr>
                <w:rFonts w:ascii="宋体" w:hAnsi="宋体" w:eastAsia="宋体" w:cs="宋体"/>
                <w:color w:val="000000"/>
                <w:sz w:val="22"/>
                <w:szCs w:val="22"/>
              </w:rPr>
            </w:pPr>
          </w:p>
        </w:tc>
      </w:tr>
      <w:tr w14:paraId="4A19A9E3">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FF79ACB">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10</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CB788B0">
            <w:pPr>
              <w:widowControl/>
              <w:spacing w:line="240" w:lineRule="auto"/>
              <w:ind w:firstLine="0" w:firstLineChars="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村医养老保险补助及离岗村医养老补助</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11F21B0">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213605B">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140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C9E5D4E">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140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7174453">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534C8CD">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63308D2">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104.61</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13AA7D5">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74.72%</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381685D">
            <w:pPr>
              <w:widowControl/>
              <w:spacing w:line="240" w:lineRule="auto"/>
              <w:ind w:firstLine="0" w:firstLineChars="0"/>
              <w:jc w:val="right"/>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99.5</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5A7C3A4">
            <w:pPr>
              <w:widowControl/>
              <w:spacing w:line="240" w:lineRule="auto"/>
              <w:ind w:firstLine="0" w:firstLineChars="0"/>
              <w:rPr>
                <w:rFonts w:ascii="宋体" w:hAnsi="宋体" w:eastAsia="宋体" w:cs="宋体"/>
                <w:color w:val="000000"/>
                <w:sz w:val="22"/>
                <w:szCs w:val="22"/>
              </w:rPr>
            </w:pPr>
          </w:p>
        </w:tc>
      </w:tr>
      <w:tr w14:paraId="6167E0E6">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7F70D37">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11</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FF6337A">
            <w:pPr>
              <w:ind w:left="0" w:leftChars="0" w:firstLine="0" w:firstLineChars="0"/>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“两癌”筛查经费</w:t>
            </w:r>
            <w:r>
              <w:rPr>
                <w:rFonts w:hint="eastAsia" w:ascii="宋体" w:hAnsi="宋体" w:eastAsia="宋体" w:cs="宋体"/>
                <w:color w:val="000000"/>
                <w:kern w:val="0"/>
                <w:sz w:val="22"/>
                <w:szCs w:val="22"/>
                <w:lang w:eastAsia="zh-CN"/>
              </w:rPr>
              <w:t>（转移支付及本级）</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0B02630">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E4AEE4A">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22</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E6330BD">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22</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368D492">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8DDA66">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299BBB1">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18.7</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2DB9999">
            <w:pPr>
              <w:widowControl/>
              <w:spacing w:line="240" w:lineRule="auto"/>
              <w:ind w:firstLine="0" w:firstLineChars="0"/>
              <w:jc w:val="righ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55</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CB58E18">
            <w:pPr>
              <w:widowControl/>
              <w:spacing w:line="240" w:lineRule="auto"/>
              <w:ind w:firstLine="0" w:firstLineChars="0"/>
              <w:jc w:val="right"/>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95</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FD666D6">
            <w:pPr>
              <w:widowControl/>
              <w:spacing w:line="240" w:lineRule="auto"/>
              <w:ind w:firstLine="0" w:firstLineChars="0"/>
              <w:rPr>
                <w:rFonts w:ascii="宋体" w:hAnsi="宋体" w:eastAsia="宋体" w:cs="宋体"/>
                <w:color w:val="000000"/>
                <w:sz w:val="22"/>
                <w:szCs w:val="22"/>
              </w:rPr>
            </w:pPr>
          </w:p>
        </w:tc>
      </w:tr>
      <w:tr w14:paraId="259CA4EF">
        <w:tblPrEx>
          <w:tblCellMar>
            <w:top w:w="0" w:type="dxa"/>
            <w:left w:w="0" w:type="dxa"/>
            <w:bottom w:w="0" w:type="dxa"/>
            <w:right w:w="0" w:type="dxa"/>
          </w:tblCellMar>
        </w:tblPrEx>
        <w:trPr>
          <w:trHeight w:val="596"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ADDBF66">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12</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D787330">
            <w:pPr>
              <w:widowControl/>
              <w:spacing w:line="240" w:lineRule="auto"/>
              <w:ind w:firstLine="0" w:firstLineChars="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16"/>
                <w:szCs w:val="16"/>
              </w:rPr>
              <w:t>护士执业资格、卫生专业技术资格、卫生人才评价考试考务工作费用</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447FAB9">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38448E5">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7</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7F72B8B">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7</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878238A">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B254CB5">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C1B270D">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6.3</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E95A9DE">
            <w:pPr>
              <w:widowControl/>
              <w:spacing w:line="240" w:lineRule="auto"/>
              <w:ind w:firstLine="0" w:firstLineChars="0"/>
              <w:jc w:val="right"/>
              <w:textAlignment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90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FD0B82D">
            <w:pPr>
              <w:widowControl/>
              <w:spacing w:line="240" w:lineRule="auto"/>
              <w:ind w:firstLine="0" w:firstLineChars="0"/>
              <w:jc w:val="right"/>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98</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D7221A1">
            <w:pPr>
              <w:widowControl/>
              <w:spacing w:line="240" w:lineRule="auto"/>
              <w:ind w:firstLine="0" w:firstLineChars="0"/>
              <w:rPr>
                <w:rFonts w:ascii="宋体" w:hAnsi="宋体" w:eastAsia="宋体" w:cs="宋体"/>
                <w:color w:val="000000"/>
                <w:sz w:val="22"/>
                <w:szCs w:val="22"/>
              </w:rPr>
            </w:pPr>
          </w:p>
        </w:tc>
      </w:tr>
      <w:tr w14:paraId="7D96E548">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7EBB1AB">
            <w:pPr>
              <w:widowControl/>
              <w:spacing w:line="240" w:lineRule="auto"/>
              <w:ind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kern w:val="0"/>
                <w:sz w:val="22"/>
                <w:szCs w:val="22"/>
              </w:rPr>
              <w:t>1</w:t>
            </w:r>
            <w:r>
              <w:rPr>
                <w:rFonts w:hint="eastAsia" w:ascii="宋体" w:hAnsi="宋体" w:eastAsia="宋体" w:cs="宋体"/>
                <w:color w:val="000000"/>
                <w:kern w:val="0"/>
                <w:sz w:val="22"/>
                <w:szCs w:val="22"/>
                <w:lang w:val="en-US" w:eastAsia="zh-CN"/>
              </w:rPr>
              <w:t>3</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0DA0E62">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引进人才待遇</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096012A">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6DB57F5">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38.4</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D141C83">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38.4</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5B073C">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7EB2FD6">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02459EB">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38.4</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F45DDF1">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7FCAA2B">
            <w:pPr>
              <w:widowControl/>
              <w:spacing w:line="240" w:lineRule="auto"/>
              <w:ind w:firstLine="0" w:firstLineChars="0"/>
              <w:jc w:val="right"/>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D10B823">
            <w:pPr>
              <w:widowControl/>
              <w:spacing w:line="240" w:lineRule="auto"/>
              <w:ind w:firstLine="0" w:firstLineChars="0"/>
              <w:rPr>
                <w:rFonts w:ascii="宋体" w:hAnsi="宋体" w:eastAsia="宋体" w:cs="宋体"/>
                <w:color w:val="000000"/>
                <w:sz w:val="22"/>
                <w:szCs w:val="22"/>
              </w:rPr>
            </w:pPr>
          </w:p>
        </w:tc>
      </w:tr>
      <w:tr w14:paraId="6996D797">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CF433E3">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rPr>
              <w:t>1</w:t>
            </w:r>
            <w:r>
              <w:rPr>
                <w:rFonts w:hint="eastAsia" w:ascii="宋体" w:hAnsi="宋体" w:eastAsia="宋体" w:cs="宋体"/>
                <w:color w:val="000000"/>
                <w:kern w:val="0"/>
                <w:sz w:val="22"/>
                <w:szCs w:val="22"/>
                <w:lang w:val="en-US" w:eastAsia="zh-CN"/>
              </w:rPr>
              <w:t>4</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938F470">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rPr>
              <w:t>病媒生物防制</w:t>
            </w:r>
            <w:r>
              <w:rPr>
                <w:rFonts w:hint="eastAsia" w:ascii="宋体" w:hAnsi="宋体" w:eastAsia="宋体" w:cs="宋体"/>
                <w:color w:val="000000"/>
                <w:kern w:val="0"/>
                <w:sz w:val="22"/>
                <w:szCs w:val="22"/>
                <w:lang w:eastAsia="zh-CN"/>
              </w:rPr>
              <w:t>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D3699E7">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9C91587">
            <w:pPr>
              <w:widowControl/>
              <w:spacing w:line="240" w:lineRule="auto"/>
              <w:ind w:firstLine="0" w:firstLineChars="0"/>
              <w:jc w:val="right"/>
              <w:textAlignment w:val="center"/>
              <w:rPr>
                <w:rFonts w:hint="default" w:ascii="宋体" w:hAnsi="宋体" w:eastAsia="宋体" w:cs="宋体"/>
                <w:color w:val="auto"/>
                <w:sz w:val="22"/>
                <w:szCs w:val="22"/>
                <w:lang w:val="en-US" w:eastAsia="zh-CN"/>
              </w:rPr>
            </w:pPr>
            <w:r>
              <w:rPr>
                <w:rFonts w:hint="eastAsia" w:ascii="宋体" w:hAnsi="宋体" w:eastAsia="宋体" w:cs="宋体"/>
                <w:color w:val="auto"/>
                <w:kern w:val="0"/>
                <w:sz w:val="22"/>
                <w:szCs w:val="22"/>
                <w:lang w:val="en-US" w:eastAsia="zh-CN"/>
              </w:rPr>
              <w:t>5</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2D81017">
            <w:pPr>
              <w:widowControl/>
              <w:spacing w:line="240" w:lineRule="auto"/>
              <w:ind w:firstLine="0" w:firstLineChars="0"/>
              <w:jc w:val="righ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val="en-US" w:eastAsia="zh-CN"/>
              </w:rPr>
              <w:t>5</w:t>
            </w:r>
            <w:r>
              <w:rPr>
                <w:rFonts w:hint="eastAsia" w:ascii="宋体" w:hAnsi="宋体" w:eastAsia="宋体" w:cs="宋体"/>
                <w:color w:val="auto"/>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4E7EF5F">
            <w:pPr>
              <w:widowControl/>
              <w:spacing w:line="240" w:lineRule="auto"/>
              <w:ind w:firstLine="0" w:firstLineChars="0"/>
              <w:rPr>
                <w:rFonts w:ascii="宋体" w:hAnsi="宋体" w:eastAsia="宋体" w:cs="宋体"/>
                <w:color w:val="auto"/>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E81E699">
            <w:pPr>
              <w:widowControl/>
              <w:spacing w:line="240" w:lineRule="auto"/>
              <w:ind w:firstLine="0" w:firstLineChars="0"/>
              <w:rPr>
                <w:rFonts w:ascii="宋体" w:hAnsi="宋体" w:eastAsia="宋体" w:cs="宋体"/>
                <w:color w:val="auto"/>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0F7B21A">
            <w:pPr>
              <w:widowControl/>
              <w:spacing w:line="240" w:lineRule="auto"/>
              <w:ind w:firstLine="0" w:firstLineChars="0"/>
              <w:jc w:val="right"/>
              <w:textAlignment w:val="center"/>
              <w:rPr>
                <w:rFonts w:hint="default" w:ascii="宋体" w:hAnsi="宋体" w:eastAsia="宋体" w:cs="宋体"/>
                <w:color w:val="auto"/>
                <w:sz w:val="22"/>
                <w:szCs w:val="22"/>
                <w:lang w:val="en-US"/>
              </w:rPr>
            </w:pPr>
            <w:r>
              <w:rPr>
                <w:rFonts w:hint="eastAsia" w:ascii="宋体" w:hAnsi="宋体" w:eastAsia="宋体" w:cs="宋体"/>
                <w:color w:val="auto"/>
                <w:kern w:val="0"/>
                <w:sz w:val="22"/>
                <w:szCs w:val="22"/>
                <w:lang w:val="en-US" w:eastAsia="zh-CN"/>
              </w:rPr>
              <w:t>4.89</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38123B9">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97.8</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44F2B0A">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EA140EE">
            <w:pPr>
              <w:widowControl/>
              <w:spacing w:line="240" w:lineRule="auto"/>
              <w:ind w:firstLine="0" w:firstLineChars="0"/>
              <w:rPr>
                <w:rFonts w:ascii="宋体" w:hAnsi="宋体" w:eastAsia="宋体" w:cs="宋体"/>
                <w:color w:val="000000"/>
                <w:sz w:val="22"/>
                <w:szCs w:val="22"/>
              </w:rPr>
            </w:pPr>
          </w:p>
        </w:tc>
      </w:tr>
      <w:tr w14:paraId="4509DF1C">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F202EDA">
            <w:pPr>
              <w:widowControl/>
              <w:spacing w:line="240" w:lineRule="auto"/>
              <w:ind w:firstLine="0" w:firstLineChars="0"/>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rPr>
              <w:t>1</w:t>
            </w:r>
            <w:r>
              <w:rPr>
                <w:rFonts w:hint="eastAsia" w:ascii="宋体" w:hAnsi="宋体" w:eastAsia="宋体" w:cs="宋体"/>
                <w:color w:val="000000"/>
                <w:kern w:val="0"/>
                <w:sz w:val="22"/>
                <w:szCs w:val="22"/>
                <w:lang w:val="en-US" w:eastAsia="zh-CN"/>
              </w:rPr>
              <w:t>5</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7B8FF92">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rPr>
              <w:t>疫情常态化管控经费</w:t>
            </w:r>
            <w:r>
              <w:rPr>
                <w:rFonts w:hint="eastAsia" w:ascii="宋体" w:hAnsi="宋体" w:eastAsia="宋体" w:cs="宋体"/>
                <w:color w:val="000000"/>
                <w:kern w:val="0"/>
                <w:sz w:val="22"/>
                <w:szCs w:val="22"/>
                <w:lang w:eastAsia="zh-CN"/>
              </w:rPr>
              <w:t>（转移支付及本级）</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7786BC4">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C972C7F">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5170.88</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78E5948">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5170.88</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72CA89D">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1D926F9">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BE68539">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4582.16</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E7D5AE1">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7D4C2B6">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61C75C2">
            <w:pPr>
              <w:widowControl/>
              <w:spacing w:line="240" w:lineRule="auto"/>
              <w:ind w:firstLine="0" w:firstLineChars="0"/>
              <w:rPr>
                <w:rFonts w:ascii="宋体" w:hAnsi="宋体" w:eastAsia="宋体" w:cs="宋体"/>
                <w:color w:val="000000"/>
                <w:sz w:val="22"/>
                <w:szCs w:val="22"/>
              </w:rPr>
            </w:pPr>
          </w:p>
        </w:tc>
      </w:tr>
      <w:tr w14:paraId="693A7D9E">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AFE889B">
            <w:pPr>
              <w:widowControl/>
              <w:spacing w:line="240" w:lineRule="auto"/>
              <w:ind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kern w:val="0"/>
                <w:sz w:val="22"/>
                <w:szCs w:val="22"/>
              </w:rPr>
              <w:t>1</w:t>
            </w:r>
            <w:r>
              <w:rPr>
                <w:rFonts w:hint="eastAsia" w:ascii="宋体" w:hAnsi="宋体" w:eastAsia="宋体" w:cs="宋体"/>
                <w:color w:val="000000"/>
                <w:kern w:val="0"/>
                <w:sz w:val="22"/>
                <w:szCs w:val="22"/>
                <w:lang w:val="en-US" w:eastAsia="zh-CN"/>
              </w:rPr>
              <w:t>6</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A94AA72">
            <w:pPr>
              <w:widowControl/>
              <w:spacing w:line="240" w:lineRule="auto"/>
              <w:ind w:firstLine="0" w:firstLineChars="0"/>
              <w:jc w:val="left"/>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rPr>
              <w:t>爱国卫生运动</w:t>
            </w:r>
            <w:r>
              <w:rPr>
                <w:rFonts w:hint="eastAsia" w:ascii="宋体" w:hAnsi="宋体" w:eastAsia="宋体" w:cs="宋体"/>
                <w:color w:val="000000"/>
                <w:kern w:val="0"/>
                <w:sz w:val="22"/>
                <w:szCs w:val="22"/>
                <w:lang w:eastAsia="zh-CN"/>
              </w:rPr>
              <w:t>与健康教育工作经费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9EC3574">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5F47EF3">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133C53F">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0384A77">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E5CF6F5">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D5E49D7">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9.94</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19BFE3A">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99.4</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3025862">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1B6D023">
            <w:pPr>
              <w:widowControl/>
              <w:spacing w:line="240" w:lineRule="auto"/>
              <w:ind w:firstLine="0" w:firstLineChars="0"/>
              <w:rPr>
                <w:rFonts w:ascii="宋体" w:hAnsi="宋体" w:eastAsia="宋体" w:cs="宋体"/>
                <w:color w:val="000000"/>
                <w:sz w:val="22"/>
                <w:szCs w:val="22"/>
              </w:rPr>
            </w:pPr>
          </w:p>
        </w:tc>
      </w:tr>
      <w:tr w14:paraId="3DE9D946">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7B942DC">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17</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18194C7">
            <w:pPr>
              <w:widowControl/>
              <w:spacing w:line="240" w:lineRule="auto"/>
              <w:ind w:firstLine="0" w:firstLineChars="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eastAsia="zh-CN"/>
              </w:rPr>
              <w:t>数据中心卫生</w:t>
            </w:r>
            <w:r>
              <w:rPr>
                <w:rFonts w:hint="eastAsia" w:ascii="宋体" w:hAnsi="宋体" w:eastAsia="宋体" w:cs="宋体"/>
                <w:color w:val="000000"/>
                <w:kern w:val="0"/>
                <w:sz w:val="22"/>
                <w:szCs w:val="22"/>
              </w:rPr>
              <w:t>专网费用</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4552DDC">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0670477">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lang w:val="en-US" w:eastAsia="zh-CN"/>
              </w:rPr>
              <w:t>10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D9C6B87">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lang w:val="en-US" w:eastAsia="zh-CN"/>
              </w:rPr>
              <w:t>10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3D60EC6">
            <w:pPr>
              <w:widowControl/>
              <w:spacing w:line="240" w:lineRule="auto"/>
              <w:ind w:firstLine="0" w:firstLineChars="0"/>
              <w:rPr>
                <w:rFonts w:ascii="宋体" w:hAnsi="宋体" w:eastAsia="宋体" w:cs="宋体"/>
                <w:color w:val="000000"/>
                <w:kern w:val="2"/>
                <w:sz w:val="22"/>
                <w:szCs w:val="22"/>
                <w:lang w:val="en-US" w:eastAsia="zh-CN" w:bidi="ar-SA"/>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6E6F3A3">
            <w:pPr>
              <w:widowControl/>
              <w:spacing w:line="240" w:lineRule="auto"/>
              <w:ind w:firstLine="0" w:firstLineChars="0"/>
              <w:rPr>
                <w:rFonts w:ascii="宋体" w:hAnsi="宋体" w:eastAsia="宋体" w:cs="宋体"/>
                <w:color w:val="000000"/>
                <w:kern w:val="2"/>
                <w:sz w:val="22"/>
                <w:szCs w:val="22"/>
                <w:lang w:val="en-US" w:eastAsia="zh-CN" w:bidi="ar-SA"/>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8C2558B">
            <w:pPr>
              <w:widowControl/>
              <w:spacing w:line="240" w:lineRule="auto"/>
              <w:ind w:firstLine="0" w:firstLineChars="0"/>
              <w:jc w:val="right"/>
              <w:textAlignment w:val="center"/>
              <w:rPr>
                <w:rFonts w:hint="default"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lang w:val="en-US" w:eastAsia="zh-CN"/>
              </w:rPr>
              <w:t>10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9F45569">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F25357">
            <w:pPr>
              <w:widowControl/>
              <w:spacing w:line="240" w:lineRule="auto"/>
              <w:ind w:firstLine="0" w:firstLineChars="0"/>
              <w:jc w:val="right"/>
              <w:textAlignment w:val="center"/>
              <w:rPr>
                <w:rFonts w:hint="default"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1B09F02">
            <w:pPr>
              <w:widowControl/>
              <w:spacing w:line="240" w:lineRule="auto"/>
              <w:ind w:firstLine="0" w:firstLineChars="0"/>
              <w:rPr>
                <w:rFonts w:ascii="宋体" w:hAnsi="宋体" w:eastAsia="宋体" w:cs="宋体"/>
                <w:color w:val="000000"/>
                <w:sz w:val="22"/>
                <w:szCs w:val="22"/>
              </w:rPr>
            </w:pPr>
          </w:p>
        </w:tc>
      </w:tr>
      <w:tr w14:paraId="13DCF412">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1EF0872">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18</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BEBB5F4">
            <w:pPr>
              <w:widowControl/>
              <w:spacing w:line="240" w:lineRule="auto"/>
              <w:ind w:firstLine="0" w:firstLineChars="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2020年采购核酸检测设备保质金</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6F99D16">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E1555EB">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9.82</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BBBD639">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9.82</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FA040FA">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29BDCC0">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F327E25">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9.82</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7D64275">
            <w:pPr>
              <w:widowControl/>
              <w:spacing w:line="240" w:lineRule="auto"/>
              <w:ind w:firstLine="0" w:firstLineChars="0"/>
              <w:jc w:val="right"/>
              <w:textAlignment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D9F2A21">
            <w:pPr>
              <w:widowControl/>
              <w:spacing w:line="240" w:lineRule="auto"/>
              <w:ind w:firstLine="0" w:firstLineChars="0"/>
              <w:jc w:val="right"/>
              <w:textAlignment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421E41">
            <w:pPr>
              <w:widowControl/>
              <w:spacing w:line="240" w:lineRule="auto"/>
              <w:ind w:firstLine="0" w:firstLineChars="0"/>
              <w:rPr>
                <w:rFonts w:ascii="宋体" w:hAnsi="宋体" w:eastAsia="宋体" w:cs="宋体"/>
                <w:color w:val="000000"/>
                <w:sz w:val="22"/>
                <w:szCs w:val="22"/>
              </w:rPr>
            </w:pPr>
          </w:p>
        </w:tc>
      </w:tr>
      <w:tr w14:paraId="505BCE2F">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37742D5">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19</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6FE28C7">
            <w:pPr>
              <w:widowControl/>
              <w:spacing w:line="240" w:lineRule="auto"/>
              <w:ind w:firstLine="0" w:firstLineChars="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卫生监督检测经费</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AF613DC">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927DC26">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0BB528B">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23C87AD">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52DBD90">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0B186C8">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9BBB61C">
            <w:pPr>
              <w:widowControl/>
              <w:spacing w:line="240" w:lineRule="auto"/>
              <w:ind w:firstLine="0" w:firstLineChars="0"/>
              <w:jc w:val="righ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27EFED9">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DEE586">
            <w:pPr>
              <w:widowControl/>
              <w:spacing w:line="240" w:lineRule="auto"/>
              <w:ind w:firstLine="0" w:firstLineChars="0"/>
              <w:rPr>
                <w:rFonts w:ascii="宋体" w:hAnsi="宋体" w:eastAsia="宋体" w:cs="宋体"/>
                <w:color w:val="000000"/>
                <w:sz w:val="22"/>
                <w:szCs w:val="22"/>
              </w:rPr>
            </w:pPr>
          </w:p>
        </w:tc>
      </w:tr>
      <w:tr w14:paraId="172B8C8E">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D2201B2">
            <w:pPr>
              <w:widowControl/>
              <w:spacing w:line="240" w:lineRule="auto"/>
              <w:ind w:firstLine="0" w:firstLineChars="0"/>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20</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143A1E2">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医疗卫生项目前期费尾款</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547D7F5">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B16AA34">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91AAA43">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A8D783D">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36BB626">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8F4E91E">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88.4</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C525E75">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283BB41">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F57B7EE">
            <w:pPr>
              <w:widowControl/>
              <w:spacing w:line="240" w:lineRule="auto"/>
              <w:ind w:firstLine="0" w:firstLineChars="0"/>
              <w:rPr>
                <w:rFonts w:ascii="宋体" w:hAnsi="宋体" w:eastAsia="宋体" w:cs="宋体"/>
                <w:color w:val="000000"/>
                <w:sz w:val="22"/>
                <w:szCs w:val="22"/>
              </w:rPr>
            </w:pPr>
          </w:p>
        </w:tc>
      </w:tr>
      <w:tr w14:paraId="69ED34D2">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76AABBF">
            <w:pPr>
              <w:widowControl/>
              <w:spacing w:line="240" w:lineRule="auto"/>
              <w:ind w:firstLine="0" w:firstLineChars="0"/>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21</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1A8E852">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202</w:t>
            </w:r>
            <w:r>
              <w:rPr>
                <w:rFonts w:hint="eastAsia" w:ascii="宋体" w:hAnsi="宋体" w:eastAsia="宋体" w:cs="宋体"/>
                <w:color w:val="000000"/>
                <w:kern w:val="0"/>
                <w:sz w:val="22"/>
                <w:szCs w:val="22"/>
                <w:lang w:val="en-US" w:eastAsia="zh-CN"/>
              </w:rPr>
              <w:t>3</w:t>
            </w:r>
            <w:r>
              <w:rPr>
                <w:rFonts w:hint="eastAsia" w:ascii="宋体" w:hAnsi="宋体" w:eastAsia="宋体" w:cs="宋体"/>
                <w:color w:val="000000"/>
                <w:kern w:val="0"/>
                <w:sz w:val="22"/>
                <w:szCs w:val="22"/>
              </w:rPr>
              <w:t>年</w:t>
            </w:r>
            <w:r>
              <w:rPr>
                <w:rFonts w:hint="eastAsia" w:ascii="宋体" w:hAnsi="宋体" w:eastAsia="宋体" w:cs="宋体"/>
                <w:color w:val="000000"/>
                <w:kern w:val="0"/>
                <w:sz w:val="22"/>
                <w:szCs w:val="22"/>
                <w:lang w:eastAsia="zh-CN"/>
              </w:rPr>
              <w:t>中医药事业传承与发展部分项目</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65E1F41">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36BB592">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200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EA253B0">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200</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038FF33">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F2AAF33">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C0BD0D0">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200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0959489">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413FA9">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DC16762">
            <w:pPr>
              <w:widowControl/>
              <w:spacing w:line="240" w:lineRule="auto"/>
              <w:ind w:firstLine="0" w:firstLineChars="0"/>
              <w:rPr>
                <w:rFonts w:ascii="宋体" w:hAnsi="宋体" w:eastAsia="宋体" w:cs="宋体"/>
                <w:color w:val="000000"/>
                <w:sz w:val="22"/>
                <w:szCs w:val="22"/>
              </w:rPr>
            </w:pPr>
          </w:p>
        </w:tc>
      </w:tr>
      <w:tr w14:paraId="461EABF9">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E307949">
            <w:pPr>
              <w:widowControl/>
              <w:spacing w:line="240" w:lineRule="auto"/>
              <w:ind w:firstLine="0" w:firstLineChars="0"/>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22</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2FB6B52">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202</w:t>
            </w:r>
            <w:r>
              <w:rPr>
                <w:rFonts w:hint="eastAsia" w:ascii="宋体" w:hAnsi="宋体" w:eastAsia="宋体" w:cs="宋体"/>
                <w:color w:val="000000"/>
                <w:kern w:val="0"/>
                <w:sz w:val="22"/>
                <w:szCs w:val="22"/>
                <w:lang w:val="en-US" w:eastAsia="zh-CN"/>
              </w:rPr>
              <w:t>3</w:t>
            </w:r>
            <w:r>
              <w:rPr>
                <w:rFonts w:hint="eastAsia" w:ascii="宋体" w:hAnsi="宋体" w:eastAsia="宋体" w:cs="宋体"/>
                <w:color w:val="000000"/>
                <w:kern w:val="0"/>
                <w:sz w:val="22"/>
                <w:szCs w:val="22"/>
              </w:rPr>
              <w:t>年重大传染病防控经费项目</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D08C841">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4C73E66">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296.86</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A204B0F">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296.86</w:t>
            </w:r>
            <w:r>
              <w:rPr>
                <w:rFonts w:hint="eastAsia" w:ascii="宋体" w:hAnsi="宋体" w:eastAsia="宋体" w:cs="宋体"/>
                <w:color w:val="000000"/>
                <w:kern w:val="0"/>
                <w:sz w:val="22"/>
                <w:szCs w:val="22"/>
              </w:rPr>
              <w:t xml:space="preserve"> </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6E5AF20">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47C2308">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A7E5B37">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296.86</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52B9248">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100</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7E63F6">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8027099">
            <w:pPr>
              <w:widowControl/>
              <w:spacing w:line="240" w:lineRule="auto"/>
              <w:ind w:firstLine="0" w:firstLineChars="0"/>
              <w:rPr>
                <w:rFonts w:ascii="宋体" w:hAnsi="宋体" w:eastAsia="宋体" w:cs="宋体"/>
                <w:color w:val="000000"/>
                <w:sz w:val="22"/>
                <w:szCs w:val="22"/>
              </w:rPr>
            </w:pPr>
          </w:p>
        </w:tc>
      </w:tr>
      <w:tr w14:paraId="121FC324">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207AAFC">
            <w:pPr>
              <w:widowControl/>
              <w:spacing w:line="240" w:lineRule="auto"/>
              <w:ind w:firstLine="0" w:firstLineChars="0"/>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23</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ECC1264">
            <w:pPr>
              <w:widowControl/>
              <w:spacing w:line="240" w:lineRule="auto"/>
              <w:ind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202</w:t>
            </w:r>
            <w:r>
              <w:rPr>
                <w:rFonts w:hint="eastAsia" w:ascii="宋体" w:hAnsi="宋体" w:eastAsia="宋体" w:cs="宋体"/>
                <w:color w:val="000000"/>
                <w:kern w:val="0"/>
                <w:sz w:val="22"/>
                <w:szCs w:val="22"/>
                <w:lang w:val="en-US" w:eastAsia="zh-CN"/>
              </w:rPr>
              <w:t>3</w:t>
            </w:r>
            <w:r>
              <w:rPr>
                <w:rFonts w:hint="eastAsia" w:ascii="宋体" w:hAnsi="宋体" w:eastAsia="宋体" w:cs="宋体"/>
                <w:color w:val="000000"/>
                <w:kern w:val="0"/>
                <w:sz w:val="22"/>
                <w:szCs w:val="22"/>
              </w:rPr>
              <w:t>年基本药物制度补助经费项目</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B07CA27">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363812A">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268.32</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C10106B">
            <w:pPr>
              <w:widowControl/>
              <w:spacing w:line="240" w:lineRule="auto"/>
              <w:ind w:firstLine="0" w:firstLineChars="0"/>
              <w:jc w:val="right"/>
              <w:textAlignment w:val="center"/>
              <w:rPr>
                <w:rFonts w:hint="default" w:ascii="宋体" w:hAnsi="宋体" w:eastAsia="宋体" w:cs="宋体"/>
                <w:color w:val="000000"/>
                <w:sz w:val="22"/>
                <w:szCs w:val="22"/>
                <w:lang w:val="en-US"/>
              </w:rPr>
            </w:pPr>
            <w:r>
              <w:rPr>
                <w:rFonts w:hint="eastAsia" w:ascii="宋体" w:hAnsi="宋体" w:eastAsia="宋体" w:cs="宋体"/>
                <w:color w:val="000000"/>
                <w:kern w:val="0"/>
                <w:sz w:val="22"/>
                <w:szCs w:val="22"/>
                <w:lang w:val="en-US" w:eastAsia="zh-CN"/>
              </w:rPr>
              <w:t>268.32</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3853FC3">
            <w:pPr>
              <w:widowControl/>
              <w:spacing w:line="240" w:lineRule="auto"/>
              <w:ind w:firstLine="0" w:firstLineChars="0"/>
              <w:rPr>
                <w:rFonts w:hint="default" w:ascii="宋体" w:hAnsi="宋体" w:eastAsia="宋体" w:cs="宋体"/>
                <w:color w:val="000000"/>
                <w:sz w:val="22"/>
                <w:szCs w:val="22"/>
                <w:lang w:val="en-US"/>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606DCBF">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33CDB22">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268.32</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15040C6">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51D842A">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660B0A">
            <w:pPr>
              <w:widowControl/>
              <w:spacing w:line="240" w:lineRule="auto"/>
              <w:ind w:firstLine="0" w:firstLineChars="0"/>
              <w:rPr>
                <w:rFonts w:ascii="宋体" w:hAnsi="宋体" w:eastAsia="宋体" w:cs="宋体"/>
                <w:color w:val="000000"/>
                <w:sz w:val="22"/>
                <w:szCs w:val="22"/>
              </w:rPr>
            </w:pPr>
          </w:p>
        </w:tc>
      </w:tr>
      <w:tr w14:paraId="27F010E8">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5BBE78D">
            <w:pPr>
              <w:widowControl/>
              <w:spacing w:line="240" w:lineRule="auto"/>
              <w:ind w:firstLine="0" w:firstLineChars="0"/>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24</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C8C9843">
            <w:pPr>
              <w:widowControl/>
              <w:spacing w:line="240" w:lineRule="auto"/>
              <w:ind w:firstLine="0" w:firstLineChars="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基层医疗机构改扩建项目</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C23E0C9">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2A2452">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800</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BA7C457">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800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904AB38">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60CA9BE">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D4CD827">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800</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3DAC747">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59CD419">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3EC9719">
            <w:pPr>
              <w:widowControl/>
              <w:spacing w:line="240" w:lineRule="auto"/>
              <w:ind w:firstLine="0" w:firstLineChars="0"/>
              <w:rPr>
                <w:rFonts w:ascii="宋体" w:hAnsi="宋体" w:eastAsia="宋体" w:cs="宋体"/>
                <w:color w:val="000000"/>
                <w:sz w:val="22"/>
                <w:szCs w:val="22"/>
              </w:rPr>
            </w:pPr>
          </w:p>
        </w:tc>
      </w:tr>
      <w:tr w14:paraId="2BDFAA90">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DF454AD">
            <w:pPr>
              <w:widowControl/>
              <w:spacing w:line="240" w:lineRule="auto"/>
              <w:ind w:firstLine="0" w:firstLineChars="0"/>
              <w:jc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25</w:t>
            </w: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2D92B95">
            <w:pPr>
              <w:widowControl/>
              <w:spacing w:line="240" w:lineRule="auto"/>
              <w:ind w:firstLine="0" w:firstLineChars="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2023年其他专项资金</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5C2934F">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5364B65">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556.3</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05E765A">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556.3</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76B8869">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F805712">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02CC137">
            <w:pPr>
              <w:widowControl/>
              <w:spacing w:line="240" w:lineRule="auto"/>
              <w:ind w:firstLine="0" w:firstLineChars="0"/>
              <w:jc w:val="righ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556.3</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3570EB8">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1F0E768">
            <w:pPr>
              <w:widowControl/>
              <w:spacing w:line="240" w:lineRule="auto"/>
              <w:ind w:firstLine="0" w:firstLineChars="0"/>
              <w:jc w:val="right"/>
              <w:textAlignment w:val="center"/>
              <w:rPr>
                <w:rFonts w:hint="eastAsia"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szCs w:val="22"/>
              </w:rPr>
              <w:t>100</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94D43D6">
            <w:pPr>
              <w:widowControl/>
              <w:spacing w:line="240" w:lineRule="auto"/>
              <w:ind w:firstLine="0" w:firstLineChars="0"/>
              <w:rPr>
                <w:rFonts w:ascii="宋体" w:hAnsi="宋体" w:eastAsia="宋体" w:cs="宋体"/>
                <w:color w:val="000000"/>
                <w:sz w:val="22"/>
                <w:szCs w:val="22"/>
              </w:rPr>
            </w:pPr>
          </w:p>
        </w:tc>
      </w:tr>
      <w:tr w14:paraId="72C1CA91">
        <w:tblPrEx>
          <w:tblCellMar>
            <w:top w:w="0" w:type="dxa"/>
            <w:left w:w="0" w:type="dxa"/>
            <w:bottom w:w="0" w:type="dxa"/>
            <w:right w:w="0" w:type="dxa"/>
          </w:tblCellMar>
        </w:tblPrEx>
        <w:trPr>
          <w:trHeight w:val="60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49A570C">
            <w:pPr>
              <w:widowControl/>
              <w:spacing w:line="240" w:lineRule="auto"/>
              <w:ind w:firstLine="0" w:firstLineChars="0"/>
              <w:jc w:val="center"/>
              <w:rPr>
                <w:rFonts w:ascii="宋体" w:hAnsi="宋体" w:eastAsia="宋体" w:cs="宋体"/>
                <w:color w:val="000000"/>
                <w:sz w:val="22"/>
                <w:szCs w:val="22"/>
              </w:rPr>
            </w:pPr>
          </w:p>
        </w:tc>
        <w:tc>
          <w:tcPr>
            <w:tcW w:w="17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EC9A541">
            <w:pPr>
              <w:widowControl/>
              <w:spacing w:line="240" w:lineRule="auto"/>
              <w:ind w:firstLine="0" w:firstLineChars="0"/>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合计</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E9E0D83">
            <w:pPr>
              <w:widowControl/>
              <w:spacing w:line="240" w:lineRule="auto"/>
              <w:ind w:firstLine="0" w:firstLineChars="0"/>
              <w:rPr>
                <w:rFonts w:ascii="宋体" w:hAnsi="宋体" w:eastAsia="宋体" w:cs="宋体"/>
                <w:color w:val="000000"/>
                <w:sz w:val="22"/>
                <w:szCs w:val="22"/>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8DB80D2">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11680.52</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86CD1D3">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11680.52</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D166784">
            <w:pPr>
              <w:widowControl/>
              <w:spacing w:line="240" w:lineRule="auto"/>
              <w:ind w:firstLine="0" w:firstLineChars="0"/>
              <w:rPr>
                <w:rFonts w:ascii="宋体" w:hAnsi="宋体" w:eastAsia="宋体" w:cs="宋体"/>
                <w:color w:val="000000"/>
                <w:sz w:val="22"/>
                <w:szCs w:val="22"/>
              </w:rPr>
            </w:pP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1BB87C7">
            <w:pPr>
              <w:widowControl/>
              <w:spacing w:line="240" w:lineRule="auto"/>
              <w:ind w:firstLine="0" w:firstLineChars="0"/>
              <w:rPr>
                <w:rFonts w:ascii="宋体" w:hAnsi="宋体" w:eastAsia="宋体" w:cs="宋体"/>
                <w:color w:val="000000"/>
                <w:sz w:val="22"/>
                <w:szCs w:val="22"/>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97EFA22">
            <w:pPr>
              <w:widowControl/>
              <w:spacing w:line="240" w:lineRule="auto"/>
              <w:ind w:firstLine="0" w:firstLineChars="0"/>
              <w:jc w:val="right"/>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rPr>
              <w:t>10768.54</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C891C91">
            <w:pPr>
              <w:widowControl/>
              <w:spacing w:line="240" w:lineRule="auto"/>
              <w:ind w:firstLine="0" w:firstLineChars="0"/>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rPr>
              <w:t>98.36</w:t>
            </w:r>
            <w:r>
              <w:rPr>
                <w:rFonts w:hint="eastAsia" w:ascii="宋体" w:hAnsi="宋体" w:eastAsia="宋体" w:cs="宋体"/>
                <w:color w:val="000000"/>
                <w:kern w:val="0"/>
                <w:sz w:val="22"/>
                <w:szCs w:val="22"/>
              </w:rPr>
              <w:t>%</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219E90C">
            <w:pPr>
              <w:widowControl/>
              <w:spacing w:line="240" w:lineRule="auto"/>
              <w:ind w:firstLine="0" w:firstLineChars="0"/>
              <w:jc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98.62</w:t>
            </w:r>
          </w:p>
        </w:tc>
        <w:tc>
          <w:tcPr>
            <w:tcW w:w="192"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5CA192C">
            <w:pPr>
              <w:widowControl/>
              <w:spacing w:line="240" w:lineRule="auto"/>
              <w:ind w:firstLine="0" w:firstLineChars="0"/>
              <w:rPr>
                <w:rFonts w:ascii="宋体" w:hAnsi="宋体" w:eastAsia="宋体" w:cs="宋体"/>
                <w:color w:val="000000"/>
                <w:sz w:val="22"/>
                <w:szCs w:val="22"/>
              </w:rPr>
            </w:pPr>
          </w:p>
        </w:tc>
      </w:tr>
    </w:tbl>
    <w:p w14:paraId="4BCC9979">
      <w:pPr>
        <w:rPr>
          <w:rFonts w:hint="eastAsia" w:eastAsia="仿宋_GB2312"/>
          <w:lang w:eastAsia="zh-CN"/>
        </w:rPr>
        <w:sectPr>
          <w:pgSz w:w="16838" w:h="11906" w:orient="landscape"/>
          <w:pgMar w:top="1800" w:right="1440" w:bottom="1800" w:left="1440" w:header="851" w:footer="992" w:gutter="0"/>
          <w:cols w:space="425" w:num="1"/>
          <w:docGrid w:type="lines" w:linePitch="312" w:charSpace="0"/>
        </w:sectPr>
      </w:pPr>
    </w:p>
    <w:p w14:paraId="7A1F78BA">
      <w:pPr>
        <w:spacing w:before="111" w:line="560" w:lineRule="exact"/>
        <w:ind w:firstLine="0" w:firstLineChars="0"/>
        <w:outlineLvl w:val="1"/>
        <w:rPr>
          <w:rFonts w:ascii="宋体" w:hAnsi="宋体" w:eastAsia="宋体" w:cs="宋体"/>
          <w:b/>
          <w:bCs/>
          <w:lang w:val="en-US" w:eastAsia="zh-CN"/>
        </w:rPr>
      </w:pPr>
      <w:r>
        <w:rPr>
          <w:rFonts w:hint="eastAsia" w:ascii="宋体" w:hAnsi="宋体" w:eastAsia="宋体" w:cs="宋体"/>
          <w:b/>
          <w:bCs/>
          <w:lang w:val="en-US" w:eastAsia="zh-CN"/>
        </w:rPr>
        <w:t>附件1</w:t>
      </w:r>
    </w:p>
    <w:p w14:paraId="528DDFD9">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6EA4AF1C">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876"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5"/>
        <w:gridCol w:w="826"/>
        <w:gridCol w:w="914"/>
        <w:gridCol w:w="284"/>
        <w:gridCol w:w="1100"/>
        <w:gridCol w:w="216"/>
        <w:gridCol w:w="973"/>
        <w:gridCol w:w="899"/>
        <w:gridCol w:w="616"/>
        <w:gridCol w:w="78"/>
        <w:gridCol w:w="713"/>
        <w:gridCol w:w="87"/>
        <w:gridCol w:w="615"/>
        <w:gridCol w:w="860"/>
      </w:tblGrid>
      <w:tr w14:paraId="2DA58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1521" w:type="dxa"/>
            <w:gridSpan w:val="2"/>
            <w:noWrap w:val="0"/>
            <w:vAlign w:val="center"/>
          </w:tcPr>
          <w:p w14:paraId="55A838F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355" w:type="dxa"/>
            <w:gridSpan w:val="12"/>
            <w:noWrap w:val="0"/>
            <w:vAlign w:val="center"/>
          </w:tcPr>
          <w:p w14:paraId="21DE949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lang w:val="en-US" w:eastAsia="zh-CN"/>
              </w:rPr>
              <w:t>干部体检费</w:t>
            </w:r>
          </w:p>
        </w:tc>
      </w:tr>
      <w:tr w14:paraId="3168D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1521" w:type="dxa"/>
            <w:gridSpan w:val="2"/>
            <w:noWrap w:val="0"/>
            <w:vAlign w:val="center"/>
          </w:tcPr>
          <w:p w14:paraId="7871E1F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487" w:type="dxa"/>
            <w:gridSpan w:val="5"/>
            <w:noWrap w:val="0"/>
            <w:vAlign w:val="center"/>
          </w:tcPr>
          <w:p w14:paraId="4CCFB91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lang w:val="en-US" w:eastAsia="zh-CN"/>
              </w:rPr>
              <w:t>甘肃省卫生健康委员会</w:t>
            </w:r>
          </w:p>
        </w:tc>
        <w:tc>
          <w:tcPr>
            <w:tcW w:w="1515" w:type="dxa"/>
            <w:gridSpan w:val="2"/>
            <w:noWrap w:val="0"/>
            <w:vAlign w:val="center"/>
          </w:tcPr>
          <w:p w14:paraId="4C53158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353" w:type="dxa"/>
            <w:gridSpan w:val="5"/>
            <w:noWrap w:val="0"/>
            <w:vAlign w:val="center"/>
          </w:tcPr>
          <w:p w14:paraId="626429D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lang w:val="en-US" w:eastAsia="zh-CN"/>
              </w:rPr>
              <w:t>兰州新区卫生健康委员会</w:t>
            </w:r>
          </w:p>
        </w:tc>
      </w:tr>
      <w:tr w14:paraId="4D7E8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1521" w:type="dxa"/>
            <w:gridSpan w:val="2"/>
            <w:vMerge w:val="restart"/>
            <w:noWrap w:val="0"/>
            <w:vAlign w:val="center"/>
          </w:tcPr>
          <w:p w14:paraId="0AEF512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98" w:type="dxa"/>
            <w:gridSpan w:val="2"/>
            <w:noWrap w:val="0"/>
            <w:vAlign w:val="center"/>
          </w:tcPr>
          <w:p w14:paraId="4161CB1F">
            <w:pPr>
              <w:spacing w:line="240" w:lineRule="auto"/>
              <w:ind w:firstLine="0" w:firstLineChars="0"/>
              <w:jc w:val="center"/>
              <w:rPr>
                <w:rFonts w:hint="eastAsia" w:ascii="宋体" w:hAnsi="宋体" w:eastAsia="宋体" w:cs="宋体"/>
                <w:sz w:val="22"/>
                <w:szCs w:val="22"/>
              </w:rPr>
            </w:pPr>
          </w:p>
        </w:tc>
        <w:tc>
          <w:tcPr>
            <w:tcW w:w="1100" w:type="dxa"/>
            <w:noWrap w:val="0"/>
            <w:vAlign w:val="center"/>
          </w:tcPr>
          <w:p w14:paraId="50157F8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189" w:type="dxa"/>
            <w:gridSpan w:val="2"/>
            <w:noWrap w:val="0"/>
            <w:vAlign w:val="center"/>
          </w:tcPr>
          <w:p w14:paraId="58AFE16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515" w:type="dxa"/>
            <w:gridSpan w:val="2"/>
            <w:noWrap w:val="0"/>
            <w:vAlign w:val="center"/>
          </w:tcPr>
          <w:p w14:paraId="6094A84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91" w:type="dxa"/>
            <w:gridSpan w:val="2"/>
            <w:noWrap w:val="0"/>
            <w:vAlign w:val="center"/>
          </w:tcPr>
          <w:p w14:paraId="663C2DA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02" w:type="dxa"/>
            <w:gridSpan w:val="2"/>
            <w:noWrap w:val="0"/>
            <w:vAlign w:val="center"/>
          </w:tcPr>
          <w:p w14:paraId="734CA78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860" w:type="dxa"/>
            <w:noWrap w:val="0"/>
            <w:vAlign w:val="center"/>
          </w:tcPr>
          <w:p w14:paraId="3D352FD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178DE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1521" w:type="dxa"/>
            <w:gridSpan w:val="2"/>
            <w:vMerge w:val="continue"/>
            <w:noWrap w:val="0"/>
            <w:vAlign w:val="center"/>
          </w:tcPr>
          <w:p w14:paraId="4B023474">
            <w:pPr>
              <w:spacing w:line="240" w:lineRule="auto"/>
              <w:ind w:firstLine="0" w:firstLineChars="0"/>
              <w:jc w:val="center"/>
              <w:rPr>
                <w:rFonts w:hint="eastAsia" w:ascii="宋体" w:hAnsi="宋体" w:eastAsia="宋体" w:cs="宋体"/>
                <w:sz w:val="22"/>
                <w:szCs w:val="22"/>
              </w:rPr>
            </w:pPr>
          </w:p>
        </w:tc>
        <w:tc>
          <w:tcPr>
            <w:tcW w:w="1198" w:type="dxa"/>
            <w:gridSpan w:val="2"/>
            <w:noWrap w:val="0"/>
            <w:vAlign w:val="center"/>
          </w:tcPr>
          <w:p w14:paraId="3F94B74B">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21195FE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100" w:type="dxa"/>
            <w:noWrap w:val="0"/>
            <w:vAlign w:val="center"/>
          </w:tcPr>
          <w:p w14:paraId="0D5F829C">
            <w:pPr>
              <w:spacing w:line="240" w:lineRule="auto"/>
              <w:ind w:firstLine="0" w:firstLineChars="0"/>
              <w:jc w:val="center"/>
              <w:rPr>
                <w:rFonts w:hint="default"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500万元</w:t>
            </w:r>
          </w:p>
        </w:tc>
        <w:tc>
          <w:tcPr>
            <w:tcW w:w="1189" w:type="dxa"/>
            <w:gridSpan w:val="2"/>
            <w:noWrap w:val="0"/>
            <w:vAlign w:val="center"/>
          </w:tcPr>
          <w:p w14:paraId="190C1DD6">
            <w:pPr>
              <w:spacing w:line="240" w:lineRule="auto"/>
              <w:ind w:firstLine="0" w:firstLineChars="0"/>
              <w:jc w:val="center"/>
              <w:rPr>
                <w:rFonts w:hint="default"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500万元</w:t>
            </w:r>
          </w:p>
        </w:tc>
        <w:tc>
          <w:tcPr>
            <w:tcW w:w="1515" w:type="dxa"/>
            <w:gridSpan w:val="2"/>
            <w:noWrap w:val="0"/>
            <w:vAlign w:val="center"/>
          </w:tcPr>
          <w:p w14:paraId="496F7A0C">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500万元</w:t>
            </w:r>
          </w:p>
        </w:tc>
        <w:tc>
          <w:tcPr>
            <w:tcW w:w="791" w:type="dxa"/>
            <w:gridSpan w:val="2"/>
            <w:noWrap w:val="0"/>
            <w:vAlign w:val="center"/>
          </w:tcPr>
          <w:p w14:paraId="0B3A0F7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702" w:type="dxa"/>
            <w:gridSpan w:val="2"/>
            <w:noWrap w:val="0"/>
            <w:vAlign w:val="center"/>
          </w:tcPr>
          <w:p w14:paraId="5C0F5E7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860" w:type="dxa"/>
            <w:noWrap w:val="0"/>
            <w:vAlign w:val="center"/>
          </w:tcPr>
          <w:p w14:paraId="157C814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76404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1521" w:type="dxa"/>
            <w:gridSpan w:val="2"/>
            <w:vMerge w:val="continue"/>
            <w:noWrap w:val="0"/>
            <w:vAlign w:val="center"/>
          </w:tcPr>
          <w:p w14:paraId="187A7F81">
            <w:pPr>
              <w:spacing w:line="240" w:lineRule="auto"/>
              <w:ind w:firstLine="0" w:firstLineChars="0"/>
              <w:jc w:val="center"/>
              <w:rPr>
                <w:rFonts w:hint="eastAsia" w:ascii="宋体" w:hAnsi="宋体" w:eastAsia="宋体" w:cs="宋体"/>
                <w:sz w:val="22"/>
                <w:szCs w:val="22"/>
              </w:rPr>
            </w:pPr>
          </w:p>
        </w:tc>
        <w:tc>
          <w:tcPr>
            <w:tcW w:w="1198" w:type="dxa"/>
            <w:gridSpan w:val="2"/>
            <w:noWrap w:val="0"/>
            <w:vAlign w:val="center"/>
          </w:tcPr>
          <w:p w14:paraId="14039F4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100" w:type="dxa"/>
            <w:noWrap w:val="0"/>
            <w:vAlign w:val="center"/>
          </w:tcPr>
          <w:p w14:paraId="544FF15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500万元</w:t>
            </w:r>
          </w:p>
        </w:tc>
        <w:tc>
          <w:tcPr>
            <w:tcW w:w="1189" w:type="dxa"/>
            <w:gridSpan w:val="2"/>
            <w:noWrap w:val="0"/>
            <w:vAlign w:val="center"/>
          </w:tcPr>
          <w:p w14:paraId="7884344D">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500万元</w:t>
            </w:r>
          </w:p>
        </w:tc>
        <w:tc>
          <w:tcPr>
            <w:tcW w:w="1515" w:type="dxa"/>
            <w:gridSpan w:val="2"/>
            <w:noWrap w:val="0"/>
            <w:vAlign w:val="center"/>
          </w:tcPr>
          <w:p w14:paraId="514CEACF">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500万元</w:t>
            </w:r>
          </w:p>
        </w:tc>
        <w:tc>
          <w:tcPr>
            <w:tcW w:w="791" w:type="dxa"/>
            <w:gridSpan w:val="2"/>
            <w:noWrap w:val="0"/>
            <w:vAlign w:val="center"/>
          </w:tcPr>
          <w:p w14:paraId="16A4A9A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702" w:type="dxa"/>
            <w:gridSpan w:val="2"/>
            <w:noWrap w:val="0"/>
            <w:vAlign w:val="center"/>
          </w:tcPr>
          <w:p w14:paraId="07B530F9">
            <w:pPr>
              <w:spacing w:line="240" w:lineRule="auto"/>
              <w:ind w:firstLine="0" w:firstLineChars="0"/>
              <w:jc w:val="center"/>
              <w:rPr>
                <w:rFonts w:hint="eastAsia" w:ascii="宋体" w:hAnsi="宋体" w:eastAsia="宋体" w:cs="宋体"/>
                <w:sz w:val="22"/>
                <w:szCs w:val="22"/>
              </w:rPr>
            </w:pPr>
          </w:p>
        </w:tc>
        <w:tc>
          <w:tcPr>
            <w:tcW w:w="860" w:type="dxa"/>
            <w:noWrap w:val="0"/>
            <w:vAlign w:val="center"/>
          </w:tcPr>
          <w:p w14:paraId="78F6253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61132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1521" w:type="dxa"/>
            <w:gridSpan w:val="2"/>
            <w:vMerge w:val="continue"/>
            <w:noWrap w:val="0"/>
            <w:vAlign w:val="center"/>
          </w:tcPr>
          <w:p w14:paraId="7BF79AC8">
            <w:pPr>
              <w:spacing w:line="240" w:lineRule="auto"/>
              <w:ind w:firstLine="0" w:firstLineChars="0"/>
              <w:jc w:val="center"/>
              <w:rPr>
                <w:rFonts w:hint="eastAsia" w:ascii="宋体" w:hAnsi="宋体" w:eastAsia="宋体" w:cs="宋体"/>
                <w:sz w:val="22"/>
                <w:szCs w:val="22"/>
              </w:rPr>
            </w:pPr>
          </w:p>
        </w:tc>
        <w:tc>
          <w:tcPr>
            <w:tcW w:w="1198" w:type="dxa"/>
            <w:gridSpan w:val="2"/>
            <w:noWrap w:val="0"/>
            <w:vAlign w:val="center"/>
          </w:tcPr>
          <w:p w14:paraId="65647070">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48DC0BE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100" w:type="dxa"/>
            <w:noWrap w:val="0"/>
            <w:vAlign w:val="center"/>
          </w:tcPr>
          <w:p w14:paraId="02B4768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189" w:type="dxa"/>
            <w:gridSpan w:val="2"/>
            <w:noWrap w:val="0"/>
            <w:vAlign w:val="center"/>
          </w:tcPr>
          <w:p w14:paraId="05AADCB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515" w:type="dxa"/>
            <w:gridSpan w:val="2"/>
            <w:noWrap w:val="0"/>
            <w:vAlign w:val="center"/>
          </w:tcPr>
          <w:p w14:paraId="38BC182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791" w:type="dxa"/>
            <w:gridSpan w:val="2"/>
            <w:noWrap w:val="0"/>
            <w:vAlign w:val="center"/>
          </w:tcPr>
          <w:p w14:paraId="790BF9A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702" w:type="dxa"/>
            <w:gridSpan w:val="2"/>
            <w:noWrap w:val="0"/>
            <w:vAlign w:val="center"/>
          </w:tcPr>
          <w:p w14:paraId="7CF43480">
            <w:pPr>
              <w:spacing w:line="240" w:lineRule="auto"/>
              <w:ind w:firstLine="0" w:firstLineChars="0"/>
              <w:jc w:val="center"/>
              <w:rPr>
                <w:rFonts w:hint="eastAsia" w:ascii="宋体" w:hAnsi="宋体" w:eastAsia="宋体" w:cs="宋体"/>
                <w:sz w:val="22"/>
                <w:szCs w:val="22"/>
              </w:rPr>
            </w:pPr>
          </w:p>
        </w:tc>
        <w:tc>
          <w:tcPr>
            <w:tcW w:w="860" w:type="dxa"/>
            <w:noWrap w:val="0"/>
            <w:vAlign w:val="center"/>
          </w:tcPr>
          <w:p w14:paraId="66E0DB4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2CFE4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1521" w:type="dxa"/>
            <w:gridSpan w:val="2"/>
            <w:vMerge w:val="continue"/>
            <w:noWrap w:val="0"/>
            <w:vAlign w:val="center"/>
          </w:tcPr>
          <w:p w14:paraId="52B894DA">
            <w:pPr>
              <w:spacing w:line="240" w:lineRule="auto"/>
              <w:ind w:firstLine="0" w:firstLineChars="0"/>
              <w:jc w:val="center"/>
              <w:rPr>
                <w:rFonts w:hint="eastAsia" w:ascii="宋体" w:hAnsi="宋体" w:eastAsia="宋体" w:cs="宋体"/>
                <w:sz w:val="22"/>
                <w:szCs w:val="22"/>
              </w:rPr>
            </w:pPr>
          </w:p>
        </w:tc>
        <w:tc>
          <w:tcPr>
            <w:tcW w:w="1198" w:type="dxa"/>
            <w:gridSpan w:val="2"/>
            <w:noWrap w:val="0"/>
            <w:vAlign w:val="center"/>
          </w:tcPr>
          <w:p w14:paraId="398AD2F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100" w:type="dxa"/>
            <w:noWrap w:val="0"/>
            <w:vAlign w:val="center"/>
          </w:tcPr>
          <w:p w14:paraId="2D46684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189" w:type="dxa"/>
            <w:gridSpan w:val="2"/>
            <w:noWrap w:val="0"/>
            <w:vAlign w:val="center"/>
          </w:tcPr>
          <w:p w14:paraId="7DB9DF5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515" w:type="dxa"/>
            <w:gridSpan w:val="2"/>
            <w:noWrap w:val="0"/>
            <w:vAlign w:val="center"/>
          </w:tcPr>
          <w:p w14:paraId="2A619F3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791" w:type="dxa"/>
            <w:gridSpan w:val="2"/>
            <w:noWrap w:val="0"/>
            <w:vAlign w:val="center"/>
          </w:tcPr>
          <w:p w14:paraId="3FE7375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702" w:type="dxa"/>
            <w:gridSpan w:val="2"/>
            <w:noWrap w:val="0"/>
            <w:vAlign w:val="center"/>
          </w:tcPr>
          <w:p w14:paraId="517DC8E4">
            <w:pPr>
              <w:spacing w:line="240" w:lineRule="auto"/>
              <w:ind w:firstLine="0" w:firstLineChars="0"/>
              <w:jc w:val="center"/>
              <w:rPr>
                <w:rFonts w:hint="eastAsia" w:ascii="宋体" w:hAnsi="宋体" w:eastAsia="宋体" w:cs="宋体"/>
                <w:sz w:val="22"/>
                <w:szCs w:val="22"/>
              </w:rPr>
            </w:pPr>
          </w:p>
        </w:tc>
        <w:tc>
          <w:tcPr>
            <w:tcW w:w="860" w:type="dxa"/>
            <w:noWrap w:val="0"/>
            <w:vAlign w:val="center"/>
          </w:tcPr>
          <w:p w14:paraId="62E94AB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DB49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695" w:type="dxa"/>
            <w:vMerge w:val="restart"/>
            <w:noWrap w:val="0"/>
            <w:vAlign w:val="center"/>
          </w:tcPr>
          <w:p w14:paraId="5D81ED3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313" w:type="dxa"/>
            <w:gridSpan w:val="6"/>
            <w:noWrap w:val="0"/>
            <w:vAlign w:val="center"/>
          </w:tcPr>
          <w:p w14:paraId="6FF9254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868" w:type="dxa"/>
            <w:gridSpan w:val="7"/>
            <w:noWrap w:val="0"/>
            <w:vAlign w:val="center"/>
          </w:tcPr>
          <w:p w14:paraId="1BEF3C1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2BF51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7" w:hRule="atLeast"/>
        </w:trPr>
        <w:tc>
          <w:tcPr>
            <w:tcW w:w="695" w:type="dxa"/>
            <w:vMerge w:val="continue"/>
            <w:noWrap w:val="0"/>
            <w:vAlign w:val="center"/>
          </w:tcPr>
          <w:p w14:paraId="3A67EE03">
            <w:pPr>
              <w:spacing w:line="240" w:lineRule="auto"/>
              <w:ind w:firstLine="0" w:firstLineChars="0"/>
              <w:jc w:val="center"/>
              <w:rPr>
                <w:rFonts w:hint="eastAsia" w:ascii="宋体" w:hAnsi="宋体" w:eastAsia="宋体" w:cs="宋体"/>
                <w:sz w:val="22"/>
                <w:szCs w:val="22"/>
              </w:rPr>
            </w:pPr>
          </w:p>
        </w:tc>
        <w:tc>
          <w:tcPr>
            <w:tcW w:w="4313" w:type="dxa"/>
            <w:gridSpan w:val="6"/>
            <w:noWrap w:val="0"/>
            <w:vAlign w:val="center"/>
          </w:tcPr>
          <w:p w14:paraId="2BB7A482">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加强疾病前期预防，控制危险因素，避免重大疾病的发生。</w:t>
            </w:r>
          </w:p>
        </w:tc>
        <w:tc>
          <w:tcPr>
            <w:tcW w:w="3868" w:type="dxa"/>
            <w:gridSpan w:val="7"/>
            <w:noWrap w:val="0"/>
            <w:vAlign w:val="center"/>
          </w:tcPr>
          <w:p w14:paraId="33C27919">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2023年预计参检人员共6287人次，其中厅级干部及正高级职称专业技术人员50人；县级干部及副高级职称专业技术人员692人；科级及科级以下干部、中级及中级以下职称专业技术人员和工勤人员共计5545人，已支付389.94万元。</w:t>
            </w:r>
          </w:p>
        </w:tc>
      </w:tr>
      <w:tr w14:paraId="02D6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695" w:type="dxa"/>
            <w:vMerge w:val="continue"/>
            <w:noWrap w:val="0"/>
            <w:vAlign w:val="center"/>
          </w:tcPr>
          <w:p w14:paraId="5921E72D">
            <w:pPr>
              <w:spacing w:line="240" w:lineRule="auto"/>
              <w:ind w:firstLine="0" w:firstLineChars="0"/>
              <w:jc w:val="center"/>
              <w:rPr>
                <w:rFonts w:hint="eastAsia" w:ascii="宋体" w:hAnsi="宋体" w:eastAsia="宋体" w:cs="宋体"/>
                <w:sz w:val="22"/>
                <w:szCs w:val="22"/>
              </w:rPr>
            </w:pPr>
          </w:p>
        </w:tc>
        <w:tc>
          <w:tcPr>
            <w:tcW w:w="4313" w:type="dxa"/>
            <w:gridSpan w:val="6"/>
            <w:noWrap w:val="0"/>
            <w:vAlign w:val="center"/>
          </w:tcPr>
          <w:p w14:paraId="191D628D">
            <w:pPr>
              <w:spacing w:line="240" w:lineRule="auto"/>
              <w:ind w:firstLine="0" w:firstLineChars="0"/>
              <w:jc w:val="center"/>
              <w:rPr>
                <w:rFonts w:hint="eastAsia" w:ascii="宋体" w:hAnsi="宋体" w:eastAsia="宋体" w:cs="宋体"/>
                <w:sz w:val="22"/>
                <w:szCs w:val="22"/>
              </w:rPr>
            </w:pPr>
          </w:p>
        </w:tc>
        <w:tc>
          <w:tcPr>
            <w:tcW w:w="3868" w:type="dxa"/>
            <w:gridSpan w:val="7"/>
            <w:noWrap w:val="0"/>
            <w:vAlign w:val="center"/>
          </w:tcPr>
          <w:p w14:paraId="0FE79BD0">
            <w:pPr>
              <w:spacing w:line="240" w:lineRule="auto"/>
              <w:ind w:firstLine="0" w:firstLineChars="0"/>
              <w:jc w:val="center"/>
              <w:rPr>
                <w:rFonts w:hint="eastAsia" w:ascii="宋体" w:hAnsi="宋体" w:eastAsia="宋体" w:cs="宋体"/>
                <w:sz w:val="22"/>
                <w:szCs w:val="22"/>
              </w:rPr>
            </w:pPr>
          </w:p>
        </w:tc>
      </w:tr>
      <w:tr w14:paraId="0306B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restart"/>
            <w:noWrap w:val="0"/>
            <w:vAlign w:val="center"/>
          </w:tcPr>
          <w:p w14:paraId="25BFB078">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826" w:type="dxa"/>
            <w:noWrap w:val="0"/>
            <w:vAlign w:val="center"/>
          </w:tcPr>
          <w:p w14:paraId="4AC377C0">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0B4F646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14" w:type="dxa"/>
            <w:noWrap w:val="0"/>
            <w:vAlign w:val="center"/>
          </w:tcPr>
          <w:p w14:paraId="1758E1B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04683FE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00" w:type="dxa"/>
            <w:gridSpan w:val="3"/>
            <w:noWrap w:val="0"/>
            <w:vAlign w:val="center"/>
          </w:tcPr>
          <w:p w14:paraId="5AEE225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973" w:type="dxa"/>
            <w:noWrap w:val="0"/>
            <w:vAlign w:val="center"/>
          </w:tcPr>
          <w:p w14:paraId="52703DA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99" w:type="dxa"/>
            <w:noWrap w:val="0"/>
            <w:vAlign w:val="center"/>
          </w:tcPr>
          <w:p w14:paraId="5D07EA5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94" w:type="dxa"/>
            <w:gridSpan w:val="2"/>
            <w:noWrap w:val="0"/>
            <w:vAlign w:val="center"/>
          </w:tcPr>
          <w:p w14:paraId="444AA0A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800" w:type="dxa"/>
            <w:gridSpan w:val="2"/>
            <w:noWrap w:val="0"/>
            <w:vAlign w:val="center"/>
          </w:tcPr>
          <w:p w14:paraId="28BB04F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475" w:type="dxa"/>
            <w:gridSpan w:val="2"/>
            <w:noWrap w:val="0"/>
            <w:vAlign w:val="center"/>
          </w:tcPr>
          <w:p w14:paraId="084309C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4B6D9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textDirection w:val="tbRlV"/>
            <w:vAlign w:val="center"/>
          </w:tcPr>
          <w:p w14:paraId="2207FFE9">
            <w:pPr>
              <w:spacing w:line="240" w:lineRule="auto"/>
              <w:ind w:left="113" w:right="113" w:firstLine="0" w:firstLineChars="0"/>
              <w:jc w:val="center"/>
              <w:rPr>
                <w:rFonts w:hint="eastAsia" w:ascii="宋体" w:hAnsi="宋体" w:eastAsia="宋体" w:cs="宋体"/>
                <w:sz w:val="22"/>
                <w:szCs w:val="22"/>
              </w:rPr>
            </w:pPr>
          </w:p>
        </w:tc>
        <w:tc>
          <w:tcPr>
            <w:tcW w:w="826" w:type="dxa"/>
            <w:vMerge w:val="restart"/>
            <w:noWrap w:val="0"/>
            <w:vAlign w:val="center"/>
          </w:tcPr>
          <w:p w14:paraId="6F0B86B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1D12D32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14" w:type="dxa"/>
            <w:vMerge w:val="restart"/>
            <w:noWrap w:val="0"/>
            <w:vAlign w:val="center"/>
          </w:tcPr>
          <w:p w14:paraId="7A9D659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4805B11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00" w:type="dxa"/>
            <w:gridSpan w:val="3"/>
            <w:noWrap w:val="0"/>
            <w:vAlign w:val="center"/>
          </w:tcPr>
          <w:p w14:paraId="3B1B35F5">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组织干部体检工作完成率</w:t>
            </w:r>
          </w:p>
        </w:tc>
        <w:tc>
          <w:tcPr>
            <w:tcW w:w="973" w:type="dxa"/>
            <w:noWrap w:val="0"/>
            <w:vAlign w:val="center"/>
          </w:tcPr>
          <w:p w14:paraId="128F51E4">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≥90%</w:t>
            </w:r>
          </w:p>
        </w:tc>
        <w:tc>
          <w:tcPr>
            <w:tcW w:w="899" w:type="dxa"/>
            <w:noWrap w:val="0"/>
            <w:vAlign w:val="center"/>
          </w:tcPr>
          <w:p w14:paraId="70165D0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6B85ACC4">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800" w:type="dxa"/>
            <w:gridSpan w:val="2"/>
            <w:noWrap w:val="0"/>
            <w:vAlign w:val="center"/>
          </w:tcPr>
          <w:p w14:paraId="00468795">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1475" w:type="dxa"/>
            <w:gridSpan w:val="2"/>
            <w:noWrap w:val="0"/>
            <w:vAlign w:val="center"/>
          </w:tcPr>
          <w:p w14:paraId="4930FAF9">
            <w:pPr>
              <w:spacing w:line="240" w:lineRule="auto"/>
              <w:ind w:firstLine="0" w:firstLineChars="0"/>
              <w:jc w:val="center"/>
              <w:rPr>
                <w:rFonts w:hint="eastAsia" w:ascii="宋体" w:hAnsi="宋体" w:eastAsia="宋体" w:cs="宋体"/>
                <w:spacing w:val="-5"/>
                <w:sz w:val="22"/>
                <w:szCs w:val="22"/>
                <w:lang w:val="en-US" w:eastAsia="zh-CN"/>
              </w:rPr>
            </w:pPr>
          </w:p>
        </w:tc>
      </w:tr>
      <w:tr w14:paraId="0940D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vAlign w:val="center"/>
          </w:tcPr>
          <w:p w14:paraId="745D9D44">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2BDFEB96">
            <w:pPr>
              <w:spacing w:line="240" w:lineRule="auto"/>
              <w:ind w:firstLine="0" w:firstLineChars="0"/>
              <w:jc w:val="center"/>
              <w:rPr>
                <w:rFonts w:hint="eastAsia" w:ascii="宋体" w:hAnsi="宋体" w:eastAsia="宋体" w:cs="宋体"/>
                <w:sz w:val="22"/>
                <w:szCs w:val="22"/>
              </w:rPr>
            </w:pPr>
          </w:p>
        </w:tc>
        <w:tc>
          <w:tcPr>
            <w:tcW w:w="914" w:type="dxa"/>
            <w:vMerge w:val="continue"/>
            <w:noWrap w:val="0"/>
            <w:vAlign w:val="center"/>
          </w:tcPr>
          <w:p w14:paraId="7F25E017">
            <w:pPr>
              <w:spacing w:line="240" w:lineRule="auto"/>
              <w:ind w:firstLine="0" w:firstLineChars="0"/>
              <w:jc w:val="center"/>
              <w:rPr>
                <w:rFonts w:hint="eastAsia" w:ascii="宋体" w:hAnsi="宋体" w:eastAsia="宋体" w:cs="宋体"/>
                <w:sz w:val="22"/>
                <w:szCs w:val="22"/>
              </w:rPr>
            </w:pPr>
          </w:p>
        </w:tc>
        <w:tc>
          <w:tcPr>
            <w:tcW w:w="1600" w:type="dxa"/>
            <w:gridSpan w:val="3"/>
            <w:noWrap w:val="0"/>
            <w:vAlign w:val="center"/>
          </w:tcPr>
          <w:p w14:paraId="03211724">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支付干部体检费用完成率</w:t>
            </w:r>
          </w:p>
        </w:tc>
        <w:tc>
          <w:tcPr>
            <w:tcW w:w="973" w:type="dxa"/>
            <w:noWrap w:val="0"/>
            <w:vAlign w:val="center"/>
          </w:tcPr>
          <w:p w14:paraId="12E24AE0">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899" w:type="dxa"/>
            <w:noWrap w:val="0"/>
            <w:vAlign w:val="center"/>
          </w:tcPr>
          <w:p w14:paraId="7052E575">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2264E9DE">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800" w:type="dxa"/>
            <w:gridSpan w:val="2"/>
            <w:noWrap w:val="0"/>
            <w:vAlign w:val="center"/>
          </w:tcPr>
          <w:p w14:paraId="06A9A52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1475" w:type="dxa"/>
            <w:gridSpan w:val="2"/>
            <w:noWrap w:val="0"/>
            <w:vAlign w:val="center"/>
          </w:tcPr>
          <w:p w14:paraId="71FABECC">
            <w:pPr>
              <w:spacing w:line="240" w:lineRule="auto"/>
              <w:ind w:firstLine="0" w:firstLineChars="0"/>
              <w:jc w:val="center"/>
              <w:rPr>
                <w:rFonts w:hint="eastAsia" w:ascii="宋体" w:hAnsi="宋体" w:eastAsia="宋体" w:cs="宋体"/>
                <w:spacing w:val="-5"/>
                <w:sz w:val="22"/>
                <w:szCs w:val="22"/>
                <w:lang w:val="en-US" w:eastAsia="zh-CN"/>
              </w:rPr>
            </w:pPr>
          </w:p>
        </w:tc>
      </w:tr>
      <w:tr w14:paraId="3DB6B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vAlign w:val="center"/>
          </w:tcPr>
          <w:p w14:paraId="3FA70108">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76FC9019">
            <w:pPr>
              <w:spacing w:line="240" w:lineRule="auto"/>
              <w:ind w:firstLine="0" w:firstLineChars="0"/>
              <w:jc w:val="center"/>
              <w:rPr>
                <w:rFonts w:hint="eastAsia" w:ascii="宋体" w:hAnsi="宋体" w:eastAsia="宋体" w:cs="宋体"/>
                <w:sz w:val="22"/>
                <w:szCs w:val="22"/>
              </w:rPr>
            </w:pPr>
          </w:p>
        </w:tc>
        <w:tc>
          <w:tcPr>
            <w:tcW w:w="914" w:type="dxa"/>
            <w:vMerge w:val="restart"/>
            <w:noWrap w:val="0"/>
            <w:vAlign w:val="center"/>
          </w:tcPr>
          <w:p w14:paraId="0DF25CCC">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7FA83AF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00" w:type="dxa"/>
            <w:gridSpan w:val="3"/>
            <w:noWrap w:val="0"/>
            <w:vAlign w:val="center"/>
          </w:tcPr>
          <w:p w14:paraId="6820A63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组织干部体检完成达标率</w:t>
            </w:r>
          </w:p>
        </w:tc>
        <w:tc>
          <w:tcPr>
            <w:tcW w:w="973" w:type="dxa"/>
            <w:noWrap w:val="0"/>
            <w:vAlign w:val="center"/>
          </w:tcPr>
          <w:p w14:paraId="63FB0285">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899" w:type="dxa"/>
            <w:noWrap w:val="0"/>
            <w:vAlign w:val="center"/>
          </w:tcPr>
          <w:p w14:paraId="6AA8D21C">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6D01153A">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800" w:type="dxa"/>
            <w:gridSpan w:val="2"/>
            <w:noWrap w:val="0"/>
            <w:vAlign w:val="center"/>
          </w:tcPr>
          <w:p w14:paraId="7B7E4E48">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1475" w:type="dxa"/>
            <w:gridSpan w:val="2"/>
            <w:noWrap w:val="0"/>
            <w:vAlign w:val="center"/>
          </w:tcPr>
          <w:p w14:paraId="4AA796BD">
            <w:pPr>
              <w:spacing w:line="240" w:lineRule="auto"/>
              <w:ind w:firstLine="0" w:firstLineChars="0"/>
              <w:jc w:val="center"/>
              <w:rPr>
                <w:rFonts w:hint="eastAsia" w:ascii="宋体" w:hAnsi="宋体" w:eastAsia="宋体" w:cs="宋体"/>
                <w:spacing w:val="-5"/>
                <w:sz w:val="22"/>
                <w:szCs w:val="22"/>
                <w:lang w:val="en-US" w:eastAsia="zh-CN"/>
              </w:rPr>
            </w:pPr>
          </w:p>
        </w:tc>
      </w:tr>
      <w:tr w14:paraId="143A0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695" w:type="dxa"/>
            <w:vMerge w:val="continue"/>
            <w:noWrap w:val="0"/>
            <w:vAlign w:val="center"/>
          </w:tcPr>
          <w:p w14:paraId="7BB38CF1">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297EBD9B">
            <w:pPr>
              <w:spacing w:line="240" w:lineRule="auto"/>
              <w:ind w:firstLine="0" w:firstLineChars="0"/>
              <w:jc w:val="center"/>
              <w:rPr>
                <w:rFonts w:hint="eastAsia" w:ascii="宋体" w:hAnsi="宋体" w:eastAsia="宋体" w:cs="宋体"/>
                <w:sz w:val="22"/>
                <w:szCs w:val="22"/>
              </w:rPr>
            </w:pPr>
          </w:p>
        </w:tc>
        <w:tc>
          <w:tcPr>
            <w:tcW w:w="914" w:type="dxa"/>
            <w:vMerge w:val="continue"/>
            <w:noWrap w:val="0"/>
            <w:vAlign w:val="center"/>
          </w:tcPr>
          <w:p w14:paraId="14CFFE92">
            <w:pPr>
              <w:spacing w:line="240" w:lineRule="auto"/>
              <w:ind w:firstLine="0" w:firstLineChars="0"/>
              <w:jc w:val="center"/>
              <w:rPr>
                <w:rFonts w:hint="eastAsia" w:ascii="宋体" w:hAnsi="宋体" w:eastAsia="宋体" w:cs="宋体"/>
                <w:sz w:val="22"/>
                <w:szCs w:val="22"/>
              </w:rPr>
            </w:pPr>
          </w:p>
        </w:tc>
        <w:tc>
          <w:tcPr>
            <w:tcW w:w="1600" w:type="dxa"/>
            <w:gridSpan w:val="3"/>
            <w:noWrap w:val="0"/>
            <w:vAlign w:val="center"/>
          </w:tcPr>
          <w:p w14:paraId="21A113AC">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体检报告准确率</w:t>
            </w:r>
          </w:p>
        </w:tc>
        <w:tc>
          <w:tcPr>
            <w:tcW w:w="973" w:type="dxa"/>
            <w:noWrap w:val="0"/>
            <w:vAlign w:val="center"/>
          </w:tcPr>
          <w:p w14:paraId="1535607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准确</w:t>
            </w:r>
          </w:p>
        </w:tc>
        <w:tc>
          <w:tcPr>
            <w:tcW w:w="899" w:type="dxa"/>
            <w:noWrap w:val="0"/>
            <w:vAlign w:val="center"/>
          </w:tcPr>
          <w:p w14:paraId="7CC78485">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00FF93CA">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800" w:type="dxa"/>
            <w:gridSpan w:val="2"/>
            <w:noWrap w:val="0"/>
            <w:vAlign w:val="center"/>
          </w:tcPr>
          <w:p w14:paraId="264B387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1475" w:type="dxa"/>
            <w:gridSpan w:val="2"/>
            <w:noWrap w:val="0"/>
            <w:vAlign w:val="center"/>
          </w:tcPr>
          <w:p w14:paraId="71D74039">
            <w:pPr>
              <w:spacing w:line="240" w:lineRule="auto"/>
              <w:ind w:firstLine="0" w:firstLineChars="0"/>
              <w:jc w:val="center"/>
              <w:rPr>
                <w:rFonts w:hint="eastAsia" w:ascii="宋体" w:hAnsi="宋体" w:eastAsia="宋体" w:cs="宋体"/>
                <w:spacing w:val="-5"/>
                <w:sz w:val="22"/>
                <w:szCs w:val="22"/>
                <w:lang w:val="en-US" w:eastAsia="zh-CN"/>
              </w:rPr>
            </w:pPr>
          </w:p>
        </w:tc>
      </w:tr>
      <w:tr w14:paraId="35AFA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vAlign w:val="center"/>
          </w:tcPr>
          <w:p w14:paraId="34BD6458">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3482D97C">
            <w:pPr>
              <w:spacing w:line="240" w:lineRule="auto"/>
              <w:ind w:firstLine="0" w:firstLineChars="0"/>
              <w:jc w:val="center"/>
              <w:rPr>
                <w:rFonts w:hint="eastAsia" w:ascii="宋体" w:hAnsi="宋体" w:eastAsia="宋体" w:cs="宋体"/>
                <w:sz w:val="22"/>
                <w:szCs w:val="22"/>
              </w:rPr>
            </w:pPr>
          </w:p>
        </w:tc>
        <w:tc>
          <w:tcPr>
            <w:tcW w:w="914" w:type="dxa"/>
            <w:vMerge w:val="restart"/>
            <w:noWrap w:val="0"/>
            <w:vAlign w:val="center"/>
          </w:tcPr>
          <w:p w14:paraId="36EC6F68">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031998A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600" w:type="dxa"/>
            <w:gridSpan w:val="3"/>
            <w:noWrap w:val="0"/>
            <w:vAlign w:val="center"/>
          </w:tcPr>
          <w:p w14:paraId="0099C252">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组织干部体检完成及时性</w:t>
            </w:r>
          </w:p>
        </w:tc>
        <w:tc>
          <w:tcPr>
            <w:tcW w:w="973" w:type="dxa"/>
            <w:noWrap w:val="0"/>
            <w:vAlign w:val="center"/>
          </w:tcPr>
          <w:p w14:paraId="15608DD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及时性</w:t>
            </w:r>
          </w:p>
        </w:tc>
        <w:tc>
          <w:tcPr>
            <w:tcW w:w="899" w:type="dxa"/>
            <w:noWrap w:val="0"/>
            <w:vAlign w:val="center"/>
          </w:tcPr>
          <w:p w14:paraId="0173FF1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92%</w:t>
            </w:r>
          </w:p>
        </w:tc>
        <w:tc>
          <w:tcPr>
            <w:tcW w:w="694" w:type="dxa"/>
            <w:gridSpan w:val="2"/>
            <w:noWrap w:val="0"/>
            <w:vAlign w:val="center"/>
          </w:tcPr>
          <w:p w14:paraId="1CDACDBE">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800" w:type="dxa"/>
            <w:gridSpan w:val="2"/>
            <w:noWrap w:val="0"/>
            <w:vAlign w:val="center"/>
          </w:tcPr>
          <w:p w14:paraId="7554714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1475" w:type="dxa"/>
            <w:gridSpan w:val="2"/>
            <w:noWrap w:val="0"/>
            <w:vAlign w:val="center"/>
          </w:tcPr>
          <w:p w14:paraId="675D617C">
            <w:pPr>
              <w:spacing w:line="240" w:lineRule="auto"/>
              <w:ind w:firstLine="0" w:firstLineChars="0"/>
              <w:jc w:val="center"/>
              <w:rPr>
                <w:rFonts w:hint="eastAsia" w:ascii="宋体" w:hAnsi="宋体" w:eastAsia="宋体" w:cs="宋体"/>
                <w:spacing w:val="-5"/>
                <w:sz w:val="22"/>
                <w:szCs w:val="22"/>
                <w:lang w:val="en-US" w:eastAsia="zh-CN"/>
              </w:rPr>
            </w:pPr>
          </w:p>
        </w:tc>
      </w:tr>
      <w:tr w14:paraId="46267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vAlign w:val="center"/>
          </w:tcPr>
          <w:p w14:paraId="06FF649D">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62B5FAB5">
            <w:pPr>
              <w:spacing w:line="240" w:lineRule="auto"/>
              <w:ind w:firstLine="0" w:firstLineChars="0"/>
              <w:jc w:val="center"/>
              <w:rPr>
                <w:rFonts w:hint="eastAsia" w:ascii="宋体" w:hAnsi="宋体" w:eastAsia="宋体" w:cs="宋体"/>
                <w:sz w:val="22"/>
                <w:szCs w:val="22"/>
              </w:rPr>
            </w:pPr>
          </w:p>
        </w:tc>
        <w:tc>
          <w:tcPr>
            <w:tcW w:w="914" w:type="dxa"/>
            <w:vMerge w:val="continue"/>
            <w:noWrap w:val="0"/>
            <w:vAlign w:val="center"/>
          </w:tcPr>
          <w:p w14:paraId="69A944DF">
            <w:pPr>
              <w:spacing w:line="240" w:lineRule="auto"/>
              <w:ind w:firstLine="0" w:firstLineChars="0"/>
              <w:jc w:val="center"/>
              <w:rPr>
                <w:rFonts w:hint="eastAsia" w:ascii="宋体" w:hAnsi="宋体" w:eastAsia="宋体" w:cs="宋体"/>
                <w:sz w:val="22"/>
                <w:szCs w:val="22"/>
              </w:rPr>
            </w:pPr>
          </w:p>
        </w:tc>
        <w:tc>
          <w:tcPr>
            <w:tcW w:w="1600" w:type="dxa"/>
            <w:gridSpan w:val="3"/>
            <w:noWrap w:val="0"/>
            <w:vAlign w:val="center"/>
          </w:tcPr>
          <w:p w14:paraId="10F8714E">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支付干部体检经费及时性</w:t>
            </w:r>
          </w:p>
        </w:tc>
        <w:tc>
          <w:tcPr>
            <w:tcW w:w="973" w:type="dxa"/>
            <w:noWrap w:val="0"/>
            <w:vAlign w:val="center"/>
          </w:tcPr>
          <w:p w14:paraId="560EAF8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及时性</w:t>
            </w:r>
          </w:p>
        </w:tc>
        <w:tc>
          <w:tcPr>
            <w:tcW w:w="899" w:type="dxa"/>
            <w:noWrap w:val="0"/>
            <w:vAlign w:val="center"/>
          </w:tcPr>
          <w:p w14:paraId="6804CD7D">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0AC4EF9E">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800" w:type="dxa"/>
            <w:gridSpan w:val="2"/>
            <w:noWrap w:val="0"/>
            <w:vAlign w:val="center"/>
          </w:tcPr>
          <w:p w14:paraId="602815E2">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7</w:t>
            </w:r>
          </w:p>
        </w:tc>
        <w:tc>
          <w:tcPr>
            <w:tcW w:w="1475" w:type="dxa"/>
            <w:gridSpan w:val="2"/>
            <w:noWrap w:val="0"/>
            <w:vAlign w:val="center"/>
          </w:tcPr>
          <w:p w14:paraId="1A982512">
            <w:pPr>
              <w:spacing w:line="240" w:lineRule="auto"/>
              <w:ind w:firstLine="0" w:firstLineChars="0"/>
              <w:jc w:val="center"/>
              <w:rPr>
                <w:rFonts w:hint="eastAsia" w:ascii="宋体" w:hAnsi="宋体" w:eastAsia="宋体" w:cs="宋体"/>
                <w:spacing w:val="-5"/>
                <w:sz w:val="22"/>
                <w:szCs w:val="22"/>
                <w:lang w:val="en-US" w:eastAsia="zh-CN"/>
              </w:rPr>
            </w:pPr>
          </w:p>
        </w:tc>
      </w:tr>
      <w:tr w14:paraId="39092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vAlign w:val="center"/>
          </w:tcPr>
          <w:p w14:paraId="120D9E0D">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2767BF3A">
            <w:pPr>
              <w:spacing w:line="240" w:lineRule="auto"/>
              <w:ind w:firstLine="0" w:firstLineChars="0"/>
              <w:jc w:val="center"/>
              <w:rPr>
                <w:rFonts w:hint="eastAsia" w:ascii="宋体" w:hAnsi="宋体" w:eastAsia="宋体" w:cs="宋体"/>
                <w:sz w:val="22"/>
                <w:szCs w:val="22"/>
              </w:rPr>
            </w:pPr>
          </w:p>
        </w:tc>
        <w:tc>
          <w:tcPr>
            <w:tcW w:w="914" w:type="dxa"/>
            <w:noWrap w:val="0"/>
            <w:vAlign w:val="center"/>
          </w:tcPr>
          <w:p w14:paraId="2CF1B39B">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成本</w:t>
            </w:r>
          </w:p>
          <w:p w14:paraId="65371E8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00" w:type="dxa"/>
            <w:gridSpan w:val="3"/>
            <w:noWrap w:val="0"/>
            <w:vAlign w:val="center"/>
          </w:tcPr>
          <w:p w14:paraId="64049B93">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成本控制率</w:t>
            </w:r>
          </w:p>
        </w:tc>
        <w:tc>
          <w:tcPr>
            <w:tcW w:w="973" w:type="dxa"/>
            <w:noWrap w:val="0"/>
            <w:vAlign w:val="center"/>
          </w:tcPr>
          <w:p w14:paraId="167DB10C">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w:t>
            </w:r>
            <w:r>
              <w:rPr>
                <w:rFonts w:hint="default" w:ascii="宋体" w:hAnsi="宋体" w:eastAsia="宋体" w:cs="宋体"/>
                <w:spacing w:val="-5"/>
                <w:sz w:val="22"/>
                <w:szCs w:val="22"/>
                <w:lang w:val="en-US" w:eastAsia="zh-CN"/>
              </w:rPr>
              <w:t>100%</w:t>
            </w:r>
          </w:p>
        </w:tc>
        <w:tc>
          <w:tcPr>
            <w:tcW w:w="899" w:type="dxa"/>
            <w:noWrap w:val="0"/>
            <w:vAlign w:val="center"/>
          </w:tcPr>
          <w:p w14:paraId="74ED693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46323F53">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8</w:t>
            </w:r>
          </w:p>
        </w:tc>
        <w:tc>
          <w:tcPr>
            <w:tcW w:w="800" w:type="dxa"/>
            <w:gridSpan w:val="2"/>
            <w:noWrap w:val="0"/>
            <w:vAlign w:val="center"/>
          </w:tcPr>
          <w:p w14:paraId="2E0C7DFA">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8</w:t>
            </w:r>
          </w:p>
        </w:tc>
        <w:tc>
          <w:tcPr>
            <w:tcW w:w="1475" w:type="dxa"/>
            <w:gridSpan w:val="2"/>
            <w:noWrap w:val="0"/>
            <w:vAlign w:val="center"/>
          </w:tcPr>
          <w:p w14:paraId="5596E709">
            <w:pPr>
              <w:spacing w:line="240" w:lineRule="auto"/>
              <w:ind w:firstLine="0" w:firstLineChars="0"/>
              <w:jc w:val="center"/>
              <w:rPr>
                <w:rFonts w:hint="eastAsia" w:ascii="宋体" w:hAnsi="宋体" w:eastAsia="宋体" w:cs="宋体"/>
                <w:spacing w:val="-5"/>
                <w:sz w:val="22"/>
                <w:szCs w:val="22"/>
                <w:lang w:val="en-US" w:eastAsia="zh-CN"/>
              </w:rPr>
            </w:pPr>
          </w:p>
        </w:tc>
      </w:tr>
      <w:tr w14:paraId="344BD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textDirection w:val="tbRlV"/>
            <w:vAlign w:val="center"/>
          </w:tcPr>
          <w:p w14:paraId="6EBDEA13">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754A6239">
            <w:pPr>
              <w:spacing w:line="240" w:lineRule="auto"/>
              <w:ind w:firstLine="0" w:firstLineChars="0"/>
              <w:jc w:val="center"/>
              <w:rPr>
                <w:rFonts w:hint="eastAsia" w:ascii="宋体" w:hAnsi="宋体" w:eastAsia="宋体" w:cs="宋体"/>
                <w:sz w:val="22"/>
                <w:szCs w:val="22"/>
              </w:rPr>
            </w:pPr>
          </w:p>
        </w:tc>
        <w:tc>
          <w:tcPr>
            <w:tcW w:w="914" w:type="dxa"/>
            <w:vMerge w:val="restart"/>
            <w:noWrap w:val="0"/>
            <w:vAlign w:val="center"/>
          </w:tcPr>
          <w:p w14:paraId="7EDE6DF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600" w:type="dxa"/>
            <w:gridSpan w:val="3"/>
            <w:noWrap w:val="0"/>
            <w:vAlign w:val="center"/>
          </w:tcPr>
          <w:p w14:paraId="1B9F2E14">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加强疾病前期预防</w:t>
            </w:r>
          </w:p>
        </w:tc>
        <w:tc>
          <w:tcPr>
            <w:tcW w:w="973" w:type="dxa"/>
            <w:noWrap w:val="0"/>
            <w:vAlign w:val="center"/>
          </w:tcPr>
          <w:p w14:paraId="655998F0">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加强</w:t>
            </w:r>
          </w:p>
        </w:tc>
        <w:tc>
          <w:tcPr>
            <w:tcW w:w="899" w:type="dxa"/>
            <w:noWrap w:val="0"/>
            <w:vAlign w:val="center"/>
          </w:tcPr>
          <w:p w14:paraId="7162D3A9">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270BC831">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800" w:type="dxa"/>
            <w:gridSpan w:val="2"/>
            <w:noWrap w:val="0"/>
            <w:vAlign w:val="center"/>
          </w:tcPr>
          <w:p w14:paraId="6BFF975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1475" w:type="dxa"/>
            <w:gridSpan w:val="2"/>
            <w:noWrap w:val="0"/>
            <w:vAlign w:val="center"/>
          </w:tcPr>
          <w:p w14:paraId="5F2D1E0B">
            <w:pPr>
              <w:spacing w:line="240" w:lineRule="auto"/>
              <w:ind w:firstLine="0" w:firstLineChars="0"/>
              <w:jc w:val="center"/>
              <w:rPr>
                <w:rFonts w:hint="eastAsia" w:ascii="宋体" w:hAnsi="宋体" w:eastAsia="宋体" w:cs="宋体"/>
                <w:spacing w:val="-5"/>
                <w:sz w:val="22"/>
                <w:szCs w:val="22"/>
                <w:lang w:val="en-US" w:eastAsia="zh-CN"/>
              </w:rPr>
            </w:pPr>
          </w:p>
        </w:tc>
      </w:tr>
      <w:tr w14:paraId="126AB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695" w:type="dxa"/>
            <w:vMerge w:val="continue"/>
            <w:noWrap w:val="0"/>
            <w:textDirection w:val="tbRlV"/>
            <w:vAlign w:val="center"/>
          </w:tcPr>
          <w:p w14:paraId="43D1B838">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65031F14">
            <w:pPr>
              <w:spacing w:line="240" w:lineRule="auto"/>
              <w:ind w:firstLine="0" w:firstLineChars="0"/>
              <w:jc w:val="center"/>
              <w:rPr>
                <w:rFonts w:hint="eastAsia" w:ascii="宋体" w:hAnsi="宋体" w:eastAsia="宋体" w:cs="宋体"/>
                <w:sz w:val="22"/>
                <w:szCs w:val="22"/>
              </w:rPr>
            </w:pPr>
          </w:p>
        </w:tc>
        <w:tc>
          <w:tcPr>
            <w:tcW w:w="914" w:type="dxa"/>
            <w:vMerge w:val="continue"/>
            <w:noWrap w:val="0"/>
            <w:vAlign w:val="center"/>
          </w:tcPr>
          <w:p w14:paraId="26D87073">
            <w:pPr>
              <w:spacing w:line="240" w:lineRule="auto"/>
              <w:ind w:firstLine="0" w:firstLineChars="0"/>
              <w:jc w:val="center"/>
              <w:rPr>
                <w:rFonts w:hint="eastAsia" w:ascii="宋体" w:hAnsi="宋体" w:eastAsia="宋体" w:cs="宋体"/>
                <w:sz w:val="22"/>
                <w:szCs w:val="22"/>
              </w:rPr>
            </w:pPr>
          </w:p>
        </w:tc>
        <w:tc>
          <w:tcPr>
            <w:tcW w:w="1600" w:type="dxa"/>
            <w:gridSpan w:val="3"/>
            <w:noWrap w:val="0"/>
            <w:vAlign w:val="center"/>
          </w:tcPr>
          <w:p w14:paraId="1C4E47B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减少干部重大疾病的发生率</w:t>
            </w:r>
          </w:p>
        </w:tc>
        <w:tc>
          <w:tcPr>
            <w:tcW w:w="973" w:type="dxa"/>
            <w:noWrap w:val="0"/>
            <w:vAlign w:val="center"/>
          </w:tcPr>
          <w:p w14:paraId="2E5DE659">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减少</w:t>
            </w:r>
          </w:p>
        </w:tc>
        <w:tc>
          <w:tcPr>
            <w:tcW w:w="899" w:type="dxa"/>
            <w:noWrap w:val="0"/>
            <w:vAlign w:val="center"/>
          </w:tcPr>
          <w:p w14:paraId="4DD5E255">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90%</w:t>
            </w:r>
          </w:p>
        </w:tc>
        <w:tc>
          <w:tcPr>
            <w:tcW w:w="694" w:type="dxa"/>
            <w:gridSpan w:val="2"/>
            <w:noWrap w:val="0"/>
            <w:vAlign w:val="center"/>
          </w:tcPr>
          <w:p w14:paraId="5409CD13">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800" w:type="dxa"/>
            <w:gridSpan w:val="2"/>
            <w:noWrap w:val="0"/>
            <w:vAlign w:val="center"/>
          </w:tcPr>
          <w:p w14:paraId="34BCAD9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1475" w:type="dxa"/>
            <w:gridSpan w:val="2"/>
            <w:noWrap w:val="0"/>
            <w:vAlign w:val="center"/>
          </w:tcPr>
          <w:p w14:paraId="5D84F16A">
            <w:pPr>
              <w:spacing w:line="240" w:lineRule="auto"/>
              <w:ind w:firstLine="0" w:firstLineChars="0"/>
              <w:jc w:val="center"/>
              <w:rPr>
                <w:rFonts w:hint="eastAsia" w:ascii="宋体" w:hAnsi="宋体" w:eastAsia="宋体" w:cs="宋体"/>
                <w:spacing w:val="-5"/>
                <w:sz w:val="22"/>
                <w:szCs w:val="22"/>
                <w:lang w:val="en-US" w:eastAsia="zh-CN"/>
              </w:rPr>
            </w:pPr>
          </w:p>
        </w:tc>
      </w:tr>
      <w:tr w14:paraId="456E7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2" w:hRule="atLeast"/>
        </w:trPr>
        <w:tc>
          <w:tcPr>
            <w:tcW w:w="695" w:type="dxa"/>
            <w:vMerge w:val="continue"/>
            <w:noWrap w:val="0"/>
            <w:textDirection w:val="tbRlV"/>
            <w:vAlign w:val="center"/>
          </w:tcPr>
          <w:p w14:paraId="69AA55FB">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629C6778">
            <w:pPr>
              <w:spacing w:line="240" w:lineRule="auto"/>
              <w:ind w:firstLine="0" w:firstLineChars="0"/>
              <w:jc w:val="center"/>
              <w:rPr>
                <w:rFonts w:hint="eastAsia" w:ascii="宋体" w:hAnsi="宋体" w:eastAsia="宋体" w:cs="宋体"/>
                <w:sz w:val="22"/>
                <w:szCs w:val="22"/>
              </w:rPr>
            </w:pPr>
          </w:p>
        </w:tc>
        <w:tc>
          <w:tcPr>
            <w:tcW w:w="914" w:type="dxa"/>
            <w:noWrap w:val="0"/>
            <w:vAlign w:val="center"/>
          </w:tcPr>
          <w:p w14:paraId="342CD1D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600" w:type="dxa"/>
            <w:gridSpan w:val="3"/>
            <w:noWrap w:val="0"/>
            <w:vAlign w:val="center"/>
          </w:tcPr>
          <w:p w14:paraId="3F2BE781">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为新区各类事业的发展提供人才保障</w:t>
            </w:r>
          </w:p>
        </w:tc>
        <w:tc>
          <w:tcPr>
            <w:tcW w:w="973" w:type="dxa"/>
            <w:noWrap w:val="0"/>
            <w:vAlign w:val="center"/>
          </w:tcPr>
          <w:p w14:paraId="67F00936">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提供</w:t>
            </w:r>
          </w:p>
        </w:tc>
        <w:tc>
          <w:tcPr>
            <w:tcW w:w="899" w:type="dxa"/>
            <w:noWrap w:val="0"/>
            <w:vAlign w:val="center"/>
          </w:tcPr>
          <w:p w14:paraId="52505D85">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7775E3D4">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800" w:type="dxa"/>
            <w:gridSpan w:val="2"/>
            <w:noWrap w:val="0"/>
            <w:vAlign w:val="center"/>
          </w:tcPr>
          <w:p w14:paraId="335160F7">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1475" w:type="dxa"/>
            <w:gridSpan w:val="2"/>
            <w:noWrap w:val="0"/>
            <w:vAlign w:val="center"/>
          </w:tcPr>
          <w:p w14:paraId="0A341EFC">
            <w:pPr>
              <w:spacing w:line="240" w:lineRule="auto"/>
              <w:ind w:firstLine="0" w:firstLineChars="0"/>
              <w:jc w:val="center"/>
              <w:rPr>
                <w:rFonts w:hint="eastAsia" w:ascii="宋体" w:hAnsi="宋体" w:eastAsia="宋体" w:cs="宋体"/>
                <w:spacing w:val="-5"/>
                <w:sz w:val="22"/>
                <w:szCs w:val="22"/>
                <w:lang w:val="en-US" w:eastAsia="zh-CN"/>
              </w:rPr>
            </w:pPr>
          </w:p>
        </w:tc>
      </w:tr>
      <w:tr w14:paraId="1AF5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2" w:hRule="atLeast"/>
        </w:trPr>
        <w:tc>
          <w:tcPr>
            <w:tcW w:w="695" w:type="dxa"/>
            <w:vMerge w:val="continue"/>
            <w:noWrap w:val="0"/>
            <w:vAlign w:val="center"/>
          </w:tcPr>
          <w:p w14:paraId="640F9C22">
            <w:pPr>
              <w:spacing w:line="240" w:lineRule="auto"/>
              <w:ind w:firstLine="0" w:firstLineChars="0"/>
              <w:jc w:val="center"/>
              <w:rPr>
                <w:rFonts w:hint="eastAsia" w:ascii="宋体" w:hAnsi="宋体" w:eastAsia="宋体" w:cs="宋体"/>
                <w:sz w:val="22"/>
                <w:szCs w:val="22"/>
              </w:rPr>
            </w:pPr>
          </w:p>
        </w:tc>
        <w:tc>
          <w:tcPr>
            <w:tcW w:w="826" w:type="dxa"/>
            <w:noWrap w:val="0"/>
            <w:vAlign w:val="center"/>
          </w:tcPr>
          <w:p w14:paraId="2737799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914" w:type="dxa"/>
            <w:noWrap w:val="0"/>
            <w:vAlign w:val="center"/>
          </w:tcPr>
          <w:p w14:paraId="7CC2B4E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600" w:type="dxa"/>
            <w:gridSpan w:val="3"/>
            <w:noWrap w:val="0"/>
            <w:vAlign w:val="center"/>
          </w:tcPr>
          <w:p w14:paraId="15F94042">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干部满意度</w:t>
            </w:r>
          </w:p>
        </w:tc>
        <w:tc>
          <w:tcPr>
            <w:tcW w:w="973" w:type="dxa"/>
            <w:noWrap w:val="0"/>
            <w:vAlign w:val="center"/>
          </w:tcPr>
          <w:p w14:paraId="7003C349">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≥90%</w:t>
            </w:r>
          </w:p>
        </w:tc>
        <w:tc>
          <w:tcPr>
            <w:tcW w:w="899" w:type="dxa"/>
            <w:noWrap w:val="0"/>
            <w:vAlign w:val="center"/>
          </w:tcPr>
          <w:p w14:paraId="4984C4DE">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100%</w:t>
            </w:r>
          </w:p>
        </w:tc>
        <w:tc>
          <w:tcPr>
            <w:tcW w:w="694" w:type="dxa"/>
            <w:gridSpan w:val="2"/>
            <w:noWrap w:val="0"/>
            <w:vAlign w:val="center"/>
          </w:tcPr>
          <w:p w14:paraId="458BE568">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800" w:type="dxa"/>
            <w:gridSpan w:val="2"/>
            <w:noWrap w:val="0"/>
            <w:vAlign w:val="center"/>
          </w:tcPr>
          <w:p w14:paraId="7FF1A1E8">
            <w:pPr>
              <w:spacing w:line="240" w:lineRule="auto"/>
              <w:ind w:firstLine="0" w:firstLineChars="0"/>
              <w:jc w:val="center"/>
              <w:rPr>
                <w:rFonts w:hint="default"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10</w:t>
            </w:r>
          </w:p>
        </w:tc>
        <w:tc>
          <w:tcPr>
            <w:tcW w:w="1475" w:type="dxa"/>
            <w:gridSpan w:val="2"/>
            <w:noWrap w:val="0"/>
            <w:vAlign w:val="center"/>
          </w:tcPr>
          <w:p w14:paraId="044A7075">
            <w:pPr>
              <w:spacing w:line="240" w:lineRule="auto"/>
              <w:ind w:firstLine="0" w:firstLineChars="0"/>
              <w:jc w:val="center"/>
              <w:rPr>
                <w:rFonts w:hint="eastAsia" w:ascii="宋体" w:hAnsi="宋体" w:eastAsia="宋体" w:cs="宋体"/>
                <w:spacing w:val="-5"/>
                <w:sz w:val="22"/>
                <w:szCs w:val="22"/>
                <w:lang w:val="en-US" w:eastAsia="zh-CN"/>
              </w:rPr>
            </w:pPr>
          </w:p>
        </w:tc>
      </w:tr>
      <w:tr w14:paraId="01B21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5907" w:type="dxa"/>
            <w:gridSpan w:val="8"/>
            <w:noWrap w:val="0"/>
            <w:vAlign w:val="center"/>
          </w:tcPr>
          <w:p w14:paraId="67466BB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94" w:type="dxa"/>
            <w:gridSpan w:val="2"/>
            <w:noWrap w:val="0"/>
            <w:vAlign w:val="center"/>
          </w:tcPr>
          <w:p w14:paraId="6375F23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800" w:type="dxa"/>
            <w:gridSpan w:val="2"/>
            <w:noWrap w:val="0"/>
            <w:vAlign w:val="center"/>
          </w:tcPr>
          <w:p w14:paraId="57EBCB5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475" w:type="dxa"/>
            <w:gridSpan w:val="2"/>
            <w:noWrap w:val="0"/>
            <w:vAlign w:val="center"/>
          </w:tcPr>
          <w:p w14:paraId="26B8EFB3">
            <w:pPr>
              <w:spacing w:line="240" w:lineRule="auto"/>
              <w:ind w:firstLine="0" w:firstLineChars="0"/>
              <w:jc w:val="center"/>
              <w:rPr>
                <w:rFonts w:hint="eastAsia" w:ascii="宋体" w:hAnsi="宋体" w:eastAsia="宋体" w:cs="宋体"/>
                <w:sz w:val="22"/>
                <w:szCs w:val="22"/>
              </w:rPr>
            </w:pPr>
          </w:p>
        </w:tc>
      </w:tr>
      <w:tr w14:paraId="30293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trPr>
        <w:tc>
          <w:tcPr>
            <w:tcW w:w="695" w:type="dxa"/>
            <w:noWrap w:val="0"/>
            <w:vAlign w:val="center"/>
          </w:tcPr>
          <w:p w14:paraId="024B3A0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8181" w:type="dxa"/>
            <w:gridSpan w:val="13"/>
            <w:noWrap w:val="0"/>
            <w:vAlign w:val="center"/>
          </w:tcPr>
          <w:p w14:paraId="45B80C3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7B371390">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5672C242">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5EBE422D">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32A98FC3">
      <w:pPr>
        <w:spacing w:before="111" w:line="560" w:lineRule="exact"/>
        <w:ind w:firstLine="0" w:firstLineChars="0"/>
        <w:outlineLvl w:val="1"/>
        <w:rPr>
          <w:rFonts w:ascii="宋体" w:hAnsi="宋体" w:eastAsia="宋体" w:cs="宋体"/>
          <w:b/>
          <w:bCs/>
          <w:lang w:val="en-US" w:eastAsia="zh-CN"/>
        </w:rPr>
      </w:pPr>
      <w:r>
        <w:rPr>
          <w:rFonts w:hint="eastAsia" w:ascii="宋体" w:hAnsi="宋体" w:eastAsia="宋体" w:cs="宋体"/>
          <w:b/>
          <w:bCs/>
          <w:lang w:val="en-US" w:eastAsia="zh-CN"/>
        </w:rPr>
        <w:t>附件2</w:t>
      </w:r>
    </w:p>
    <w:p w14:paraId="102F4A22">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39E6713D">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3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4"/>
        <w:gridCol w:w="752"/>
        <w:gridCol w:w="832"/>
        <w:gridCol w:w="259"/>
        <w:gridCol w:w="1003"/>
        <w:gridCol w:w="194"/>
        <w:gridCol w:w="888"/>
        <w:gridCol w:w="818"/>
        <w:gridCol w:w="562"/>
        <w:gridCol w:w="70"/>
        <w:gridCol w:w="651"/>
        <w:gridCol w:w="78"/>
        <w:gridCol w:w="563"/>
        <w:gridCol w:w="1055"/>
      </w:tblGrid>
      <w:tr w14:paraId="619B2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1386" w:type="dxa"/>
            <w:gridSpan w:val="2"/>
            <w:noWrap w:val="0"/>
            <w:vAlign w:val="center"/>
          </w:tcPr>
          <w:p w14:paraId="52402A2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6973" w:type="dxa"/>
            <w:gridSpan w:val="12"/>
            <w:noWrap w:val="0"/>
            <w:vAlign w:val="center"/>
          </w:tcPr>
          <w:p w14:paraId="2037F5E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lang w:val="en-US" w:eastAsia="zh-CN"/>
              </w:rPr>
              <w:t>红十字会运转经费</w:t>
            </w:r>
          </w:p>
        </w:tc>
      </w:tr>
      <w:tr w14:paraId="69945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1386" w:type="dxa"/>
            <w:gridSpan w:val="2"/>
            <w:noWrap w:val="0"/>
            <w:vAlign w:val="center"/>
          </w:tcPr>
          <w:p w14:paraId="135BAEF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176" w:type="dxa"/>
            <w:gridSpan w:val="5"/>
            <w:noWrap w:val="0"/>
            <w:vAlign w:val="center"/>
          </w:tcPr>
          <w:p w14:paraId="342FE97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lang w:val="en-US" w:eastAsia="zh-CN"/>
              </w:rPr>
              <w:t>甘肃省卫生健康委员会</w:t>
            </w:r>
          </w:p>
        </w:tc>
        <w:tc>
          <w:tcPr>
            <w:tcW w:w="1380" w:type="dxa"/>
            <w:gridSpan w:val="2"/>
            <w:noWrap w:val="0"/>
            <w:vAlign w:val="center"/>
          </w:tcPr>
          <w:p w14:paraId="670A71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17" w:type="dxa"/>
            <w:gridSpan w:val="5"/>
            <w:noWrap w:val="0"/>
            <w:vAlign w:val="center"/>
          </w:tcPr>
          <w:p w14:paraId="7172835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lang w:val="en-US" w:eastAsia="zh-CN"/>
              </w:rPr>
              <w:t>兰州新区卫生健康委员会</w:t>
            </w:r>
          </w:p>
        </w:tc>
      </w:tr>
      <w:tr w14:paraId="001FC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8" w:hRule="atLeast"/>
        </w:trPr>
        <w:tc>
          <w:tcPr>
            <w:tcW w:w="1386" w:type="dxa"/>
            <w:gridSpan w:val="2"/>
            <w:vMerge w:val="restart"/>
            <w:noWrap w:val="0"/>
            <w:vAlign w:val="center"/>
          </w:tcPr>
          <w:p w14:paraId="2EB128F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091" w:type="dxa"/>
            <w:gridSpan w:val="2"/>
            <w:noWrap w:val="0"/>
            <w:vAlign w:val="center"/>
          </w:tcPr>
          <w:p w14:paraId="6ED8689E">
            <w:pPr>
              <w:spacing w:line="240" w:lineRule="auto"/>
              <w:ind w:firstLine="0" w:firstLineChars="0"/>
              <w:jc w:val="center"/>
              <w:rPr>
                <w:rFonts w:hint="eastAsia" w:ascii="宋体" w:hAnsi="宋体" w:eastAsia="宋体" w:cs="宋体"/>
                <w:sz w:val="22"/>
                <w:szCs w:val="22"/>
              </w:rPr>
            </w:pPr>
          </w:p>
        </w:tc>
        <w:tc>
          <w:tcPr>
            <w:tcW w:w="1003" w:type="dxa"/>
            <w:noWrap w:val="0"/>
            <w:vAlign w:val="center"/>
          </w:tcPr>
          <w:p w14:paraId="58A617E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82" w:type="dxa"/>
            <w:gridSpan w:val="2"/>
            <w:noWrap w:val="0"/>
            <w:vAlign w:val="center"/>
          </w:tcPr>
          <w:p w14:paraId="7EC1B58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380" w:type="dxa"/>
            <w:gridSpan w:val="2"/>
            <w:noWrap w:val="0"/>
            <w:vAlign w:val="center"/>
          </w:tcPr>
          <w:p w14:paraId="5B025FC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21" w:type="dxa"/>
            <w:gridSpan w:val="2"/>
            <w:noWrap w:val="0"/>
            <w:vAlign w:val="center"/>
          </w:tcPr>
          <w:p w14:paraId="272A2E6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41" w:type="dxa"/>
            <w:gridSpan w:val="2"/>
            <w:noWrap w:val="0"/>
            <w:vAlign w:val="center"/>
          </w:tcPr>
          <w:p w14:paraId="3A9273D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55" w:type="dxa"/>
            <w:noWrap w:val="0"/>
            <w:vAlign w:val="center"/>
          </w:tcPr>
          <w:p w14:paraId="7677F70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3DEB5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trPr>
        <w:tc>
          <w:tcPr>
            <w:tcW w:w="1386" w:type="dxa"/>
            <w:gridSpan w:val="2"/>
            <w:vMerge w:val="continue"/>
            <w:noWrap w:val="0"/>
            <w:vAlign w:val="center"/>
          </w:tcPr>
          <w:p w14:paraId="31FDACCA">
            <w:pPr>
              <w:spacing w:line="240" w:lineRule="auto"/>
              <w:ind w:firstLine="0" w:firstLineChars="0"/>
              <w:jc w:val="center"/>
              <w:rPr>
                <w:rFonts w:hint="eastAsia" w:ascii="宋体" w:hAnsi="宋体" w:eastAsia="宋体" w:cs="宋体"/>
                <w:sz w:val="22"/>
                <w:szCs w:val="22"/>
              </w:rPr>
            </w:pPr>
          </w:p>
        </w:tc>
        <w:tc>
          <w:tcPr>
            <w:tcW w:w="1091" w:type="dxa"/>
            <w:gridSpan w:val="2"/>
            <w:noWrap w:val="0"/>
            <w:vAlign w:val="center"/>
          </w:tcPr>
          <w:p w14:paraId="1AF2444E">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126A708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03" w:type="dxa"/>
            <w:noWrap w:val="0"/>
            <w:vAlign w:val="center"/>
          </w:tcPr>
          <w:p w14:paraId="5F02C681">
            <w:pPr>
              <w:spacing w:line="240" w:lineRule="auto"/>
              <w:ind w:firstLine="0" w:firstLineChars="0"/>
              <w:jc w:val="center"/>
              <w:rPr>
                <w:rFonts w:hint="default"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5万元</w:t>
            </w:r>
          </w:p>
        </w:tc>
        <w:tc>
          <w:tcPr>
            <w:tcW w:w="1082" w:type="dxa"/>
            <w:gridSpan w:val="2"/>
            <w:noWrap w:val="0"/>
            <w:vAlign w:val="center"/>
          </w:tcPr>
          <w:p w14:paraId="5C6460CD">
            <w:pPr>
              <w:spacing w:line="240" w:lineRule="auto"/>
              <w:ind w:firstLine="0" w:firstLineChars="0"/>
              <w:jc w:val="center"/>
              <w:rPr>
                <w:rFonts w:hint="default"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5万元</w:t>
            </w:r>
          </w:p>
        </w:tc>
        <w:tc>
          <w:tcPr>
            <w:tcW w:w="1380" w:type="dxa"/>
            <w:gridSpan w:val="2"/>
            <w:noWrap w:val="0"/>
            <w:vAlign w:val="center"/>
          </w:tcPr>
          <w:p w14:paraId="2A2230D0">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5万元</w:t>
            </w:r>
          </w:p>
        </w:tc>
        <w:tc>
          <w:tcPr>
            <w:tcW w:w="721" w:type="dxa"/>
            <w:gridSpan w:val="2"/>
            <w:noWrap w:val="0"/>
            <w:vAlign w:val="center"/>
          </w:tcPr>
          <w:p w14:paraId="106C08E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41" w:type="dxa"/>
            <w:gridSpan w:val="2"/>
            <w:noWrap w:val="0"/>
            <w:vAlign w:val="center"/>
          </w:tcPr>
          <w:p w14:paraId="382024A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55" w:type="dxa"/>
            <w:noWrap w:val="0"/>
            <w:vAlign w:val="center"/>
          </w:tcPr>
          <w:p w14:paraId="160E250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4105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trPr>
        <w:tc>
          <w:tcPr>
            <w:tcW w:w="1386" w:type="dxa"/>
            <w:gridSpan w:val="2"/>
            <w:vMerge w:val="continue"/>
            <w:noWrap w:val="0"/>
            <w:vAlign w:val="center"/>
          </w:tcPr>
          <w:p w14:paraId="2D0E6AB8">
            <w:pPr>
              <w:spacing w:line="240" w:lineRule="auto"/>
              <w:ind w:firstLine="0" w:firstLineChars="0"/>
              <w:jc w:val="center"/>
              <w:rPr>
                <w:rFonts w:hint="eastAsia" w:ascii="宋体" w:hAnsi="宋体" w:eastAsia="宋体" w:cs="宋体"/>
                <w:sz w:val="22"/>
                <w:szCs w:val="22"/>
              </w:rPr>
            </w:pPr>
          </w:p>
        </w:tc>
        <w:tc>
          <w:tcPr>
            <w:tcW w:w="1091" w:type="dxa"/>
            <w:gridSpan w:val="2"/>
            <w:noWrap w:val="0"/>
            <w:vAlign w:val="center"/>
          </w:tcPr>
          <w:p w14:paraId="6736656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03" w:type="dxa"/>
            <w:noWrap w:val="0"/>
            <w:vAlign w:val="center"/>
          </w:tcPr>
          <w:p w14:paraId="2DE3B270">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5万元</w:t>
            </w:r>
          </w:p>
        </w:tc>
        <w:tc>
          <w:tcPr>
            <w:tcW w:w="1082" w:type="dxa"/>
            <w:gridSpan w:val="2"/>
            <w:noWrap w:val="0"/>
            <w:vAlign w:val="center"/>
          </w:tcPr>
          <w:p w14:paraId="17218BCD">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5万元</w:t>
            </w:r>
          </w:p>
        </w:tc>
        <w:tc>
          <w:tcPr>
            <w:tcW w:w="1380" w:type="dxa"/>
            <w:gridSpan w:val="2"/>
            <w:noWrap w:val="0"/>
            <w:vAlign w:val="center"/>
          </w:tcPr>
          <w:p w14:paraId="1F4214C3">
            <w:pPr>
              <w:spacing w:line="240" w:lineRule="auto"/>
              <w:ind w:firstLine="0" w:firstLineChars="0"/>
              <w:jc w:val="center"/>
              <w:rPr>
                <w:rFonts w:hint="eastAsia" w:ascii="宋体" w:hAnsi="宋体" w:eastAsia="宋体" w:cs="宋体"/>
                <w:spacing w:val="-5"/>
                <w:sz w:val="22"/>
                <w:szCs w:val="22"/>
                <w:lang w:val="en-US" w:eastAsia="zh-CN"/>
              </w:rPr>
            </w:pPr>
            <w:r>
              <w:rPr>
                <w:rFonts w:hint="eastAsia" w:ascii="宋体" w:hAnsi="宋体" w:eastAsia="宋体" w:cs="宋体"/>
                <w:spacing w:val="-5"/>
                <w:sz w:val="22"/>
                <w:szCs w:val="22"/>
                <w:lang w:val="en-US" w:eastAsia="zh-CN"/>
              </w:rPr>
              <w:t>5万元</w:t>
            </w:r>
          </w:p>
        </w:tc>
        <w:tc>
          <w:tcPr>
            <w:tcW w:w="721" w:type="dxa"/>
            <w:gridSpan w:val="2"/>
            <w:noWrap w:val="0"/>
            <w:vAlign w:val="center"/>
          </w:tcPr>
          <w:p w14:paraId="67B2C36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1" w:type="dxa"/>
            <w:gridSpan w:val="2"/>
            <w:noWrap w:val="0"/>
            <w:vAlign w:val="center"/>
          </w:tcPr>
          <w:p w14:paraId="05EA1762">
            <w:pPr>
              <w:spacing w:line="240" w:lineRule="auto"/>
              <w:ind w:firstLine="0" w:firstLineChars="0"/>
              <w:jc w:val="center"/>
              <w:rPr>
                <w:rFonts w:hint="eastAsia" w:ascii="宋体" w:hAnsi="宋体" w:eastAsia="宋体" w:cs="宋体"/>
                <w:sz w:val="22"/>
                <w:szCs w:val="22"/>
              </w:rPr>
            </w:pPr>
          </w:p>
        </w:tc>
        <w:tc>
          <w:tcPr>
            <w:tcW w:w="1055" w:type="dxa"/>
            <w:noWrap w:val="0"/>
            <w:vAlign w:val="center"/>
          </w:tcPr>
          <w:p w14:paraId="38AE527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CD8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trPr>
        <w:tc>
          <w:tcPr>
            <w:tcW w:w="1386" w:type="dxa"/>
            <w:gridSpan w:val="2"/>
            <w:vMerge w:val="continue"/>
            <w:noWrap w:val="0"/>
            <w:vAlign w:val="center"/>
          </w:tcPr>
          <w:p w14:paraId="43545342">
            <w:pPr>
              <w:spacing w:line="240" w:lineRule="auto"/>
              <w:ind w:firstLine="0" w:firstLineChars="0"/>
              <w:jc w:val="center"/>
              <w:rPr>
                <w:rFonts w:hint="eastAsia" w:ascii="宋体" w:hAnsi="宋体" w:eastAsia="宋体" w:cs="宋体"/>
                <w:sz w:val="22"/>
                <w:szCs w:val="22"/>
              </w:rPr>
            </w:pPr>
          </w:p>
        </w:tc>
        <w:tc>
          <w:tcPr>
            <w:tcW w:w="1091" w:type="dxa"/>
            <w:gridSpan w:val="2"/>
            <w:noWrap w:val="0"/>
            <w:vAlign w:val="center"/>
          </w:tcPr>
          <w:p w14:paraId="464D547B">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4D70DCD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03" w:type="dxa"/>
            <w:noWrap w:val="0"/>
            <w:vAlign w:val="center"/>
          </w:tcPr>
          <w:p w14:paraId="14B4984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082" w:type="dxa"/>
            <w:gridSpan w:val="2"/>
            <w:noWrap w:val="0"/>
            <w:vAlign w:val="center"/>
          </w:tcPr>
          <w:p w14:paraId="2A0463A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380" w:type="dxa"/>
            <w:gridSpan w:val="2"/>
            <w:noWrap w:val="0"/>
            <w:vAlign w:val="center"/>
          </w:tcPr>
          <w:p w14:paraId="03AB188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721" w:type="dxa"/>
            <w:gridSpan w:val="2"/>
            <w:noWrap w:val="0"/>
            <w:vAlign w:val="center"/>
          </w:tcPr>
          <w:p w14:paraId="4873A9D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1" w:type="dxa"/>
            <w:gridSpan w:val="2"/>
            <w:noWrap w:val="0"/>
            <w:vAlign w:val="center"/>
          </w:tcPr>
          <w:p w14:paraId="5F16BC26">
            <w:pPr>
              <w:spacing w:line="240" w:lineRule="auto"/>
              <w:ind w:firstLine="0" w:firstLineChars="0"/>
              <w:jc w:val="center"/>
              <w:rPr>
                <w:rFonts w:hint="eastAsia" w:ascii="宋体" w:hAnsi="宋体" w:eastAsia="宋体" w:cs="宋体"/>
                <w:sz w:val="22"/>
                <w:szCs w:val="22"/>
              </w:rPr>
            </w:pPr>
          </w:p>
        </w:tc>
        <w:tc>
          <w:tcPr>
            <w:tcW w:w="1055" w:type="dxa"/>
            <w:noWrap w:val="0"/>
            <w:vAlign w:val="center"/>
          </w:tcPr>
          <w:p w14:paraId="4BA3B26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23940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1386" w:type="dxa"/>
            <w:gridSpan w:val="2"/>
            <w:vMerge w:val="continue"/>
            <w:noWrap w:val="0"/>
            <w:vAlign w:val="center"/>
          </w:tcPr>
          <w:p w14:paraId="07F51219">
            <w:pPr>
              <w:spacing w:line="240" w:lineRule="auto"/>
              <w:ind w:firstLine="0" w:firstLineChars="0"/>
              <w:jc w:val="center"/>
              <w:rPr>
                <w:rFonts w:hint="eastAsia" w:ascii="宋体" w:hAnsi="宋体" w:eastAsia="宋体" w:cs="宋体"/>
                <w:sz w:val="22"/>
                <w:szCs w:val="22"/>
              </w:rPr>
            </w:pPr>
          </w:p>
        </w:tc>
        <w:tc>
          <w:tcPr>
            <w:tcW w:w="1091" w:type="dxa"/>
            <w:gridSpan w:val="2"/>
            <w:noWrap w:val="0"/>
            <w:vAlign w:val="center"/>
          </w:tcPr>
          <w:p w14:paraId="382F68B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03" w:type="dxa"/>
            <w:noWrap w:val="0"/>
            <w:vAlign w:val="center"/>
          </w:tcPr>
          <w:p w14:paraId="097E884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082" w:type="dxa"/>
            <w:gridSpan w:val="2"/>
            <w:noWrap w:val="0"/>
            <w:vAlign w:val="center"/>
          </w:tcPr>
          <w:p w14:paraId="0588A37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1380" w:type="dxa"/>
            <w:gridSpan w:val="2"/>
            <w:noWrap w:val="0"/>
            <w:vAlign w:val="center"/>
          </w:tcPr>
          <w:p w14:paraId="063A73D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w:t>
            </w:r>
          </w:p>
        </w:tc>
        <w:tc>
          <w:tcPr>
            <w:tcW w:w="721" w:type="dxa"/>
            <w:gridSpan w:val="2"/>
            <w:noWrap w:val="0"/>
            <w:vAlign w:val="center"/>
          </w:tcPr>
          <w:p w14:paraId="4056FFA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1" w:type="dxa"/>
            <w:gridSpan w:val="2"/>
            <w:noWrap w:val="0"/>
            <w:vAlign w:val="center"/>
          </w:tcPr>
          <w:p w14:paraId="511AE26A">
            <w:pPr>
              <w:spacing w:line="240" w:lineRule="auto"/>
              <w:ind w:firstLine="0" w:firstLineChars="0"/>
              <w:jc w:val="center"/>
              <w:rPr>
                <w:rFonts w:hint="eastAsia" w:ascii="宋体" w:hAnsi="宋体" w:eastAsia="宋体" w:cs="宋体"/>
                <w:sz w:val="22"/>
                <w:szCs w:val="22"/>
              </w:rPr>
            </w:pPr>
          </w:p>
        </w:tc>
        <w:tc>
          <w:tcPr>
            <w:tcW w:w="1055" w:type="dxa"/>
            <w:noWrap w:val="0"/>
            <w:vAlign w:val="center"/>
          </w:tcPr>
          <w:p w14:paraId="69708D6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1FF4E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634" w:type="dxa"/>
            <w:vMerge w:val="restart"/>
            <w:noWrap w:val="0"/>
            <w:vAlign w:val="center"/>
          </w:tcPr>
          <w:p w14:paraId="63FD23D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3928" w:type="dxa"/>
            <w:gridSpan w:val="6"/>
            <w:noWrap w:val="0"/>
            <w:vAlign w:val="center"/>
          </w:tcPr>
          <w:p w14:paraId="6E866CF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797" w:type="dxa"/>
            <w:gridSpan w:val="7"/>
            <w:noWrap w:val="0"/>
            <w:vAlign w:val="center"/>
          </w:tcPr>
          <w:p w14:paraId="3E99FCE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6D5AE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09" w:hRule="atLeast"/>
        </w:trPr>
        <w:tc>
          <w:tcPr>
            <w:tcW w:w="634" w:type="dxa"/>
            <w:vMerge w:val="continue"/>
            <w:noWrap w:val="0"/>
            <w:vAlign w:val="center"/>
          </w:tcPr>
          <w:p w14:paraId="5BE77DC8">
            <w:pPr>
              <w:spacing w:line="240" w:lineRule="auto"/>
              <w:ind w:firstLine="0" w:firstLineChars="0"/>
              <w:jc w:val="center"/>
              <w:rPr>
                <w:rFonts w:hint="eastAsia" w:ascii="宋体" w:hAnsi="宋体" w:eastAsia="宋体" w:cs="宋体"/>
                <w:sz w:val="22"/>
                <w:szCs w:val="22"/>
              </w:rPr>
            </w:pPr>
          </w:p>
        </w:tc>
        <w:tc>
          <w:tcPr>
            <w:tcW w:w="3928" w:type="dxa"/>
            <w:gridSpan w:val="6"/>
            <w:noWrap w:val="0"/>
            <w:vAlign w:val="center"/>
          </w:tcPr>
          <w:p w14:paraId="7DC965E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color w:val="000000"/>
                <w:kern w:val="0"/>
                <w:sz w:val="22"/>
                <w:szCs w:val="22"/>
                <w:lang w:eastAsia="zh-CN"/>
              </w:rPr>
              <w:t>全</w:t>
            </w:r>
            <w:r>
              <w:rPr>
                <w:rFonts w:hint="eastAsia" w:ascii="宋体" w:hAnsi="宋体" w:eastAsia="宋体" w:cs="宋体"/>
                <w:color w:val="000000"/>
                <w:kern w:val="0"/>
                <w:sz w:val="22"/>
                <w:szCs w:val="22"/>
              </w:rPr>
              <w:t>面提高新区红十字会工作的影响力，发挥好红十字会在人道主义救治方面的作用。</w:t>
            </w:r>
          </w:p>
        </w:tc>
        <w:tc>
          <w:tcPr>
            <w:tcW w:w="3797" w:type="dxa"/>
            <w:gridSpan w:val="7"/>
            <w:noWrap w:val="0"/>
            <w:vAlign w:val="center"/>
          </w:tcPr>
          <w:p w14:paraId="59742BB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color w:val="000000"/>
                <w:kern w:val="0"/>
                <w:sz w:val="22"/>
                <w:szCs w:val="22"/>
              </w:rPr>
              <w:t>202</w:t>
            </w:r>
            <w:r>
              <w:rPr>
                <w:rFonts w:hint="eastAsia" w:ascii="宋体" w:hAnsi="宋体" w:eastAsia="宋体" w:cs="宋体"/>
                <w:color w:val="000000"/>
                <w:kern w:val="0"/>
                <w:sz w:val="22"/>
                <w:szCs w:val="22"/>
                <w:lang w:val="en-US" w:eastAsia="zh-CN"/>
              </w:rPr>
              <w:t>2</w:t>
            </w:r>
            <w:r>
              <w:rPr>
                <w:rFonts w:hint="eastAsia" w:ascii="宋体" w:hAnsi="宋体" w:eastAsia="宋体" w:cs="宋体"/>
                <w:color w:val="000000"/>
                <w:kern w:val="0"/>
                <w:sz w:val="22"/>
                <w:szCs w:val="22"/>
              </w:rPr>
              <w:t>年</w:t>
            </w:r>
            <w:r>
              <w:rPr>
                <w:rFonts w:hint="eastAsia" w:ascii="宋体" w:hAnsi="宋体" w:eastAsia="宋体" w:cs="宋体"/>
                <w:color w:val="000000"/>
                <w:kern w:val="0"/>
                <w:sz w:val="22"/>
                <w:szCs w:val="22"/>
                <w:lang w:val="en-US" w:eastAsia="zh-CN"/>
              </w:rPr>
              <w:t>9</w:t>
            </w:r>
            <w:r>
              <w:rPr>
                <w:rFonts w:hint="eastAsia" w:ascii="宋体" w:hAnsi="宋体" w:eastAsia="宋体" w:cs="宋体"/>
                <w:color w:val="000000"/>
                <w:kern w:val="0"/>
                <w:sz w:val="22"/>
                <w:szCs w:val="22"/>
              </w:rPr>
              <w:t>月</w:t>
            </w:r>
            <w:r>
              <w:rPr>
                <w:rFonts w:hint="eastAsia" w:ascii="宋体" w:hAnsi="宋体" w:eastAsia="宋体" w:cs="宋体"/>
                <w:color w:val="000000"/>
                <w:kern w:val="0"/>
                <w:sz w:val="22"/>
                <w:szCs w:val="22"/>
                <w:lang w:eastAsia="zh-CN"/>
              </w:rPr>
              <w:t>邀请甘肃省</w:t>
            </w:r>
            <w:r>
              <w:rPr>
                <w:rFonts w:hint="eastAsia" w:ascii="宋体" w:hAnsi="宋体" w:eastAsia="宋体" w:cs="宋体"/>
                <w:color w:val="000000"/>
                <w:kern w:val="0"/>
                <w:sz w:val="22"/>
                <w:szCs w:val="22"/>
              </w:rPr>
              <w:t>红十字应急救护培训基地（甘肃明睿心理服务中心）</w:t>
            </w:r>
            <w:r>
              <w:rPr>
                <w:rFonts w:hint="eastAsia" w:ascii="宋体" w:hAnsi="宋体" w:eastAsia="宋体" w:cs="宋体"/>
                <w:color w:val="000000"/>
                <w:kern w:val="0"/>
                <w:sz w:val="22"/>
                <w:szCs w:val="22"/>
                <w:lang w:eastAsia="zh-CN"/>
              </w:rPr>
              <w:t>对新区化工园区生产企业工作人员</w:t>
            </w:r>
            <w:r>
              <w:rPr>
                <w:rFonts w:hint="eastAsia" w:ascii="宋体" w:hAnsi="宋体" w:eastAsia="宋体" w:cs="宋体"/>
                <w:color w:val="000000"/>
                <w:kern w:val="0"/>
                <w:sz w:val="22"/>
                <w:szCs w:val="22"/>
              </w:rPr>
              <w:t>开展了红十字救护员培训</w:t>
            </w:r>
            <w:r>
              <w:rPr>
                <w:rFonts w:hint="eastAsia" w:ascii="宋体" w:hAnsi="宋体" w:eastAsia="宋体" w:cs="宋体"/>
                <w:color w:val="000000"/>
                <w:kern w:val="0"/>
                <w:sz w:val="22"/>
                <w:szCs w:val="22"/>
                <w:lang w:eastAsia="zh-CN"/>
              </w:rPr>
              <w:t>活动</w:t>
            </w:r>
            <w:r>
              <w:rPr>
                <w:rFonts w:hint="eastAsia" w:ascii="宋体" w:hAnsi="宋体" w:eastAsia="宋体" w:cs="宋体"/>
                <w:color w:val="000000"/>
                <w:kern w:val="0"/>
                <w:sz w:val="22"/>
                <w:szCs w:val="22"/>
              </w:rPr>
              <w:t>，培训人数</w:t>
            </w:r>
            <w:r>
              <w:rPr>
                <w:rFonts w:hint="eastAsia" w:ascii="宋体" w:hAnsi="宋体" w:eastAsia="宋体" w:cs="宋体"/>
                <w:color w:val="000000"/>
                <w:kern w:val="0"/>
                <w:sz w:val="22"/>
                <w:szCs w:val="22"/>
                <w:lang w:val="en-US" w:eastAsia="zh-CN"/>
              </w:rPr>
              <w:t>300</w:t>
            </w:r>
            <w:r>
              <w:rPr>
                <w:rFonts w:hint="eastAsia" w:ascii="宋体" w:hAnsi="宋体" w:eastAsia="宋体" w:cs="宋体"/>
                <w:color w:val="000000"/>
                <w:kern w:val="0"/>
                <w:sz w:val="22"/>
                <w:szCs w:val="22"/>
              </w:rPr>
              <w:t>人，培训费用为每人1</w:t>
            </w:r>
            <w:r>
              <w:rPr>
                <w:rFonts w:hint="eastAsia" w:ascii="宋体" w:hAnsi="宋体" w:eastAsia="宋体" w:cs="宋体"/>
                <w:color w:val="000000"/>
                <w:kern w:val="0"/>
                <w:sz w:val="22"/>
                <w:szCs w:val="22"/>
                <w:lang w:val="en-US" w:eastAsia="zh-CN"/>
              </w:rPr>
              <w:t>7</w:t>
            </w:r>
            <w:r>
              <w:rPr>
                <w:rFonts w:hint="eastAsia" w:ascii="宋体" w:hAnsi="宋体" w:eastAsia="宋体" w:cs="宋体"/>
                <w:color w:val="000000"/>
                <w:kern w:val="0"/>
                <w:sz w:val="22"/>
                <w:szCs w:val="22"/>
              </w:rPr>
              <w:t>0元，合计</w:t>
            </w:r>
            <w:r>
              <w:rPr>
                <w:rFonts w:hint="eastAsia" w:ascii="宋体" w:hAnsi="宋体" w:eastAsia="宋体" w:cs="宋体"/>
                <w:color w:val="000000"/>
                <w:kern w:val="0"/>
                <w:sz w:val="22"/>
                <w:szCs w:val="22"/>
                <w:lang w:val="en-US" w:eastAsia="zh-CN"/>
              </w:rPr>
              <w:t>5.1万</w:t>
            </w:r>
            <w:r>
              <w:rPr>
                <w:rFonts w:hint="eastAsia" w:ascii="宋体" w:hAnsi="宋体" w:eastAsia="宋体" w:cs="宋体"/>
                <w:color w:val="000000"/>
                <w:kern w:val="0"/>
                <w:sz w:val="22"/>
                <w:szCs w:val="22"/>
              </w:rPr>
              <w:t>元。</w:t>
            </w:r>
          </w:p>
        </w:tc>
      </w:tr>
      <w:tr w14:paraId="2F63E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trPr>
        <w:tc>
          <w:tcPr>
            <w:tcW w:w="634" w:type="dxa"/>
            <w:vMerge w:val="restart"/>
            <w:noWrap w:val="0"/>
            <w:vAlign w:val="center"/>
          </w:tcPr>
          <w:p w14:paraId="7C818E53">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52" w:type="dxa"/>
            <w:noWrap w:val="0"/>
            <w:vAlign w:val="center"/>
          </w:tcPr>
          <w:p w14:paraId="55BE53A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0F02DF4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2" w:type="dxa"/>
            <w:noWrap w:val="0"/>
            <w:vAlign w:val="center"/>
          </w:tcPr>
          <w:p w14:paraId="28CAF8E4">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695BC04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6" w:type="dxa"/>
            <w:gridSpan w:val="3"/>
            <w:noWrap w:val="0"/>
            <w:vAlign w:val="center"/>
          </w:tcPr>
          <w:p w14:paraId="387F3F0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888" w:type="dxa"/>
            <w:noWrap w:val="0"/>
            <w:vAlign w:val="center"/>
          </w:tcPr>
          <w:p w14:paraId="6369AE8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18" w:type="dxa"/>
            <w:noWrap w:val="0"/>
            <w:vAlign w:val="center"/>
          </w:tcPr>
          <w:p w14:paraId="5B45265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32" w:type="dxa"/>
            <w:gridSpan w:val="2"/>
            <w:noWrap w:val="0"/>
            <w:vAlign w:val="center"/>
          </w:tcPr>
          <w:p w14:paraId="660BB52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29" w:type="dxa"/>
            <w:gridSpan w:val="2"/>
            <w:noWrap w:val="0"/>
            <w:vAlign w:val="center"/>
          </w:tcPr>
          <w:p w14:paraId="302928E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18" w:type="dxa"/>
            <w:gridSpan w:val="2"/>
            <w:noWrap w:val="0"/>
            <w:vAlign w:val="center"/>
          </w:tcPr>
          <w:p w14:paraId="645226D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01A32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634" w:type="dxa"/>
            <w:vMerge w:val="continue"/>
            <w:noWrap w:val="0"/>
            <w:textDirection w:val="tbRlV"/>
            <w:vAlign w:val="center"/>
          </w:tcPr>
          <w:p w14:paraId="479CD8A7">
            <w:pPr>
              <w:spacing w:line="240" w:lineRule="auto"/>
              <w:ind w:left="113" w:right="113" w:firstLine="0" w:firstLineChars="0"/>
              <w:jc w:val="center"/>
              <w:rPr>
                <w:rFonts w:hint="eastAsia" w:ascii="宋体" w:hAnsi="宋体" w:eastAsia="宋体" w:cs="宋体"/>
                <w:sz w:val="22"/>
                <w:szCs w:val="22"/>
              </w:rPr>
            </w:pPr>
          </w:p>
        </w:tc>
        <w:tc>
          <w:tcPr>
            <w:tcW w:w="752" w:type="dxa"/>
            <w:vMerge w:val="restart"/>
            <w:noWrap w:val="0"/>
            <w:vAlign w:val="center"/>
          </w:tcPr>
          <w:p w14:paraId="13F099F3">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37BA11B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2" w:type="dxa"/>
            <w:vMerge w:val="restart"/>
            <w:noWrap w:val="0"/>
            <w:vAlign w:val="center"/>
          </w:tcPr>
          <w:p w14:paraId="17B73F2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5605CB1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6" w:type="dxa"/>
            <w:gridSpan w:val="3"/>
            <w:noWrap w:val="0"/>
            <w:vAlign w:val="center"/>
          </w:tcPr>
          <w:p w14:paraId="66169B01">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开展宣传和</w:t>
            </w:r>
            <w:r>
              <w:rPr>
                <w:rFonts w:hint="eastAsia" w:ascii="宋体" w:hAnsi="宋体" w:eastAsia="宋体" w:cs="宋体"/>
                <w:color w:val="000000"/>
                <w:kern w:val="0"/>
                <w:sz w:val="22"/>
                <w:szCs w:val="22"/>
                <w:lang w:eastAsia="zh-CN"/>
              </w:rPr>
              <w:t>红十字救护员</w:t>
            </w:r>
            <w:r>
              <w:rPr>
                <w:rFonts w:hint="eastAsia" w:ascii="宋体" w:hAnsi="宋体" w:eastAsia="宋体" w:cs="宋体"/>
                <w:color w:val="000000"/>
                <w:kern w:val="0"/>
                <w:sz w:val="22"/>
                <w:szCs w:val="22"/>
              </w:rPr>
              <w:t>培训活动</w:t>
            </w:r>
          </w:p>
        </w:tc>
        <w:tc>
          <w:tcPr>
            <w:tcW w:w="888" w:type="dxa"/>
            <w:noWrap w:val="0"/>
            <w:vAlign w:val="center"/>
          </w:tcPr>
          <w:p w14:paraId="1C46A5FA">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4次</w:t>
            </w:r>
          </w:p>
        </w:tc>
        <w:tc>
          <w:tcPr>
            <w:tcW w:w="818" w:type="dxa"/>
            <w:noWrap w:val="0"/>
            <w:vAlign w:val="center"/>
          </w:tcPr>
          <w:p w14:paraId="0605E2B4">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sz w:val="22"/>
                <w:szCs w:val="22"/>
                <w:lang w:val="en-US" w:eastAsia="zh-CN"/>
              </w:rPr>
              <w:t>10次</w:t>
            </w:r>
          </w:p>
        </w:tc>
        <w:tc>
          <w:tcPr>
            <w:tcW w:w="632" w:type="dxa"/>
            <w:gridSpan w:val="2"/>
            <w:noWrap w:val="0"/>
            <w:vAlign w:val="center"/>
          </w:tcPr>
          <w:p w14:paraId="00954561">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7</w:t>
            </w:r>
          </w:p>
        </w:tc>
        <w:tc>
          <w:tcPr>
            <w:tcW w:w="729" w:type="dxa"/>
            <w:gridSpan w:val="2"/>
            <w:noWrap w:val="0"/>
            <w:vAlign w:val="center"/>
          </w:tcPr>
          <w:p w14:paraId="3F81913F">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7</w:t>
            </w:r>
          </w:p>
        </w:tc>
        <w:tc>
          <w:tcPr>
            <w:tcW w:w="1618" w:type="dxa"/>
            <w:gridSpan w:val="2"/>
            <w:noWrap w:val="0"/>
            <w:vAlign w:val="center"/>
          </w:tcPr>
          <w:p w14:paraId="7E0C6DEC">
            <w:pPr>
              <w:widowControl/>
              <w:spacing w:line="240" w:lineRule="auto"/>
              <w:ind w:firstLine="0" w:firstLineChars="0"/>
              <w:jc w:val="center"/>
              <w:rPr>
                <w:rFonts w:hint="eastAsia" w:ascii="宋体" w:hAnsi="宋体" w:eastAsia="宋体" w:cs="宋体"/>
                <w:snapToGrid w:val="0"/>
                <w:color w:val="000000"/>
                <w:kern w:val="0"/>
                <w:sz w:val="22"/>
                <w:szCs w:val="22"/>
                <w:lang w:val="en-US" w:eastAsia="zh-CN"/>
              </w:rPr>
            </w:pPr>
          </w:p>
        </w:tc>
      </w:tr>
      <w:tr w14:paraId="48E25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trPr>
        <w:tc>
          <w:tcPr>
            <w:tcW w:w="634" w:type="dxa"/>
            <w:vMerge w:val="continue"/>
            <w:noWrap w:val="0"/>
            <w:vAlign w:val="center"/>
          </w:tcPr>
          <w:p w14:paraId="28C0ABEB">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5A9B5F24">
            <w:pPr>
              <w:spacing w:line="240" w:lineRule="auto"/>
              <w:ind w:firstLine="0" w:firstLineChars="0"/>
              <w:jc w:val="center"/>
              <w:rPr>
                <w:rFonts w:hint="eastAsia" w:ascii="宋体" w:hAnsi="宋体" w:eastAsia="宋体" w:cs="宋体"/>
                <w:sz w:val="22"/>
                <w:szCs w:val="22"/>
              </w:rPr>
            </w:pPr>
          </w:p>
        </w:tc>
        <w:tc>
          <w:tcPr>
            <w:tcW w:w="832" w:type="dxa"/>
            <w:vMerge w:val="continue"/>
            <w:noWrap w:val="0"/>
            <w:vAlign w:val="center"/>
          </w:tcPr>
          <w:p w14:paraId="4E003218">
            <w:pPr>
              <w:spacing w:line="240" w:lineRule="auto"/>
              <w:ind w:firstLine="0" w:firstLineChars="0"/>
              <w:jc w:val="center"/>
              <w:rPr>
                <w:rFonts w:hint="eastAsia" w:ascii="宋体" w:hAnsi="宋体" w:eastAsia="宋体" w:cs="宋体"/>
                <w:sz w:val="22"/>
                <w:szCs w:val="22"/>
              </w:rPr>
            </w:pPr>
          </w:p>
        </w:tc>
        <w:tc>
          <w:tcPr>
            <w:tcW w:w="1456" w:type="dxa"/>
            <w:gridSpan w:val="3"/>
            <w:noWrap w:val="0"/>
            <w:vAlign w:val="center"/>
          </w:tcPr>
          <w:p w14:paraId="38408439">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无偿献血的宣传和组织工作</w:t>
            </w:r>
          </w:p>
        </w:tc>
        <w:tc>
          <w:tcPr>
            <w:tcW w:w="888" w:type="dxa"/>
            <w:noWrap w:val="0"/>
            <w:vAlign w:val="center"/>
          </w:tcPr>
          <w:p w14:paraId="097DFE38">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2次</w:t>
            </w:r>
          </w:p>
        </w:tc>
        <w:tc>
          <w:tcPr>
            <w:tcW w:w="818" w:type="dxa"/>
            <w:noWrap w:val="0"/>
            <w:vAlign w:val="center"/>
          </w:tcPr>
          <w:p w14:paraId="4CEAC017">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sz w:val="22"/>
                <w:szCs w:val="22"/>
                <w:lang w:val="en-US" w:eastAsia="zh-CN"/>
              </w:rPr>
              <w:t>12次</w:t>
            </w:r>
          </w:p>
        </w:tc>
        <w:tc>
          <w:tcPr>
            <w:tcW w:w="632" w:type="dxa"/>
            <w:gridSpan w:val="2"/>
            <w:noWrap w:val="0"/>
            <w:vAlign w:val="center"/>
          </w:tcPr>
          <w:p w14:paraId="0128E758">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7</w:t>
            </w:r>
          </w:p>
        </w:tc>
        <w:tc>
          <w:tcPr>
            <w:tcW w:w="729" w:type="dxa"/>
            <w:gridSpan w:val="2"/>
            <w:noWrap w:val="0"/>
            <w:vAlign w:val="center"/>
          </w:tcPr>
          <w:p w14:paraId="3A691927">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7</w:t>
            </w:r>
          </w:p>
        </w:tc>
        <w:tc>
          <w:tcPr>
            <w:tcW w:w="1618" w:type="dxa"/>
            <w:gridSpan w:val="2"/>
            <w:noWrap w:val="0"/>
            <w:vAlign w:val="center"/>
          </w:tcPr>
          <w:p w14:paraId="23337055">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p>
        </w:tc>
      </w:tr>
      <w:tr w14:paraId="1D736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634" w:type="dxa"/>
            <w:vMerge w:val="continue"/>
            <w:noWrap w:val="0"/>
            <w:vAlign w:val="center"/>
          </w:tcPr>
          <w:p w14:paraId="48796CD1">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75575394">
            <w:pPr>
              <w:spacing w:line="240" w:lineRule="auto"/>
              <w:ind w:firstLine="0" w:firstLineChars="0"/>
              <w:jc w:val="center"/>
              <w:rPr>
                <w:rFonts w:hint="eastAsia" w:ascii="宋体" w:hAnsi="宋体" w:eastAsia="宋体" w:cs="宋体"/>
                <w:sz w:val="22"/>
                <w:szCs w:val="22"/>
              </w:rPr>
            </w:pPr>
          </w:p>
        </w:tc>
        <w:tc>
          <w:tcPr>
            <w:tcW w:w="832" w:type="dxa"/>
            <w:vMerge w:val="restart"/>
            <w:noWrap w:val="0"/>
            <w:vAlign w:val="center"/>
          </w:tcPr>
          <w:p w14:paraId="271EDC8C">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051EE9A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6" w:type="dxa"/>
            <w:gridSpan w:val="3"/>
            <w:noWrap w:val="0"/>
            <w:vAlign w:val="center"/>
          </w:tcPr>
          <w:p w14:paraId="0BFE7C80">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宣传和</w:t>
            </w:r>
            <w:r>
              <w:rPr>
                <w:rFonts w:hint="eastAsia" w:ascii="宋体" w:hAnsi="宋体" w:eastAsia="宋体" w:cs="宋体"/>
                <w:color w:val="000000"/>
                <w:kern w:val="0"/>
                <w:sz w:val="22"/>
                <w:szCs w:val="22"/>
                <w:lang w:eastAsia="zh-CN"/>
              </w:rPr>
              <w:t>红十字救护员培训</w:t>
            </w:r>
            <w:r>
              <w:rPr>
                <w:rFonts w:hint="eastAsia" w:ascii="宋体" w:hAnsi="宋体" w:eastAsia="宋体" w:cs="宋体"/>
                <w:color w:val="000000"/>
                <w:kern w:val="0"/>
                <w:sz w:val="22"/>
                <w:szCs w:val="22"/>
              </w:rPr>
              <w:t>合格率</w:t>
            </w:r>
          </w:p>
        </w:tc>
        <w:tc>
          <w:tcPr>
            <w:tcW w:w="888" w:type="dxa"/>
            <w:noWrap w:val="0"/>
            <w:vAlign w:val="center"/>
          </w:tcPr>
          <w:p w14:paraId="1BD74B7C">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100%</w:t>
            </w:r>
          </w:p>
        </w:tc>
        <w:tc>
          <w:tcPr>
            <w:tcW w:w="818" w:type="dxa"/>
            <w:noWrap w:val="0"/>
            <w:vAlign w:val="center"/>
          </w:tcPr>
          <w:p w14:paraId="3B970607">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lang w:val="en-US" w:eastAsia="zh-CN"/>
              </w:rPr>
              <w:t>99</w:t>
            </w:r>
            <w:r>
              <w:rPr>
                <w:rFonts w:hint="eastAsia" w:ascii="宋体" w:hAnsi="宋体" w:eastAsia="宋体" w:cs="宋体"/>
                <w:color w:val="000000" w:themeColor="text1"/>
                <w:kern w:val="0"/>
                <w:sz w:val="22"/>
                <w:szCs w:val="22"/>
              </w:rPr>
              <w:t>%</w:t>
            </w:r>
          </w:p>
        </w:tc>
        <w:tc>
          <w:tcPr>
            <w:tcW w:w="632" w:type="dxa"/>
            <w:gridSpan w:val="2"/>
            <w:noWrap w:val="0"/>
            <w:vAlign w:val="center"/>
          </w:tcPr>
          <w:p w14:paraId="20B4931C">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7</w:t>
            </w:r>
          </w:p>
        </w:tc>
        <w:tc>
          <w:tcPr>
            <w:tcW w:w="729" w:type="dxa"/>
            <w:gridSpan w:val="2"/>
            <w:noWrap w:val="0"/>
            <w:vAlign w:val="center"/>
          </w:tcPr>
          <w:p w14:paraId="035885FF">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6.5</w:t>
            </w:r>
          </w:p>
        </w:tc>
        <w:tc>
          <w:tcPr>
            <w:tcW w:w="1618" w:type="dxa"/>
            <w:gridSpan w:val="2"/>
            <w:noWrap w:val="0"/>
            <w:vAlign w:val="center"/>
          </w:tcPr>
          <w:p w14:paraId="091858AD">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由于培训人员知识差异，培训</w:t>
            </w:r>
            <w:r>
              <w:rPr>
                <w:rFonts w:hint="default" w:ascii="宋体" w:hAnsi="宋体" w:eastAsia="宋体" w:cs="宋体"/>
                <w:color w:val="000000"/>
                <w:kern w:val="0"/>
                <w:sz w:val="22"/>
                <w:szCs w:val="22"/>
                <w:lang w:val="en-US" w:eastAsia="zh-CN"/>
              </w:rPr>
              <w:t>效果参差不齐</w:t>
            </w:r>
          </w:p>
        </w:tc>
      </w:tr>
      <w:tr w14:paraId="35294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634" w:type="dxa"/>
            <w:vMerge w:val="continue"/>
            <w:noWrap w:val="0"/>
            <w:vAlign w:val="center"/>
          </w:tcPr>
          <w:p w14:paraId="1B40B39C">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7A957A63">
            <w:pPr>
              <w:spacing w:line="240" w:lineRule="auto"/>
              <w:ind w:firstLine="0" w:firstLineChars="0"/>
              <w:jc w:val="center"/>
              <w:rPr>
                <w:rFonts w:hint="eastAsia" w:ascii="宋体" w:hAnsi="宋体" w:eastAsia="宋体" w:cs="宋体"/>
                <w:sz w:val="22"/>
                <w:szCs w:val="22"/>
              </w:rPr>
            </w:pPr>
          </w:p>
        </w:tc>
        <w:tc>
          <w:tcPr>
            <w:tcW w:w="832" w:type="dxa"/>
            <w:vMerge w:val="continue"/>
            <w:noWrap w:val="0"/>
            <w:vAlign w:val="center"/>
          </w:tcPr>
          <w:p w14:paraId="28208029">
            <w:pPr>
              <w:spacing w:line="240" w:lineRule="auto"/>
              <w:ind w:firstLine="0" w:firstLineChars="0"/>
              <w:jc w:val="center"/>
              <w:rPr>
                <w:rFonts w:hint="eastAsia" w:ascii="宋体" w:hAnsi="宋体" w:eastAsia="宋体" w:cs="宋体"/>
                <w:sz w:val="22"/>
                <w:szCs w:val="22"/>
              </w:rPr>
            </w:pPr>
          </w:p>
        </w:tc>
        <w:tc>
          <w:tcPr>
            <w:tcW w:w="1456" w:type="dxa"/>
            <w:gridSpan w:val="3"/>
            <w:noWrap w:val="0"/>
            <w:vAlign w:val="center"/>
          </w:tcPr>
          <w:p w14:paraId="11056EA1">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无偿献血的宣传和组织工作完成率</w:t>
            </w:r>
          </w:p>
        </w:tc>
        <w:tc>
          <w:tcPr>
            <w:tcW w:w="888" w:type="dxa"/>
            <w:noWrap w:val="0"/>
            <w:vAlign w:val="center"/>
          </w:tcPr>
          <w:p w14:paraId="5C1C3983">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eastAsia="zh-CN"/>
              </w:rPr>
              <w:t>及时</w:t>
            </w:r>
          </w:p>
        </w:tc>
        <w:tc>
          <w:tcPr>
            <w:tcW w:w="818" w:type="dxa"/>
            <w:noWrap w:val="0"/>
            <w:vAlign w:val="center"/>
          </w:tcPr>
          <w:p w14:paraId="5D8CD70B">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lang w:eastAsia="zh-CN"/>
              </w:rPr>
              <w:t>及时</w:t>
            </w:r>
          </w:p>
        </w:tc>
        <w:tc>
          <w:tcPr>
            <w:tcW w:w="632" w:type="dxa"/>
            <w:gridSpan w:val="2"/>
            <w:noWrap w:val="0"/>
            <w:vAlign w:val="center"/>
          </w:tcPr>
          <w:p w14:paraId="1813BE2B">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7</w:t>
            </w:r>
          </w:p>
        </w:tc>
        <w:tc>
          <w:tcPr>
            <w:tcW w:w="729" w:type="dxa"/>
            <w:gridSpan w:val="2"/>
            <w:noWrap w:val="0"/>
            <w:vAlign w:val="center"/>
          </w:tcPr>
          <w:p w14:paraId="5C974F2B">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7</w:t>
            </w:r>
          </w:p>
        </w:tc>
        <w:tc>
          <w:tcPr>
            <w:tcW w:w="1618" w:type="dxa"/>
            <w:gridSpan w:val="2"/>
            <w:noWrap w:val="0"/>
            <w:vAlign w:val="center"/>
          </w:tcPr>
          <w:p w14:paraId="2C5313B5">
            <w:pPr>
              <w:widowControl/>
              <w:spacing w:line="240" w:lineRule="auto"/>
              <w:ind w:firstLine="0" w:firstLineChars="0"/>
              <w:jc w:val="center"/>
              <w:rPr>
                <w:rFonts w:hint="eastAsia" w:ascii="宋体" w:hAnsi="宋体" w:eastAsia="宋体" w:cs="宋体"/>
                <w:snapToGrid w:val="0"/>
                <w:color w:val="000000"/>
                <w:kern w:val="0"/>
                <w:sz w:val="22"/>
                <w:szCs w:val="22"/>
                <w:lang w:val="en-US" w:eastAsia="zh-CN"/>
              </w:rPr>
            </w:pPr>
          </w:p>
        </w:tc>
      </w:tr>
      <w:tr w14:paraId="5FDE7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634" w:type="dxa"/>
            <w:vMerge w:val="continue"/>
            <w:noWrap w:val="0"/>
            <w:vAlign w:val="center"/>
          </w:tcPr>
          <w:p w14:paraId="540A9880">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40CD50EB">
            <w:pPr>
              <w:spacing w:line="240" w:lineRule="auto"/>
              <w:ind w:firstLine="0" w:firstLineChars="0"/>
              <w:jc w:val="center"/>
              <w:rPr>
                <w:rFonts w:hint="eastAsia" w:ascii="宋体" w:hAnsi="宋体" w:eastAsia="宋体" w:cs="宋体"/>
                <w:sz w:val="22"/>
                <w:szCs w:val="22"/>
              </w:rPr>
            </w:pPr>
          </w:p>
        </w:tc>
        <w:tc>
          <w:tcPr>
            <w:tcW w:w="832" w:type="dxa"/>
            <w:vMerge w:val="restart"/>
            <w:noWrap w:val="0"/>
            <w:vAlign w:val="center"/>
          </w:tcPr>
          <w:p w14:paraId="1EF1EDA8">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7A4E1CE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456" w:type="dxa"/>
            <w:gridSpan w:val="3"/>
            <w:noWrap w:val="0"/>
            <w:vAlign w:val="center"/>
          </w:tcPr>
          <w:p w14:paraId="735FE413">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宣传和</w:t>
            </w:r>
            <w:r>
              <w:rPr>
                <w:rFonts w:hint="eastAsia" w:ascii="宋体" w:hAnsi="宋体" w:eastAsia="宋体" w:cs="宋体"/>
                <w:color w:val="000000"/>
                <w:kern w:val="0"/>
                <w:sz w:val="22"/>
                <w:szCs w:val="22"/>
                <w:lang w:eastAsia="zh-CN"/>
              </w:rPr>
              <w:t>红十字救护员</w:t>
            </w:r>
            <w:r>
              <w:rPr>
                <w:rFonts w:hint="eastAsia" w:ascii="宋体" w:hAnsi="宋体" w:eastAsia="宋体" w:cs="宋体"/>
                <w:color w:val="000000"/>
                <w:kern w:val="0"/>
                <w:sz w:val="22"/>
                <w:szCs w:val="22"/>
              </w:rPr>
              <w:t>培训活动及时性</w:t>
            </w:r>
          </w:p>
        </w:tc>
        <w:tc>
          <w:tcPr>
            <w:tcW w:w="888" w:type="dxa"/>
            <w:noWrap w:val="0"/>
            <w:vAlign w:val="center"/>
          </w:tcPr>
          <w:p w14:paraId="59F19086">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及时性</w:t>
            </w:r>
          </w:p>
        </w:tc>
        <w:tc>
          <w:tcPr>
            <w:tcW w:w="818" w:type="dxa"/>
            <w:noWrap w:val="0"/>
            <w:vAlign w:val="center"/>
          </w:tcPr>
          <w:p w14:paraId="204629C4">
            <w:pPr>
              <w:widowControl/>
              <w:spacing w:line="240" w:lineRule="auto"/>
              <w:ind w:firstLine="0" w:firstLineChars="0"/>
              <w:jc w:val="center"/>
              <w:textAlignment w:val="center"/>
              <w:rPr>
                <w:rFonts w:hint="default"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lang w:val="en-US" w:eastAsia="zh-CN"/>
              </w:rPr>
              <w:t>100%</w:t>
            </w:r>
          </w:p>
        </w:tc>
        <w:tc>
          <w:tcPr>
            <w:tcW w:w="632" w:type="dxa"/>
            <w:gridSpan w:val="2"/>
            <w:noWrap w:val="0"/>
            <w:vAlign w:val="center"/>
          </w:tcPr>
          <w:p w14:paraId="021499F2">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7</w:t>
            </w:r>
          </w:p>
        </w:tc>
        <w:tc>
          <w:tcPr>
            <w:tcW w:w="729" w:type="dxa"/>
            <w:gridSpan w:val="2"/>
            <w:noWrap w:val="0"/>
            <w:vAlign w:val="center"/>
          </w:tcPr>
          <w:p w14:paraId="33638585">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7</w:t>
            </w:r>
          </w:p>
        </w:tc>
        <w:tc>
          <w:tcPr>
            <w:tcW w:w="1618" w:type="dxa"/>
            <w:gridSpan w:val="2"/>
            <w:noWrap w:val="0"/>
            <w:vAlign w:val="center"/>
          </w:tcPr>
          <w:p w14:paraId="787D2CEB">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p>
        </w:tc>
      </w:tr>
      <w:tr w14:paraId="07D9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634" w:type="dxa"/>
            <w:vMerge w:val="continue"/>
            <w:noWrap w:val="0"/>
            <w:vAlign w:val="center"/>
          </w:tcPr>
          <w:p w14:paraId="62D156C1">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2AE0612B">
            <w:pPr>
              <w:spacing w:line="240" w:lineRule="auto"/>
              <w:ind w:firstLine="0" w:firstLineChars="0"/>
              <w:jc w:val="center"/>
              <w:rPr>
                <w:rFonts w:hint="eastAsia" w:ascii="宋体" w:hAnsi="宋体" w:eastAsia="宋体" w:cs="宋体"/>
                <w:sz w:val="22"/>
                <w:szCs w:val="22"/>
              </w:rPr>
            </w:pPr>
          </w:p>
        </w:tc>
        <w:tc>
          <w:tcPr>
            <w:tcW w:w="832" w:type="dxa"/>
            <w:vMerge w:val="continue"/>
            <w:noWrap w:val="0"/>
            <w:vAlign w:val="center"/>
          </w:tcPr>
          <w:p w14:paraId="33A5C8E1">
            <w:pPr>
              <w:spacing w:line="240" w:lineRule="auto"/>
              <w:ind w:firstLine="0" w:firstLineChars="0"/>
              <w:jc w:val="center"/>
              <w:rPr>
                <w:rFonts w:hint="eastAsia" w:ascii="宋体" w:hAnsi="宋体" w:eastAsia="宋体" w:cs="宋体"/>
                <w:sz w:val="22"/>
                <w:szCs w:val="22"/>
              </w:rPr>
            </w:pPr>
          </w:p>
        </w:tc>
        <w:tc>
          <w:tcPr>
            <w:tcW w:w="1456" w:type="dxa"/>
            <w:gridSpan w:val="3"/>
            <w:noWrap w:val="0"/>
            <w:vAlign w:val="center"/>
          </w:tcPr>
          <w:p w14:paraId="28AEF81A">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无偿献血的宣传和组织工作及时性</w:t>
            </w:r>
          </w:p>
        </w:tc>
        <w:tc>
          <w:tcPr>
            <w:tcW w:w="888" w:type="dxa"/>
            <w:noWrap w:val="0"/>
            <w:vAlign w:val="center"/>
          </w:tcPr>
          <w:p w14:paraId="679D6161">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及时性</w:t>
            </w:r>
          </w:p>
        </w:tc>
        <w:tc>
          <w:tcPr>
            <w:tcW w:w="818" w:type="dxa"/>
            <w:noWrap w:val="0"/>
            <w:vAlign w:val="center"/>
          </w:tcPr>
          <w:p w14:paraId="72FA172A">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rPr>
              <w:t>100</w:t>
            </w:r>
            <w:r>
              <w:rPr>
                <w:rFonts w:hint="eastAsia" w:ascii="宋体" w:hAnsi="宋体" w:eastAsia="宋体" w:cs="宋体"/>
                <w:color w:val="000000" w:themeColor="text1"/>
                <w:kern w:val="0"/>
                <w:sz w:val="22"/>
                <w:szCs w:val="22"/>
                <w:lang w:val="en-US" w:eastAsia="zh-CN"/>
              </w:rPr>
              <w:t>%</w:t>
            </w:r>
          </w:p>
        </w:tc>
        <w:tc>
          <w:tcPr>
            <w:tcW w:w="632" w:type="dxa"/>
            <w:gridSpan w:val="2"/>
            <w:noWrap w:val="0"/>
            <w:vAlign w:val="center"/>
          </w:tcPr>
          <w:p w14:paraId="23561CDD">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7</w:t>
            </w:r>
          </w:p>
        </w:tc>
        <w:tc>
          <w:tcPr>
            <w:tcW w:w="729" w:type="dxa"/>
            <w:gridSpan w:val="2"/>
            <w:noWrap w:val="0"/>
            <w:vAlign w:val="center"/>
          </w:tcPr>
          <w:p w14:paraId="72588BB7">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7</w:t>
            </w:r>
          </w:p>
        </w:tc>
        <w:tc>
          <w:tcPr>
            <w:tcW w:w="1618" w:type="dxa"/>
            <w:gridSpan w:val="2"/>
            <w:noWrap w:val="0"/>
            <w:vAlign w:val="center"/>
          </w:tcPr>
          <w:p w14:paraId="54BDE44C">
            <w:pPr>
              <w:widowControl/>
              <w:spacing w:line="240" w:lineRule="auto"/>
              <w:ind w:firstLine="0" w:firstLineChars="0"/>
              <w:jc w:val="center"/>
              <w:rPr>
                <w:rFonts w:hint="eastAsia" w:ascii="宋体" w:hAnsi="宋体" w:eastAsia="宋体" w:cs="宋体"/>
                <w:snapToGrid w:val="0"/>
                <w:color w:val="000000"/>
                <w:kern w:val="0"/>
                <w:sz w:val="22"/>
                <w:szCs w:val="22"/>
                <w:lang w:val="en-US" w:eastAsia="zh-CN"/>
              </w:rPr>
            </w:pPr>
          </w:p>
        </w:tc>
      </w:tr>
      <w:tr w14:paraId="3A26F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trPr>
        <w:tc>
          <w:tcPr>
            <w:tcW w:w="634" w:type="dxa"/>
            <w:vMerge w:val="continue"/>
            <w:noWrap w:val="0"/>
            <w:vAlign w:val="center"/>
          </w:tcPr>
          <w:p w14:paraId="2877604A">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1506C078">
            <w:pPr>
              <w:spacing w:line="240" w:lineRule="auto"/>
              <w:ind w:firstLine="0" w:firstLineChars="0"/>
              <w:jc w:val="center"/>
              <w:rPr>
                <w:rFonts w:hint="eastAsia" w:ascii="宋体" w:hAnsi="宋体" w:eastAsia="宋体" w:cs="宋体"/>
                <w:sz w:val="22"/>
                <w:szCs w:val="22"/>
              </w:rPr>
            </w:pPr>
          </w:p>
        </w:tc>
        <w:tc>
          <w:tcPr>
            <w:tcW w:w="832" w:type="dxa"/>
            <w:noWrap w:val="0"/>
            <w:vAlign w:val="center"/>
          </w:tcPr>
          <w:p w14:paraId="440414D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成本</w:t>
            </w:r>
          </w:p>
          <w:p w14:paraId="5C460EF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6" w:type="dxa"/>
            <w:gridSpan w:val="3"/>
            <w:noWrap w:val="0"/>
            <w:vAlign w:val="center"/>
          </w:tcPr>
          <w:p w14:paraId="4A74E4AA">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成本控制率</w:t>
            </w:r>
          </w:p>
        </w:tc>
        <w:tc>
          <w:tcPr>
            <w:tcW w:w="888" w:type="dxa"/>
            <w:noWrap w:val="0"/>
            <w:vAlign w:val="center"/>
          </w:tcPr>
          <w:p w14:paraId="5D002204">
            <w:pPr>
              <w:widowControl/>
              <w:spacing w:line="240" w:lineRule="auto"/>
              <w:ind w:firstLine="0" w:firstLineChars="0"/>
              <w:jc w:val="center"/>
              <w:textAlignment w:val="center"/>
              <w:rPr>
                <w:rFonts w:hint="eastAsia" w:ascii="Arial" w:hAnsi="Arial" w:eastAsia="宋体" w:cs="Arial"/>
                <w:snapToGrid w:val="0"/>
                <w:color w:val="000000"/>
                <w:kern w:val="0"/>
                <w:sz w:val="22"/>
                <w:szCs w:val="22"/>
                <w:lang w:val="en-US" w:eastAsia="zh-CN"/>
              </w:rPr>
            </w:pPr>
            <w:r>
              <w:rPr>
                <w:rFonts w:ascii="Arial" w:hAnsi="Arial" w:eastAsia="宋体" w:cs="Arial"/>
                <w:color w:val="000000"/>
                <w:kern w:val="0"/>
                <w:sz w:val="22"/>
                <w:szCs w:val="22"/>
              </w:rPr>
              <w:t>≤</w:t>
            </w:r>
            <w:r>
              <w:rPr>
                <w:rStyle w:val="30"/>
                <w:rFonts w:hint="default"/>
                <w:sz w:val="22"/>
                <w:szCs w:val="22"/>
              </w:rPr>
              <w:t>100%</w:t>
            </w:r>
          </w:p>
        </w:tc>
        <w:tc>
          <w:tcPr>
            <w:tcW w:w="818" w:type="dxa"/>
            <w:noWrap w:val="0"/>
            <w:vAlign w:val="center"/>
          </w:tcPr>
          <w:p w14:paraId="2AE613CA">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rPr>
              <w:t>100%</w:t>
            </w:r>
          </w:p>
        </w:tc>
        <w:tc>
          <w:tcPr>
            <w:tcW w:w="632" w:type="dxa"/>
            <w:gridSpan w:val="2"/>
            <w:noWrap w:val="0"/>
            <w:vAlign w:val="center"/>
          </w:tcPr>
          <w:p w14:paraId="4FD5465A">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8</w:t>
            </w:r>
          </w:p>
        </w:tc>
        <w:tc>
          <w:tcPr>
            <w:tcW w:w="729" w:type="dxa"/>
            <w:gridSpan w:val="2"/>
            <w:noWrap w:val="0"/>
            <w:vAlign w:val="center"/>
          </w:tcPr>
          <w:p w14:paraId="2803FD25">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8</w:t>
            </w:r>
          </w:p>
        </w:tc>
        <w:tc>
          <w:tcPr>
            <w:tcW w:w="1618" w:type="dxa"/>
            <w:gridSpan w:val="2"/>
            <w:noWrap w:val="0"/>
            <w:vAlign w:val="center"/>
          </w:tcPr>
          <w:p w14:paraId="6AB2A87A">
            <w:pPr>
              <w:widowControl/>
              <w:spacing w:line="240" w:lineRule="auto"/>
              <w:ind w:firstLine="0" w:firstLineChars="0"/>
              <w:jc w:val="center"/>
              <w:rPr>
                <w:rFonts w:hint="eastAsia" w:ascii="宋体" w:hAnsi="宋体" w:eastAsia="宋体" w:cs="宋体"/>
                <w:snapToGrid w:val="0"/>
                <w:color w:val="000000"/>
                <w:kern w:val="0"/>
                <w:sz w:val="22"/>
                <w:szCs w:val="22"/>
                <w:lang w:val="en-US" w:eastAsia="zh-CN"/>
              </w:rPr>
            </w:pPr>
          </w:p>
        </w:tc>
      </w:tr>
      <w:tr w14:paraId="5BE75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7" w:hRule="atLeast"/>
        </w:trPr>
        <w:tc>
          <w:tcPr>
            <w:tcW w:w="634" w:type="dxa"/>
            <w:vMerge w:val="continue"/>
            <w:noWrap w:val="0"/>
            <w:textDirection w:val="tbRlV"/>
            <w:vAlign w:val="center"/>
          </w:tcPr>
          <w:p w14:paraId="0E8DEB6C">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395DC71C">
            <w:pPr>
              <w:spacing w:line="240" w:lineRule="auto"/>
              <w:ind w:firstLine="0" w:firstLineChars="0"/>
              <w:jc w:val="center"/>
              <w:rPr>
                <w:rFonts w:hint="eastAsia" w:ascii="宋体" w:hAnsi="宋体" w:eastAsia="宋体" w:cs="宋体"/>
                <w:sz w:val="22"/>
                <w:szCs w:val="22"/>
              </w:rPr>
            </w:pPr>
          </w:p>
        </w:tc>
        <w:tc>
          <w:tcPr>
            <w:tcW w:w="832" w:type="dxa"/>
            <w:vMerge w:val="restart"/>
            <w:noWrap w:val="0"/>
            <w:vAlign w:val="center"/>
          </w:tcPr>
          <w:p w14:paraId="1EFB047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456" w:type="dxa"/>
            <w:gridSpan w:val="3"/>
            <w:noWrap w:val="0"/>
            <w:vAlign w:val="center"/>
          </w:tcPr>
          <w:p w14:paraId="56896BA7">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提高新区红十字会工作的影响力</w:t>
            </w:r>
          </w:p>
        </w:tc>
        <w:tc>
          <w:tcPr>
            <w:tcW w:w="888" w:type="dxa"/>
            <w:noWrap w:val="0"/>
            <w:vAlign w:val="center"/>
          </w:tcPr>
          <w:p w14:paraId="768A053F">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eastAsia="zh-CN"/>
              </w:rPr>
              <w:t>提高</w:t>
            </w:r>
          </w:p>
        </w:tc>
        <w:tc>
          <w:tcPr>
            <w:tcW w:w="818" w:type="dxa"/>
            <w:noWrap w:val="0"/>
            <w:vAlign w:val="center"/>
          </w:tcPr>
          <w:p w14:paraId="38299659">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lang w:eastAsia="zh-CN"/>
              </w:rPr>
              <w:t>提高</w:t>
            </w:r>
          </w:p>
        </w:tc>
        <w:tc>
          <w:tcPr>
            <w:tcW w:w="632" w:type="dxa"/>
            <w:gridSpan w:val="2"/>
            <w:noWrap w:val="0"/>
            <w:vAlign w:val="center"/>
          </w:tcPr>
          <w:p w14:paraId="5D5EEF2C">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10</w:t>
            </w:r>
          </w:p>
        </w:tc>
        <w:tc>
          <w:tcPr>
            <w:tcW w:w="729" w:type="dxa"/>
            <w:gridSpan w:val="2"/>
            <w:noWrap w:val="0"/>
            <w:vAlign w:val="center"/>
          </w:tcPr>
          <w:p w14:paraId="50A9EBF2">
            <w:pPr>
              <w:widowControl/>
              <w:spacing w:line="240" w:lineRule="auto"/>
              <w:ind w:firstLine="0" w:firstLineChars="0"/>
              <w:jc w:val="center"/>
              <w:textAlignment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10</w:t>
            </w:r>
          </w:p>
        </w:tc>
        <w:tc>
          <w:tcPr>
            <w:tcW w:w="1618" w:type="dxa"/>
            <w:gridSpan w:val="2"/>
            <w:noWrap w:val="0"/>
            <w:vAlign w:val="center"/>
          </w:tcPr>
          <w:p w14:paraId="763ECF04">
            <w:pPr>
              <w:widowControl/>
              <w:spacing w:line="240" w:lineRule="auto"/>
              <w:ind w:firstLine="0" w:firstLineChars="0"/>
              <w:jc w:val="center"/>
              <w:rPr>
                <w:rFonts w:hint="eastAsia" w:ascii="宋体" w:hAnsi="宋体" w:eastAsia="宋体" w:cs="宋体"/>
                <w:snapToGrid w:val="0"/>
                <w:color w:val="000000"/>
                <w:kern w:val="0"/>
                <w:sz w:val="22"/>
                <w:szCs w:val="22"/>
                <w:lang w:val="en-US" w:eastAsia="zh-CN"/>
              </w:rPr>
            </w:pPr>
          </w:p>
        </w:tc>
      </w:tr>
      <w:tr w14:paraId="0F4E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trPr>
        <w:tc>
          <w:tcPr>
            <w:tcW w:w="634" w:type="dxa"/>
            <w:vMerge w:val="continue"/>
            <w:noWrap w:val="0"/>
            <w:textDirection w:val="tbRlV"/>
            <w:vAlign w:val="center"/>
          </w:tcPr>
          <w:p w14:paraId="31BB1950">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79E1E25B">
            <w:pPr>
              <w:spacing w:line="240" w:lineRule="auto"/>
              <w:ind w:firstLine="0" w:firstLineChars="0"/>
              <w:jc w:val="center"/>
              <w:rPr>
                <w:rFonts w:hint="eastAsia" w:ascii="宋体" w:hAnsi="宋体" w:eastAsia="宋体" w:cs="宋体"/>
                <w:sz w:val="22"/>
                <w:szCs w:val="22"/>
              </w:rPr>
            </w:pPr>
          </w:p>
        </w:tc>
        <w:tc>
          <w:tcPr>
            <w:tcW w:w="832" w:type="dxa"/>
            <w:vMerge w:val="continue"/>
            <w:noWrap w:val="0"/>
            <w:vAlign w:val="center"/>
          </w:tcPr>
          <w:p w14:paraId="657FB5B2">
            <w:pPr>
              <w:spacing w:line="240" w:lineRule="auto"/>
              <w:ind w:firstLine="0" w:firstLineChars="0"/>
              <w:jc w:val="center"/>
              <w:rPr>
                <w:rFonts w:hint="eastAsia" w:ascii="宋体" w:hAnsi="宋体" w:eastAsia="宋体" w:cs="宋体"/>
                <w:sz w:val="22"/>
                <w:szCs w:val="22"/>
              </w:rPr>
            </w:pPr>
          </w:p>
        </w:tc>
        <w:tc>
          <w:tcPr>
            <w:tcW w:w="1456" w:type="dxa"/>
            <w:gridSpan w:val="3"/>
            <w:noWrap w:val="0"/>
            <w:vAlign w:val="center"/>
          </w:tcPr>
          <w:p w14:paraId="7F84B552">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促进新区红会健康发展</w:t>
            </w:r>
          </w:p>
        </w:tc>
        <w:tc>
          <w:tcPr>
            <w:tcW w:w="888" w:type="dxa"/>
            <w:noWrap w:val="0"/>
            <w:vAlign w:val="center"/>
          </w:tcPr>
          <w:p w14:paraId="392A906A">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eastAsia="zh-CN"/>
              </w:rPr>
              <w:t>促进</w:t>
            </w:r>
          </w:p>
        </w:tc>
        <w:tc>
          <w:tcPr>
            <w:tcW w:w="818" w:type="dxa"/>
            <w:noWrap w:val="0"/>
            <w:vAlign w:val="center"/>
          </w:tcPr>
          <w:p w14:paraId="36C5D174">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lang w:eastAsia="zh-CN"/>
              </w:rPr>
              <w:t>促进</w:t>
            </w:r>
          </w:p>
        </w:tc>
        <w:tc>
          <w:tcPr>
            <w:tcW w:w="632" w:type="dxa"/>
            <w:gridSpan w:val="2"/>
            <w:noWrap w:val="0"/>
            <w:vAlign w:val="center"/>
          </w:tcPr>
          <w:p w14:paraId="2183E281">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10</w:t>
            </w:r>
          </w:p>
        </w:tc>
        <w:tc>
          <w:tcPr>
            <w:tcW w:w="729" w:type="dxa"/>
            <w:gridSpan w:val="2"/>
            <w:noWrap w:val="0"/>
            <w:vAlign w:val="center"/>
          </w:tcPr>
          <w:p w14:paraId="7FCD084C">
            <w:pPr>
              <w:widowControl/>
              <w:spacing w:line="240" w:lineRule="auto"/>
              <w:ind w:firstLine="0" w:firstLineChars="0"/>
              <w:jc w:val="center"/>
              <w:textAlignment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val="en-US" w:eastAsia="zh-CN"/>
              </w:rPr>
              <w:t>10</w:t>
            </w:r>
          </w:p>
        </w:tc>
        <w:tc>
          <w:tcPr>
            <w:tcW w:w="1618" w:type="dxa"/>
            <w:gridSpan w:val="2"/>
            <w:noWrap w:val="0"/>
            <w:vAlign w:val="center"/>
          </w:tcPr>
          <w:p w14:paraId="45195730">
            <w:pPr>
              <w:widowControl/>
              <w:spacing w:line="240" w:lineRule="auto"/>
              <w:ind w:firstLine="0" w:firstLineChars="0"/>
              <w:jc w:val="center"/>
              <w:rPr>
                <w:rFonts w:hint="eastAsia" w:ascii="宋体" w:hAnsi="宋体" w:eastAsia="宋体" w:cs="宋体"/>
                <w:snapToGrid w:val="0"/>
                <w:color w:val="000000"/>
                <w:kern w:val="0"/>
                <w:sz w:val="22"/>
                <w:szCs w:val="22"/>
                <w:lang w:val="en-US" w:eastAsia="zh-CN"/>
              </w:rPr>
            </w:pPr>
          </w:p>
        </w:tc>
      </w:tr>
      <w:tr w14:paraId="51323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6" w:hRule="atLeast"/>
        </w:trPr>
        <w:tc>
          <w:tcPr>
            <w:tcW w:w="634" w:type="dxa"/>
            <w:vMerge w:val="continue"/>
            <w:noWrap w:val="0"/>
            <w:textDirection w:val="tbRlV"/>
            <w:vAlign w:val="center"/>
          </w:tcPr>
          <w:p w14:paraId="3C11240F">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16151FF5">
            <w:pPr>
              <w:spacing w:line="240" w:lineRule="auto"/>
              <w:ind w:firstLine="0" w:firstLineChars="0"/>
              <w:jc w:val="center"/>
              <w:rPr>
                <w:rFonts w:hint="eastAsia" w:ascii="宋体" w:hAnsi="宋体" w:eastAsia="宋体" w:cs="宋体"/>
                <w:sz w:val="22"/>
                <w:szCs w:val="22"/>
              </w:rPr>
            </w:pPr>
          </w:p>
        </w:tc>
        <w:tc>
          <w:tcPr>
            <w:tcW w:w="832" w:type="dxa"/>
            <w:noWrap w:val="0"/>
            <w:vAlign w:val="center"/>
          </w:tcPr>
          <w:p w14:paraId="72D6A96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456" w:type="dxa"/>
            <w:gridSpan w:val="3"/>
            <w:noWrap w:val="0"/>
            <w:vAlign w:val="center"/>
          </w:tcPr>
          <w:p w14:paraId="17F1FBE4">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rPr>
              <w:t>发挥好红十字会在人道主义救治方面的作用</w:t>
            </w:r>
          </w:p>
        </w:tc>
        <w:tc>
          <w:tcPr>
            <w:tcW w:w="888" w:type="dxa"/>
            <w:noWrap w:val="0"/>
            <w:vAlign w:val="center"/>
          </w:tcPr>
          <w:p w14:paraId="68163237">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lang w:eastAsia="zh-CN"/>
              </w:rPr>
              <w:t>发挥</w:t>
            </w:r>
          </w:p>
        </w:tc>
        <w:tc>
          <w:tcPr>
            <w:tcW w:w="818" w:type="dxa"/>
            <w:noWrap w:val="0"/>
            <w:vAlign w:val="center"/>
          </w:tcPr>
          <w:p w14:paraId="49D8C15E">
            <w:pPr>
              <w:widowControl/>
              <w:spacing w:line="240" w:lineRule="auto"/>
              <w:ind w:firstLine="0" w:firstLineChars="0"/>
              <w:jc w:val="center"/>
              <w:textAlignment w:val="center"/>
              <w:rPr>
                <w:rFonts w:hint="eastAsia"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lang w:eastAsia="zh-CN"/>
              </w:rPr>
              <w:t>发挥</w:t>
            </w:r>
          </w:p>
        </w:tc>
        <w:tc>
          <w:tcPr>
            <w:tcW w:w="632" w:type="dxa"/>
            <w:gridSpan w:val="2"/>
            <w:noWrap w:val="0"/>
            <w:vAlign w:val="center"/>
          </w:tcPr>
          <w:p w14:paraId="026C6015">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10</w:t>
            </w:r>
          </w:p>
        </w:tc>
        <w:tc>
          <w:tcPr>
            <w:tcW w:w="729" w:type="dxa"/>
            <w:gridSpan w:val="2"/>
            <w:noWrap w:val="0"/>
            <w:vAlign w:val="center"/>
          </w:tcPr>
          <w:p w14:paraId="407D016F">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10</w:t>
            </w:r>
          </w:p>
        </w:tc>
        <w:tc>
          <w:tcPr>
            <w:tcW w:w="1618" w:type="dxa"/>
            <w:gridSpan w:val="2"/>
            <w:noWrap w:val="0"/>
            <w:vAlign w:val="center"/>
          </w:tcPr>
          <w:p w14:paraId="2CD5E178">
            <w:pPr>
              <w:widowControl/>
              <w:spacing w:line="240" w:lineRule="auto"/>
              <w:ind w:firstLine="0" w:firstLineChars="0"/>
              <w:jc w:val="center"/>
              <w:rPr>
                <w:rFonts w:hint="eastAsia" w:ascii="宋体" w:hAnsi="宋体" w:eastAsia="宋体" w:cs="宋体"/>
                <w:snapToGrid w:val="0"/>
                <w:color w:val="000000"/>
                <w:kern w:val="0"/>
                <w:sz w:val="22"/>
                <w:szCs w:val="22"/>
                <w:lang w:val="en-US" w:eastAsia="zh-CN"/>
              </w:rPr>
            </w:pPr>
          </w:p>
        </w:tc>
      </w:tr>
      <w:tr w14:paraId="5B5AB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6" w:hRule="atLeast"/>
        </w:trPr>
        <w:tc>
          <w:tcPr>
            <w:tcW w:w="634" w:type="dxa"/>
            <w:vMerge w:val="continue"/>
            <w:noWrap w:val="0"/>
            <w:vAlign w:val="center"/>
          </w:tcPr>
          <w:p w14:paraId="5E26D890">
            <w:pPr>
              <w:spacing w:line="240" w:lineRule="auto"/>
              <w:ind w:firstLine="0" w:firstLineChars="0"/>
              <w:jc w:val="center"/>
              <w:rPr>
                <w:rFonts w:hint="eastAsia" w:ascii="宋体" w:hAnsi="宋体" w:eastAsia="宋体" w:cs="宋体"/>
                <w:sz w:val="22"/>
                <w:szCs w:val="22"/>
              </w:rPr>
            </w:pPr>
          </w:p>
        </w:tc>
        <w:tc>
          <w:tcPr>
            <w:tcW w:w="752" w:type="dxa"/>
            <w:noWrap w:val="0"/>
            <w:vAlign w:val="center"/>
          </w:tcPr>
          <w:p w14:paraId="54DF702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32" w:type="dxa"/>
            <w:noWrap w:val="0"/>
            <w:vAlign w:val="center"/>
          </w:tcPr>
          <w:p w14:paraId="5C65523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456" w:type="dxa"/>
            <w:gridSpan w:val="3"/>
            <w:noWrap w:val="0"/>
            <w:vAlign w:val="center"/>
          </w:tcPr>
          <w:p w14:paraId="5CE11BF9">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公众满意度</w:t>
            </w:r>
          </w:p>
        </w:tc>
        <w:tc>
          <w:tcPr>
            <w:tcW w:w="888" w:type="dxa"/>
            <w:noWrap w:val="0"/>
            <w:vAlign w:val="center"/>
          </w:tcPr>
          <w:p w14:paraId="388DD8F1">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≥90%</w:t>
            </w:r>
          </w:p>
        </w:tc>
        <w:tc>
          <w:tcPr>
            <w:tcW w:w="818" w:type="dxa"/>
            <w:noWrap w:val="0"/>
            <w:vAlign w:val="center"/>
          </w:tcPr>
          <w:p w14:paraId="3D1FA42A">
            <w:pPr>
              <w:widowControl/>
              <w:spacing w:line="240" w:lineRule="auto"/>
              <w:ind w:firstLine="0" w:firstLineChars="0"/>
              <w:jc w:val="center"/>
              <w:textAlignment w:val="center"/>
              <w:rPr>
                <w:rFonts w:hint="default" w:ascii="宋体" w:hAnsi="宋体" w:eastAsia="宋体" w:cs="宋体"/>
                <w:snapToGrid w:val="0"/>
                <w:color w:val="000000" w:themeColor="text1"/>
                <w:kern w:val="0"/>
                <w:sz w:val="22"/>
                <w:szCs w:val="22"/>
                <w:lang w:val="en-US" w:eastAsia="zh-CN"/>
              </w:rPr>
            </w:pPr>
            <w:r>
              <w:rPr>
                <w:rFonts w:hint="eastAsia" w:ascii="宋体" w:hAnsi="宋体" w:eastAsia="宋体" w:cs="宋体"/>
                <w:color w:val="000000" w:themeColor="text1"/>
                <w:kern w:val="0"/>
                <w:sz w:val="22"/>
                <w:szCs w:val="22"/>
                <w:lang w:val="en-US" w:eastAsia="zh-CN"/>
              </w:rPr>
              <w:t>99%</w:t>
            </w:r>
          </w:p>
        </w:tc>
        <w:tc>
          <w:tcPr>
            <w:tcW w:w="632" w:type="dxa"/>
            <w:gridSpan w:val="2"/>
            <w:noWrap w:val="0"/>
            <w:vAlign w:val="center"/>
          </w:tcPr>
          <w:p w14:paraId="60ECE40A">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color w:val="000000"/>
                <w:kern w:val="0"/>
                <w:sz w:val="22"/>
                <w:szCs w:val="22"/>
              </w:rPr>
              <w:t>10</w:t>
            </w:r>
          </w:p>
        </w:tc>
        <w:tc>
          <w:tcPr>
            <w:tcW w:w="729" w:type="dxa"/>
            <w:gridSpan w:val="2"/>
            <w:noWrap w:val="0"/>
            <w:vAlign w:val="center"/>
          </w:tcPr>
          <w:p w14:paraId="750BD612">
            <w:pPr>
              <w:widowControl/>
              <w:spacing w:line="240" w:lineRule="auto"/>
              <w:ind w:firstLine="0" w:firstLineChars="0"/>
              <w:jc w:val="center"/>
              <w:textAlignment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color w:val="000000"/>
                <w:sz w:val="22"/>
                <w:szCs w:val="22"/>
                <w:lang w:val="en-US" w:eastAsia="zh-CN"/>
              </w:rPr>
              <w:t>10</w:t>
            </w:r>
          </w:p>
        </w:tc>
        <w:tc>
          <w:tcPr>
            <w:tcW w:w="1618" w:type="dxa"/>
            <w:gridSpan w:val="2"/>
            <w:noWrap w:val="0"/>
            <w:vAlign w:val="center"/>
          </w:tcPr>
          <w:p w14:paraId="2FFBAFF3">
            <w:pPr>
              <w:widowControl/>
              <w:spacing w:line="240" w:lineRule="auto"/>
              <w:ind w:firstLine="0" w:firstLineChars="0"/>
              <w:jc w:val="center"/>
              <w:textAlignment w:val="center"/>
              <w:rPr>
                <w:rFonts w:hint="eastAsia" w:ascii="宋体" w:hAnsi="宋体" w:eastAsia="宋体" w:cs="宋体"/>
                <w:snapToGrid w:val="0"/>
                <w:color w:val="000000"/>
                <w:kern w:val="0"/>
                <w:sz w:val="22"/>
                <w:szCs w:val="22"/>
                <w:lang w:val="en-US" w:eastAsia="zh-CN"/>
              </w:rPr>
            </w:pPr>
          </w:p>
        </w:tc>
      </w:tr>
      <w:tr w14:paraId="56CC4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5380" w:type="dxa"/>
            <w:gridSpan w:val="8"/>
            <w:noWrap w:val="0"/>
            <w:vAlign w:val="center"/>
          </w:tcPr>
          <w:p w14:paraId="2267090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32" w:type="dxa"/>
            <w:gridSpan w:val="2"/>
            <w:noWrap w:val="0"/>
            <w:vAlign w:val="center"/>
          </w:tcPr>
          <w:p w14:paraId="79401C0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29" w:type="dxa"/>
            <w:gridSpan w:val="2"/>
            <w:noWrap w:val="0"/>
            <w:vAlign w:val="center"/>
          </w:tcPr>
          <w:p w14:paraId="62D546D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9.95</w:t>
            </w:r>
          </w:p>
        </w:tc>
        <w:tc>
          <w:tcPr>
            <w:tcW w:w="1618" w:type="dxa"/>
            <w:gridSpan w:val="2"/>
            <w:noWrap w:val="0"/>
            <w:vAlign w:val="center"/>
          </w:tcPr>
          <w:p w14:paraId="227F1449">
            <w:pPr>
              <w:spacing w:line="240" w:lineRule="auto"/>
              <w:ind w:firstLine="0" w:firstLineChars="0"/>
              <w:jc w:val="center"/>
              <w:rPr>
                <w:rFonts w:hint="eastAsia" w:ascii="宋体" w:hAnsi="宋体" w:eastAsia="宋体" w:cs="宋体"/>
                <w:sz w:val="22"/>
                <w:szCs w:val="22"/>
              </w:rPr>
            </w:pPr>
          </w:p>
        </w:tc>
      </w:tr>
      <w:tr w14:paraId="2C79D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trPr>
        <w:tc>
          <w:tcPr>
            <w:tcW w:w="634" w:type="dxa"/>
            <w:noWrap w:val="0"/>
            <w:vAlign w:val="center"/>
          </w:tcPr>
          <w:p w14:paraId="5BE1D7F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725" w:type="dxa"/>
            <w:gridSpan w:val="13"/>
            <w:noWrap w:val="0"/>
            <w:vAlign w:val="center"/>
          </w:tcPr>
          <w:p w14:paraId="5EB7B01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754B1BB2">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2FB8E29D">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434DA6F0">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73616B08">
      <w:pPr>
        <w:ind w:firstLine="432"/>
        <w:rPr>
          <w:rFonts w:ascii="宋体" w:hAnsi="宋体" w:eastAsia="宋体" w:cs="宋体"/>
          <w:spacing w:val="-2"/>
          <w:sz w:val="22"/>
          <w:szCs w:val="22"/>
        </w:rPr>
      </w:pPr>
    </w:p>
    <w:p w14:paraId="0ACEAC4C"/>
    <w:p w14:paraId="0E4AE7E0">
      <w:pPr>
        <w:spacing w:before="111" w:line="560" w:lineRule="exact"/>
        <w:ind w:firstLine="0" w:firstLineChars="0"/>
        <w:outlineLvl w:val="1"/>
        <w:rPr>
          <w:rFonts w:ascii="宋体" w:hAnsi="宋体" w:eastAsia="宋体" w:cs="宋体"/>
          <w:b/>
          <w:bCs/>
          <w:lang w:val="en-US" w:eastAsia="zh-CN"/>
        </w:rPr>
      </w:pPr>
      <w:r>
        <w:rPr>
          <w:rFonts w:hint="eastAsia" w:ascii="宋体" w:hAnsi="宋体" w:eastAsia="宋体" w:cs="宋体"/>
          <w:b/>
          <w:bCs/>
          <w:lang w:val="en-US" w:eastAsia="zh-CN"/>
        </w:rPr>
        <w:t>附件3</w:t>
      </w:r>
    </w:p>
    <w:p w14:paraId="669BE114">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7DD51AA1">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6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7"/>
        <w:gridCol w:w="778"/>
        <w:gridCol w:w="862"/>
        <w:gridCol w:w="269"/>
        <w:gridCol w:w="1039"/>
        <w:gridCol w:w="730"/>
        <w:gridCol w:w="586"/>
        <w:gridCol w:w="652"/>
        <w:gridCol w:w="582"/>
        <w:gridCol w:w="73"/>
        <w:gridCol w:w="674"/>
        <w:gridCol w:w="82"/>
        <w:gridCol w:w="581"/>
        <w:gridCol w:w="1094"/>
      </w:tblGrid>
      <w:tr w14:paraId="0465D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rPr>
        <w:tc>
          <w:tcPr>
            <w:tcW w:w="1435" w:type="dxa"/>
            <w:gridSpan w:val="2"/>
            <w:noWrap w:val="0"/>
            <w:vAlign w:val="center"/>
          </w:tcPr>
          <w:p w14:paraId="31485F5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224" w:type="dxa"/>
            <w:gridSpan w:val="12"/>
            <w:noWrap w:val="0"/>
            <w:vAlign w:val="center"/>
          </w:tcPr>
          <w:p w14:paraId="40EE591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急救运转经费</w:t>
            </w:r>
          </w:p>
        </w:tc>
      </w:tr>
      <w:tr w14:paraId="365BB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rPr>
        <w:tc>
          <w:tcPr>
            <w:tcW w:w="1435" w:type="dxa"/>
            <w:gridSpan w:val="2"/>
            <w:noWrap w:val="0"/>
            <w:vAlign w:val="center"/>
          </w:tcPr>
          <w:p w14:paraId="171BB3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486" w:type="dxa"/>
            <w:gridSpan w:val="5"/>
            <w:noWrap w:val="0"/>
            <w:vAlign w:val="center"/>
          </w:tcPr>
          <w:p w14:paraId="22C837AA">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兰州新区卫生健康委员会</w:t>
            </w:r>
          </w:p>
        </w:tc>
        <w:tc>
          <w:tcPr>
            <w:tcW w:w="1234" w:type="dxa"/>
            <w:gridSpan w:val="2"/>
            <w:noWrap w:val="0"/>
            <w:vAlign w:val="center"/>
          </w:tcPr>
          <w:p w14:paraId="571895B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504" w:type="dxa"/>
            <w:gridSpan w:val="5"/>
            <w:noWrap w:val="0"/>
            <w:vAlign w:val="center"/>
          </w:tcPr>
          <w:p w14:paraId="03E3B6DB">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兰州新区第一人民医院</w:t>
            </w:r>
          </w:p>
        </w:tc>
      </w:tr>
      <w:tr w14:paraId="07889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1435" w:type="dxa"/>
            <w:gridSpan w:val="2"/>
            <w:vMerge w:val="restart"/>
            <w:noWrap w:val="0"/>
            <w:vAlign w:val="center"/>
          </w:tcPr>
          <w:p w14:paraId="0ECA378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31" w:type="dxa"/>
            <w:gridSpan w:val="2"/>
            <w:noWrap w:val="0"/>
            <w:vAlign w:val="center"/>
          </w:tcPr>
          <w:p w14:paraId="5A98A7A8">
            <w:pPr>
              <w:spacing w:line="240" w:lineRule="auto"/>
              <w:ind w:firstLine="0" w:firstLineChars="0"/>
              <w:jc w:val="center"/>
              <w:rPr>
                <w:rFonts w:hint="eastAsia" w:ascii="宋体" w:hAnsi="宋体" w:eastAsia="宋体" w:cs="宋体"/>
                <w:sz w:val="22"/>
                <w:szCs w:val="22"/>
              </w:rPr>
            </w:pPr>
          </w:p>
        </w:tc>
        <w:tc>
          <w:tcPr>
            <w:tcW w:w="1039" w:type="dxa"/>
            <w:noWrap w:val="0"/>
            <w:vAlign w:val="center"/>
          </w:tcPr>
          <w:p w14:paraId="4025FE8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316" w:type="dxa"/>
            <w:gridSpan w:val="2"/>
            <w:noWrap w:val="0"/>
            <w:vAlign w:val="center"/>
          </w:tcPr>
          <w:p w14:paraId="5FD61EC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234" w:type="dxa"/>
            <w:gridSpan w:val="2"/>
            <w:noWrap w:val="0"/>
            <w:vAlign w:val="center"/>
          </w:tcPr>
          <w:p w14:paraId="63EB23E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47" w:type="dxa"/>
            <w:gridSpan w:val="2"/>
            <w:noWrap w:val="0"/>
            <w:vAlign w:val="center"/>
          </w:tcPr>
          <w:p w14:paraId="7394626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63" w:type="dxa"/>
            <w:gridSpan w:val="2"/>
            <w:noWrap w:val="0"/>
            <w:vAlign w:val="center"/>
          </w:tcPr>
          <w:p w14:paraId="06B3D31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94" w:type="dxa"/>
            <w:noWrap w:val="0"/>
            <w:vAlign w:val="center"/>
          </w:tcPr>
          <w:p w14:paraId="1548061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45436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1435" w:type="dxa"/>
            <w:gridSpan w:val="2"/>
            <w:vMerge w:val="continue"/>
            <w:noWrap w:val="0"/>
            <w:vAlign w:val="center"/>
          </w:tcPr>
          <w:p w14:paraId="7DCA476D">
            <w:pPr>
              <w:spacing w:line="240" w:lineRule="auto"/>
              <w:ind w:firstLine="0" w:firstLineChars="0"/>
              <w:jc w:val="center"/>
              <w:rPr>
                <w:rFonts w:hint="eastAsia" w:ascii="宋体" w:hAnsi="宋体" w:eastAsia="宋体" w:cs="宋体"/>
                <w:sz w:val="22"/>
                <w:szCs w:val="22"/>
              </w:rPr>
            </w:pPr>
          </w:p>
        </w:tc>
        <w:tc>
          <w:tcPr>
            <w:tcW w:w="1131" w:type="dxa"/>
            <w:gridSpan w:val="2"/>
            <w:noWrap w:val="0"/>
            <w:vAlign w:val="center"/>
          </w:tcPr>
          <w:p w14:paraId="457481BC">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18A19EC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39" w:type="dxa"/>
            <w:noWrap w:val="0"/>
            <w:vAlign w:val="center"/>
          </w:tcPr>
          <w:p w14:paraId="1FA5DB5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16" w:type="dxa"/>
            <w:gridSpan w:val="2"/>
            <w:noWrap w:val="0"/>
            <w:vAlign w:val="center"/>
          </w:tcPr>
          <w:p w14:paraId="773522C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234" w:type="dxa"/>
            <w:gridSpan w:val="2"/>
            <w:noWrap w:val="0"/>
            <w:vAlign w:val="center"/>
          </w:tcPr>
          <w:p w14:paraId="44C2CBF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747" w:type="dxa"/>
            <w:gridSpan w:val="2"/>
            <w:noWrap w:val="0"/>
            <w:vAlign w:val="center"/>
          </w:tcPr>
          <w:p w14:paraId="7CDF6A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63" w:type="dxa"/>
            <w:gridSpan w:val="2"/>
            <w:noWrap w:val="0"/>
            <w:vAlign w:val="center"/>
          </w:tcPr>
          <w:p w14:paraId="3C55A75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94" w:type="dxa"/>
            <w:noWrap w:val="0"/>
            <w:vAlign w:val="center"/>
          </w:tcPr>
          <w:p w14:paraId="4B469B7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57DF6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1435" w:type="dxa"/>
            <w:gridSpan w:val="2"/>
            <w:vMerge w:val="continue"/>
            <w:noWrap w:val="0"/>
            <w:vAlign w:val="center"/>
          </w:tcPr>
          <w:p w14:paraId="5786425B">
            <w:pPr>
              <w:spacing w:line="240" w:lineRule="auto"/>
              <w:ind w:firstLine="0" w:firstLineChars="0"/>
              <w:jc w:val="center"/>
              <w:rPr>
                <w:rFonts w:hint="eastAsia" w:ascii="宋体" w:hAnsi="宋体" w:eastAsia="宋体" w:cs="宋体"/>
                <w:sz w:val="22"/>
                <w:szCs w:val="22"/>
              </w:rPr>
            </w:pPr>
          </w:p>
        </w:tc>
        <w:tc>
          <w:tcPr>
            <w:tcW w:w="1131" w:type="dxa"/>
            <w:gridSpan w:val="2"/>
            <w:noWrap w:val="0"/>
            <w:vAlign w:val="center"/>
          </w:tcPr>
          <w:p w14:paraId="1FF85A2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39" w:type="dxa"/>
            <w:noWrap w:val="0"/>
            <w:vAlign w:val="center"/>
          </w:tcPr>
          <w:p w14:paraId="12A47AA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16" w:type="dxa"/>
            <w:gridSpan w:val="2"/>
            <w:noWrap w:val="0"/>
            <w:vAlign w:val="center"/>
          </w:tcPr>
          <w:p w14:paraId="0C3F73E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234" w:type="dxa"/>
            <w:gridSpan w:val="2"/>
            <w:noWrap w:val="0"/>
            <w:vAlign w:val="center"/>
          </w:tcPr>
          <w:p w14:paraId="7390C78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747" w:type="dxa"/>
            <w:gridSpan w:val="2"/>
            <w:noWrap w:val="0"/>
            <w:vAlign w:val="center"/>
          </w:tcPr>
          <w:p w14:paraId="0A7B7BB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63" w:type="dxa"/>
            <w:gridSpan w:val="2"/>
            <w:noWrap w:val="0"/>
            <w:vAlign w:val="center"/>
          </w:tcPr>
          <w:p w14:paraId="13A3284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94" w:type="dxa"/>
            <w:noWrap w:val="0"/>
            <w:vAlign w:val="center"/>
          </w:tcPr>
          <w:p w14:paraId="59C5293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1BF87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1435" w:type="dxa"/>
            <w:gridSpan w:val="2"/>
            <w:vMerge w:val="continue"/>
            <w:noWrap w:val="0"/>
            <w:vAlign w:val="center"/>
          </w:tcPr>
          <w:p w14:paraId="3332C318">
            <w:pPr>
              <w:spacing w:line="240" w:lineRule="auto"/>
              <w:ind w:firstLine="0" w:firstLineChars="0"/>
              <w:jc w:val="center"/>
              <w:rPr>
                <w:rFonts w:hint="eastAsia" w:ascii="宋体" w:hAnsi="宋体" w:eastAsia="宋体" w:cs="宋体"/>
                <w:sz w:val="22"/>
                <w:szCs w:val="22"/>
              </w:rPr>
            </w:pPr>
          </w:p>
        </w:tc>
        <w:tc>
          <w:tcPr>
            <w:tcW w:w="1131" w:type="dxa"/>
            <w:gridSpan w:val="2"/>
            <w:noWrap w:val="0"/>
            <w:vAlign w:val="center"/>
          </w:tcPr>
          <w:p w14:paraId="5E92FCEA">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5FE6BFB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39" w:type="dxa"/>
            <w:noWrap w:val="0"/>
            <w:vAlign w:val="center"/>
          </w:tcPr>
          <w:p w14:paraId="02ED0B2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316" w:type="dxa"/>
            <w:gridSpan w:val="2"/>
            <w:noWrap w:val="0"/>
            <w:vAlign w:val="center"/>
          </w:tcPr>
          <w:p w14:paraId="1917863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234" w:type="dxa"/>
            <w:gridSpan w:val="2"/>
            <w:noWrap w:val="0"/>
            <w:vAlign w:val="center"/>
          </w:tcPr>
          <w:p w14:paraId="170384E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747" w:type="dxa"/>
            <w:gridSpan w:val="2"/>
            <w:noWrap w:val="0"/>
            <w:vAlign w:val="center"/>
          </w:tcPr>
          <w:p w14:paraId="298010E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63" w:type="dxa"/>
            <w:gridSpan w:val="2"/>
            <w:noWrap w:val="0"/>
            <w:vAlign w:val="center"/>
          </w:tcPr>
          <w:p w14:paraId="6ABD6A6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94" w:type="dxa"/>
            <w:noWrap w:val="0"/>
            <w:vAlign w:val="center"/>
          </w:tcPr>
          <w:p w14:paraId="5D706A9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41A92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rPr>
        <w:tc>
          <w:tcPr>
            <w:tcW w:w="1435" w:type="dxa"/>
            <w:gridSpan w:val="2"/>
            <w:vMerge w:val="continue"/>
            <w:noWrap w:val="0"/>
            <w:vAlign w:val="center"/>
          </w:tcPr>
          <w:p w14:paraId="283CAE40">
            <w:pPr>
              <w:spacing w:line="240" w:lineRule="auto"/>
              <w:ind w:firstLine="0" w:firstLineChars="0"/>
              <w:jc w:val="center"/>
              <w:rPr>
                <w:rFonts w:hint="eastAsia" w:ascii="宋体" w:hAnsi="宋体" w:eastAsia="宋体" w:cs="宋体"/>
                <w:sz w:val="22"/>
                <w:szCs w:val="22"/>
              </w:rPr>
            </w:pPr>
          </w:p>
        </w:tc>
        <w:tc>
          <w:tcPr>
            <w:tcW w:w="1131" w:type="dxa"/>
            <w:gridSpan w:val="2"/>
            <w:noWrap w:val="0"/>
            <w:vAlign w:val="center"/>
          </w:tcPr>
          <w:p w14:paraId="6B1B81E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39" w:type="dxa"/>
            <w:noWrap w:val="0"/>
            <w:vAlign w:val="center"/>
          </w:tcPr>
          <w:p w14:paraId="0BBFB42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316" w:type="dxa"/>
            <w:gridSpan w:val="2"/>
            <w:noWrap w:val="0"/>
            <w:vAlign w:val="center"/>
          </w:tcPr>
          <w:p w14:paraId="68950DE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234" w:type="dxa"/>
            <w:gridSpan w:val="2"/>
            <w:noWrap w:val="0"/>
            <w:vAlign w:val="center"/>
          </w:tcPr>
          <w:p w14:paraId="2096081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747" w:type="dxa"/>
            <w:gridSpan w:val="2"/>
            <w:noWrap w:val="0"/>
            <w:vAlign w:val="center"/>
          </w:tcPr>
          <w:p w14:paraId="0AE7CE9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63" w:type="dxa"/>
            <w:gridSpan w:val="2"/>
            <w:noWrap w:val="0"/>
            <w:vAlign w:val="center"/>
          </w:tcPr>
          <w:p w14:paraId="33985D2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94" w:type="dxa"/>
            <w:noWrap w:val="0"/>
            <w:vAlign w:val="center"/>
          </w:tcPr>
          <w:p w14:paraId="314B737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13124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rPr>
        <w:tc>
          <w:tcPr>
            <w:tcW w:w="657" w:type="dxa"/>
            <w:vMerge w:val="restart"/>
            <w:noWrap w:val="0"/>
            <w:vAlign w:val="center"/>
          </w:tcPr>
          <w:p w14:paraId="64FDA5D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264" w:type="dxa"/>
            <w:gridSpan w:val="6"/>
            <w:noWrap w:val="0"/>
            <w:vAlign w:val="center"/>
          </w:tcPr>
          <w:p w14:paraId="201E18B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738" w:type="dxa"/>
            <w:gridSpan w:val="7"/>
            <w:noWrap w:val="0"/>
            <w:vAlign w:val="center"/>
          </w:tcPr>
          <w:p w14:paraId="6E88284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3F856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69" w:hRule="atLeast"/>
        </w:trPr>
        <w:tc>
          <w:tcPr>
            <w:tcW w:w="657" w:type="dxa"/>
            <w:vMerge w:val="continue"/>
            <w:noWrap w:val="0"/>
            <w:vAlign w:val="center"/>
          </w:tcPr>
          <w:p w14:paraId="6E809130">
            <w:pPr>
              <w:spacing w:line="240" w:lineRule="auto"/>
              <w:ind w:firstLine="0" w:firstLineChars="0"/>
              <w:jc w:val="center"/>
              <w:rPr>
                <w:rFonts w:hint="eastAsia" w:ascii="宋体" w:hAnsi="宋体" w:eastAsia="宋体" w:cs="宋体"/>
                <w:sz w:val="22"/>
                <w:szCs w:val="22"/>
              </w:rPr>
            </w:pPr>
          </w:p>
        </w:tc>
        <w:tc>
          <w:tcPr>
            <w:tcW w:w="4264" w:type="dxa"/>
            <w:gridSpan w:val="6"/>
            <w:noWrap w:val="0"/>
            <w:vAlign w:val="center"/>
          </w:tcPr>
          <w:p w14:paraId="6389187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1.通过新建急救站点，实现城乡院前医疗急救服务网络覆盖率。2.通过提高急救运转和保障工作能力，确保新区院前急救和保障突发公共事件差错零发生。</w:t>
            </w:r>
          </w:p>
          <w:p w14:paraId="06040225">
            <w:pPr>
              <w:spacing w:line="240" w:lineRule="auto"/>
              <w:ind w:firstLine="0" w:firstLineChars="0"/>
              <w:jc w:val="center"/>
              <w:rPr>
                <w:rFonts w:hint="eastAsia" w:ascii="宋体" w:hAnsi="宋体" w:eastAsia="宋体" w:cs="宋体"/>
                <w:sz w:val="22"/>
                <w:szCs w:val="22"/>
                <w:lang w:val="en-US" w:eastAsia="zh-CN"/>
              </w:rPr>
            </w:pPr>
          </w:p>
          <w:p w14:paraId="1718BAEF">
            <w:pPr>
              <w:spacing w:line="240" w:lineRule="auto"/>
              <w:ind w:firstLine="0" w:firstLineChars="0"/>
              <w:jc w:val="center"/>
              <w:rPr>
                <w:rFonts w:hint="eastAsia" w:ascii="宋体" w:hAnsi="宋体" w:eastAsia="宋体" w:cs="宋体"/>
                <w:sz w:val="22"/>
                <w:szCs w:val="22"/>
                <w:lang w:val="en-US" w:eastAsia="zh-CN"/>
              </w:rPr>
            </w:pPr>
          </w:p>
        </w:tc>
        <w:tc>
          <w:tcPr>
            <w:tcW w:w="3738" w:type="dxa"/>
            <w:gridSpan w:val="7"/>
            <w:noWrap w:val="0"/>
            <w:vAlign w:val="center"/>
          </w:tcPr>
          <w:p w14:paraId="51FA534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实现城乡院前医疗急救服务网络覆盖率，</w:t>
            </w:r>
            <w:r>
              <w:rPr>
                <w:rFonts w:hint="eastAsia" w:ascii="宋体" w:hAnsi="宋体" w:eastAsia="宋体" w:cs="宋体"/>
                <w:sz w:val="22"/>
                <w:szCs w:val="22"/>
              </w:rPr>
              <w:t>各医疗机构提高</w:t>
            </w:r>
            <w:r>
              <w:rPr>
                <w:rFonts w:hint="eastAsia" w:ascii="宋体" w:hAnsi="宋体" w:eastAsia="宋体" w:cs="宋体"/>
                <w:sz w:val="22"/>
                <w:szCs w:val="22"/>
                <w:lang w:eastAsia="zh-CN"/>
              </w:rPr>
              <w:t>了</w:t>
            </w:r>
            <w:r>
              <w:rPr>
                <w:rFonts w:hint="eastAsia" w:ascii="宋体" w:hAnsi="宋体" w:eastAsia="宋体" w:cs="宋体"/>
                <w:sz w:val="22"/>
                <w:szCs w:val="22"/>
              </w:rPr>
              <w:t>应对各类突发事件的应急反应能力和医疗卫生救援水平，最大限度的减少人员伤亡和健康危害。急救电话10 秒接听率达到100%，接报到达时间控制在10 分钟内。</w:t>
            </w:r>
          </w:p>
        </w:tc>
      </w:tr>
      <w:tr w14:paraId="53201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restart"/>
            <w:noWrap w:val="0"/>
            <w:vAlign w:val="center"/>
          </w:tcPr>
          <w:p w14:paraId="53579525">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78" w:type="dxa"/>
            <w:noWrap w:val="0"/>
            <w:vAlign w:val="center"/>
          </w:tcPr>
          <w:p w14:paraId="3A2D946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6F6FE5A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62" w:type="dxa"/>
            <w:noWrap w:val="0"/>
            <w:vAlign w:val="center"/>
          </w:tcPr>
          <w:p w14:paraId="2F75F579">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28C5865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2038" w:type="dxa"/>
            <w:gridSpan w:val="3"/>
            <w:noWrap w:val="0"/>
            <w:vAlign w:val="center"/>
          </w:tcPr>
          <w:p w14:paraId="1BDF9B3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586" w:type="dxa"/>
            <w:noWrap w:val="0"/>
            <w:vAlign w:val="center"/>
          </w:tcPr>
          <w:p w14:paraId="2ECFC38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652" w:type="dxa"/>
            <w:noWrap w:val="0"/>
            <w:vAlign w:val="center"/>
          </w:tcPr>
          <w:p w14:paraId="11D9CED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55" w:type="dxa"/>
            <w:gridSpan w:val="2"/>
            <w:noWrap w:val="0"/>
            <w:vAlign w:val="center"/>
          </w:tcPr>
          <w:p w14:paraId="13148A9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56" w:type="dxa"/>
            <w:gridSpan w:val="2"/>
            <w:noWrap w:val="0"/>
            <w:vAlign w:val="center"/>
          </w:tcPr>
          <w:p w14:paraId="450AFB7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75" w:type="dxa"/>
            <w:gridSpan w:val="2"/>
            <w:noWrap w:val="0"/>
            <w:vAlign w:val="center"/>
          </w:tcPr>
          <w:p w14:paraId="795A6EF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000B3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textDirection w:val="tbRlV"/>
            <w:vAlign w:val="center"/>
          </w:tcPr>
          <w:p w14:paraId="49882B51">
            <w:pPr>
              <w:spacing w:line="240" w:lineRule="auto"/>
              <w:ind w:left="113" w:right="113" w:firstLine="0" w:firstLineChars="0"/>
              <w:jc w:val="center"/>
              <w:rPr>
                <w:rFonts w:hint="eastAsia" w:ascii="宋体" w:hAnsi="宋体" w:eastAsia="宋体" w:cs="宋体"/>
                <w:sz w:val="22"/>
                <w:szCs w:val="22"/>
              </w:rPr>
            </w:pPr>
          </w:p>
        </w:tc>
        <w:tc>
          <w:tcPr>
            <w:tcW w:w="778" w:type="dxa"/>
            <w:vMerge w:val="restart"/>
            <w:noWrap w:val="0"/>
            <w:vAlign w:val="center"/>
          </w:tcPr>
          <w:p w14:paraId="61812F70">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544A855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62" w:type="dxa"/>
            <w:vMerge w:val="restart"/>
            <w:noWrap w:val="0"/>
            <w:vAlign w:val="center"/>
          </w:tcPr>
          <w:p w14:paraId="322CB83F">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009C7BF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2038" w:type="dxa"/>
            <w:gridSpan w:val="3"/>
            <w:noWrap w:val="0"/>
            <w:vAlign w:val="center"/>
          </w:tcPr>
          <w:p w14:paraId="554D0BD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化工园区急救分站</w:t>
            </w:r>
          </w:p>
        </w:tc>
        <w:tc>
          <w:tcPr>
            <w:tcW w:w="586" w:type="dxa"/>
            <w:noWrap w:val="0"/>
            <w:vAlign w:val="center"/>
          </w:tcPr>
          <w:p w14:paraId="5D18675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1个</w:t>
            </w:r>
          </w:p>
        </w:tc>
        <w:tc>
          <w:tcPr>
            <w:tcW w:w="652" w:type="dxa"/>
            <w:noWrap w:val="0"/>
            <w:vAlign w:val="center"/>
          </w:tcPr>
          <w:p w14:paraId="7E4DBFA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1个</w:t>
            </w:r>
          </w:p>
        </w:tc>
        <w:tc>
          <w:tcPr>
            <w:tcW w:w="655" w:type="dxa"/>
            <w:gridSpan w:val="2"/>
            <w:noWrap w:val="0"/>
            <w:vAlign w:val="center"/>
          </w:tcPr>
          <w:p w14:paraId="26ECB4F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56" w:type="dxa"/>
            <w:gridSpan w:val="2"/>
            <w:noWrap w:val="0"/>
            <w:vAlign w:val="center"/>
          </w:tcPr>
          <w:p w14:paraId="48DD36B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675" w:type="dxa"/>
            <w:gridSpan w:val="2"/>
            <w:noWrap w:val="0"/>
            <w:vAlign w:val="center"/>
          </w:tcPr>
          <w:p w14:paraId="490FCFCC">
            <w:pPr>
              <w:spacing w:line="240" w:lineRule="auto"/>
              <w:ind w:firstLine="0" w:firstLineChars="0"/>
              <w:jc w:val="center"/>
              <w:rPr>
                <w:rFonts w:hint="eastAsia" w:ascii="宋体" w:hAnsi="宋体" w:eastAsia="宋体" w:cs="宋体"/>
                <w:sz w:val="22"/>
                <w:szCs w:val="22"/>
              </w:rPr>
            </w:pPr>
          </w:p>
        </w:tc>
      </w:tr>
      <w:tr w14:paraId="2EB9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6AACADFA">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72A99E5C">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78FE430A">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532D65B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急救运转和保障</w:t>
            </w:r>
          </w:p>
        </w:tc>
        <w:tc>
          <w:tcPr>
            <w:tcW w:w="586" w:type="dxa"/>
            <w:noWrap w:val="0"/>
            <w:vAlign w:val="center"/>
          </w:tcPr>
          <w:p w14:paraId="3AF46EF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≥1000次</w:t>
            </w:r>
          </w:p>
        </w:tc>
        <w:tc>
          <w:tcPr>
            <w:tcW w:w="652" w:type="dxa"/>
            <w:noWrap w:val="0"/>
            <w:vAlign w:val="center"/>
          </w:tcPr>
          <w:p w14:paraId="65C35A3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13188</w:t>
            </w:r>
          </w:p>
        </w:tc>
        <w:tc>
          <w:tcPr>
            <w:tcW w:w="655" w:type="dxa"/>
            <w:gridSpan w:val="2"/>
            <w:noWrap w:val="0"/>
            <w:vAlign w:val="center"/>
          </w:tcPr>
          <w:p w14:paraId="2BBCD31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26BEDE0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4FF1EEFF">
            <w:pPr>
              <w:spacing w:line="240" w:lineRule="auto"/>
              <w:ind w:firstLine="0" w:firstLineChars="0"/>
              <w:jc w:val="center"/>
              <w:rPr>
                <w:rFonts w:hint="eastAsia" w:ascii="宋体" w:hAnsi="宋体" w:eastAsia="宋体" w:cs="宋体"/>
                <w:sz w:val="22"/>
                <w:szCs w:val="22"/>
              </w:rPr>
            </w:pPr>
          </w:p>
        </w:tc>
      </w:tr>
      <w:tr w14:paraId="76DC4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40D56399">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072FBCC">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2AF5DE72">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109E539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新区120急救中心有序运行</w:t>
            </w:r>
          </w:p>
        </w:tc>
        <w:tc>
          <w:tcPr>
            <w:tcW w:w="586" w:type="dxa"/>
            <w:noWrap w:val="0"/>
            <w:vAlign w:val="center"/>
          </w:tcPr>
          <w:p w14:paraId="0313364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有序</w:t>
            </w:r>
          </w:p>
        </w:tc>
        <w:tc>
          <w:tcPr>
            <w:tcW w:w="652" w:type="dxa"/>
            <w:noWrap w:val="0"/>
            <w:vAlign w:val="center"/>
          </w:tcPr>
          <w:p w14:paraId="643042A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有序</w:t>
            </w:r>
          </w:p>
        </w:tc>
        <w:tc>
          <w:tcPr>
            <w:tcW w:w="655" w:type="dxa"/>
            <w:gridSpan w:val="2"/>
            <w:noWrap w:val="0"/>
            <w:vAlign w:val="center"/>
          </w:tcPr>
          <w:p w14:paraId="1C90335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425E6E4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234FA7E4">
            <w:pPr>
              <w:spacing w:line="240" w:lineRule="auto"/>
              <w:ind w:firstLine="0" w:firstLineChars="0"/>
              <w:jc w:val="center"/>
              <w:rPr>
                <w:rFonts w:hint="eastAsia" w:ascii="宋体" w:hAnsi="宋体" w:eastAsia="宋体" w:cs="宋体"/>
                <w:sz w:val="22"/>
                <w:szCs w:val="22"/>
              </w:rPr>
            </w:pPr>
          </w:p>
        </w:tc>
      </w:tr>
      <w:tr w14:paraId="45F38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72B2F70F">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E71442C">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63995DD5">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42891F8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拨付经费完成率</w:t>
            </w:r>
          </w:p>
        </w:tc>
        <w:tc>
          <w:tcPr>
            <w:tcW w:w="586" w:type="dxa"/>
            <w:noWrap w:val="0"/>
            <w:vAlign w:val="center"/>
          </w:tcPr>
          <w:p w14:paraId="3A943FD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2" w:type="dxa"/>
            <w:noWrap w:val="0"/>
            <w:vAlign w:val="center"/>
          </w:tcPr>
          <w:p w14:paraId="3FD1FAC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5" w:type="dxa"/>
            <w:gridSpan w:val="2"/>
            <w:noWrap w:val="0"/>
            <w:vAlign w:val="center"/>
          </w:tcPr>
          <w:p w14:paraId="32BE6BA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w:t>
            </w:r>
          </w:p>
        </w:tc>
        <w:tc>
          <w:tcPr>
            <w:tcW w:w="756" w:type="dxa"/>
            <w:gridSpan w:val="2"/>
            <w:noWrap w:val="0"/>
            <w:vAlign w:val="center"/>
          </w:tcPr>
          <w:p w14:paraId="02D40E4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w:t>
            </w:r>
          </w:p>
        </w:tc>
        <w:tc>
          <w:tcPr>
            <w:tcW w:w="1675" w:type="dxa"/>
            <w:gridSpan w:val="2"/>
            <w:noWrap w:val="0"/>
            <w:vAlign w:val="center"/>
          </w:tcPr>
          <w:p w14:paraId="15523DC6">
            <w:pPr>
              <w:spacing w:line="240" w:lineRule="auto"/>
              <w:ind w:firstLine="0" w:firstLineChars="0"/>
              <w:jc w:val="center"/>
              <w:rPr>
                <w:rFonts w:hint="eastAsia" w:ascii="宋体" w:hAnsi="宋体" w:eastAsia="宋体" w:cs="宋体"/>
                <w:sz w:val="22"/>
                <w:szCs w:val="22"/>
              </w:rPr>
            </w:pPr>
          </w:p>
        </w:tc>
      </w:tr>
      <w:tr w14:paraId="16BE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188978E8">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5509CCB">
            <w:pPr>
              <w:spacing w:line="240" w:lineRule="auto"/>
              <w:ind w:firstLine="0" w:firstLineChars="0"/>
              <w:jc w:val="center"/>
              <w:rPr>
                <w:rFonts w:hint="eastAsia" w:ascii="宋体" w:hAnsi="宋体" w:eastAsia="宋体" w:cs="宋体"/>
                <w:sz w:val="22"/>
                <w:szCs w:val="22"/>
              </w:rPr>
            </w:pPr>
          </w:p>
        </w:tc>
        <w:tc>
          <w:tcPr>
            <w:tcW w:w="862" w:type="dxa"/>
            <w:vMerge w:val="restart"/>
            <w:noWrap w:val="0"/>
            <w:vAlign w:val="center"/>
          </w:tcPr>
          <w:p w14:paraId="38928B08">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69A91F6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2038" w:type="dxa"/>
            <w:gridSpan w:val="3"/>
            <w:noWrap w:val="0"/>
            <w:vAlign w:val="center"/>
          </w:tcPr>
          <w:p w14:paraId="1874ED8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化工园区急救分站达标率</w:t>
            </w:r>
          </w:p>
        </w:tc>
        <w:tc>
          <w:tcPr>
            <w:tcW w:w="586" w:type="dxa"/>
            <w:noWrap w:val="0"/>
            <w:vAlign w:val="center"/>
          </w:tcPr>
          <w:p w14:paraId="2B04DE3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2" w:type="dxa"/>
            <w:noWrap w:val="0"/>
            <w:vAlign w:val="center"/>
          </w:tcPr>
          <w:p w14:paraId="20FF86DA">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5" w:type="dxa"/>
            <w:gridSpan w:val="2"/>
            <w:noWrap w:val="0"/>
            <w:vAlign w:val="center"/>
          </w:tcPr>
          <w:p w14:paraId="5A23F82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696EDF33">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609FC52E">
            <w:pPr>
              <w:spacing w:line="240" w:lineRule="auto"/>
              <w:ind w:firstLine="0" w:firstLineChars="0"/>
              <w:jc w:val="center"/>
              <w:rPr>
                <w:rFonts w:hint="eastAsia" w:ascii="宋体" w:hAnsi="宋体" w:eastAsia="宋体" w:cs="宋体"/>
                <w:sz w:val="22"/>
                <w:szCs w:val="22"/>
              </w:rPr>
            </w:pPr>
          </w:p>
        </w:tc>
      </w:tr>
      <w:tr w14:paraId="34A78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17666E60">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4D47C9F3">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64B2F5D0">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049DECC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急救运转和保障工作达标率</w:t>
            </w:r>
          </w:p>
        </w:tc>
        <w:tc>
          <w:tcPr>
            <w:tcW w:w="586" w:type="dxa"/>
            <w:noWrap w:val="0"/>
            <w:vAlign w:val="center"/>
          </w:tcPr>
          <w:p w14:paraId="5D725A4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2" w:type="dxa"/>
            <w:noWrap w:val="0"/>
            <w:vAlign w:val="center"/>
          </w:tcPr>
          <w:p w14:paraId="3C90D8F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5" w:type="dxa"/>
            <w:gridSpan w:val="2"/>
            <w:noWrap w:val="0"/>
            <w:vAlign w:val="center"/>
          </w:tcPr>
          <w:p w14:paraId="1AEF193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3AF0D2F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7B607FB5">
            <w:pPr>
              <w:spacing w:line="240" w:lineRule="auto"/>
              <w:ind w:firstLine="0" w:firstLineChars="0"/>
              <w:jc w:val="center"/>
              <w:rPr>
                <w:rFonts w:hint="eastAsia" w:ascii="宋体" w:hAnsi="宋体" w:eastAsia="宋体" w:cs="宋体"/>
                <w:sz w:val="22"/>
                <w:szCs w:val="22"/>
              </w:rPr>
            </w:pPr>
          </w:p>
        </w:tc>
      </w:tr>
      <w:tr w14:paraId="53479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16AA5BCC">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72BD5698">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6AF59DD1">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40470CC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新区120急救中心运行达标率</w:t>
            </w:r>
          </w:p>
        </w:tc>
        <w:tc>
          <w:tcPr>
            <w:tcW w:w="586" w:type="dxa"/>
            <w:noWrap w:val="0"/>
            <w:vAlign w:val="center"/>
          </w:tcPr>
          <w:p w14:paraId="49CFC18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2" w:type="dxa"/>
            <w:noWrap w:val="0"/>
            <w:vAlign w:val="center"/>
          </w:tcPr>
          <w:p w14:paraId="4DB59AC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5" w:type="dxa"/>
            <w:gridSpan w:val="2"/>
            <w:noWrap w:val="0"/>
            <w:vAlign w:val="center"/>
          </w:tcPr>
          <w:p w14:paraId="3825589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6055BAE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3E66202B">
            <w:pPr>
              <w:spacing w:line="240" w:lineRule="auto"/>
              <w:ind w:firstLine="0" w:firstLineChars="0"/>
              <w:jc w:val="center"/>
              <w:rPr>
                <w:rFonts w:hint="eastAsia" w:ascii="宋体" w:hAnsi="宋体" w:eastAsia="宋体" w:cs="宋体"/>
                <w:sz w:val="22"/>
                <w:szCs w:val="22"/>
              </w:rPr>
            </w:pPr>
          </w:p>
        </w:tc>
      </w:tr>
      <w:tr w14:paraId="3CE31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rPr>
        <w:tc>
          <w:tcPr>
            <w:tcW w:w="657" w:type="dxa"/>
            <w:vMerge w:val="continue"/>
            <w:noWrap w:val="0"/>
            <w:vAlign w:val="center"/>
          </w:tcPr>
          <w:p w14:paraId="7CF74C8C">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B3A5202">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5198210A">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1D6C825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足额拨付经费</w:t>
            </w:r>
          </w:p>
        </w:tc>
        <w:tc>
          <w:tcPr>
            <w:tcW w:w="586" w:type="dxa"/>
            <w:noWrap w:val="0"/>
            <w:vAlign w:val="center"/>
          </w:tcPr>
          <w:p w14:paraId="249360D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足额</w:t>
            </w:r>
          </w:p>
        </w:tc>
        <w:tc>
          <w:tcPr>
            <w:tcW w:w="652" w:type="dxa"/>
            <w:noWrap w:val="0"/>
            <w:vAlign w:val="center"/>
          </w:tcPr>
          <w:p w14:paraId="2CAC9DF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足额</w:t>
            </w:r>
          </w:p>
        </w:tc>
        <w:tc>
          <w:tcPr>
            <w:tcW w:w="655" w:type="dxa"/>
            <w:gridSpan w:val="2"/>
            <w:noWrap w:val="0"/>
            <w:vAlign w:val="center"/>
          </w:tcPr>
          <w:p w14:paraId="7A55A6D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w:t>
            </w:r>
          </w:p>
        </w:tc>
        <w:tc>
          <w:tcPr>
            <w:tcW w:w="756" w:type="dxa"/>
            <w:gridSpan w:val="2"/>
            <w:noWrap w:val="0"/>
            <w:vAlign w:val="center"/>
          </w:tcPr>
          <w:p w14:paraId="0B56440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w:t>
            </w:r>
          </w:p>
        </w:tc>
        <w:tc>
          <w:tcPr>
            <w:tcW w:w="1675" w:type="dxa"/>
            <w:gridSpan w:val="2"/>
            <w:noWrap w:val="0"/>
            <w:vAlign w:val="center"/>
          </w:tcPr>
          <w:p w14:paraId="7673DCCE">
            <w:pPr>
              <w:spacing w:line="240" w:lineRule="auto"/>
              <w:ind w:firstLine="0" w:firstLineChars="0"/>
              <w:jc w:val="center"/>
              <w:rPr>
                <w:rFonts w:hint="eastAsia" w:ascii="宋体" w:hAnsi="宋体" w:eastAsia="宋体" w:cs="宋体"/>
                <w:sz w:val="22"/>
                <w:szCs w:val="22"/>
              </w:rPr>
            </w:pPr>
          </w:p>
        </w:tc>
      </w:tr>
      <w:tr w14:paraId="6DE21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9" w:hRule="atLeast"/>
        </w:trPr>
        <w:tc>
          <w:tcPr>
            <w:tcW w:w="657" w:type="dxa"/>
            <w:vMerge w:val="continue"/>
            <w:noWrap w:val="0"/>
            <w:vAlign w:val="center"/>
          </w:tcPr>
          <w:p w14:paraId="33F790F3">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71E7A0A">
            <w:pPr>
              <w:spacing w:line="240" w:lineRule="auto"/>
              <w:ind w:firstLine="0" w:firstLineChars="0"/>
              <w:jc w:val="center"/>
              <w:rPr>
                <w:rFonts w:hint="eastAsia" w:ascii="宋体" w:hAnsi="宋体" w:eastAsia="宋体" w:cs="宋体"/>
                <w:sz w:val="22"/>
                <w:szCs w:val="22"/>
              </w:rPr>
            </w:pPr>
          </w:p>
        </w:tc>
        <w:tc>
          <w:tcPr>
            <w:tcW w:w="862" w:type="dxa"/>
            <w:vMerge w:val="restart"/>
            <w:noWrap w:val="0"/>
            <w:vAlign w:val="center"/>
          </w:tcPr>
          <w:p w14:paraId="25BDBFDF">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22C489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2038" w:type="dxa"/>
            <w:gridSpan w:val="3"/>
            <w:noWrap w:val="0"/>
            <w:vAlign w:val="center"/>
          </w:tcPr>
          <w:p w14:paraId="6532027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化工园区急救分站运转及时性</w:t>
            </w:r>
          </w:p>
        </w:tc>
        <w:tc>
          <w:tcPr>
            <w:tcW w:w="586" w:type="dxa"/>
            <w:noWrap w:val="0"/>
            <w:vAlign w:val="center"/>
          </w:tcPr>
          <w:p w14:paraId="36A4A51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及时性</w:t>
            </w:r>
          </w:p>
        </w:tc>
        <w:tc>
          <w:tcPr>
            <w:tcW w:w="652" w:type="dxa"/>
            <w:noWrap w:val="0"/>
            <w:vAlign w:val="center"/>
          </w:tcPr>
          <w:p w14:paraId="4DCA663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w:t>
            </w:r>
          </w:p>
        </w:tc>
        <w:tc>
          <w:tcPr>
            <w:tcW w:w="655" w:type="dxa"/>
            <w:gridSpan w:val="2"/>
            <w:noWrap w:val="0"/>
            <w:vAlign w:val="center"/>
          </w:tcPr>
          <w:p w14:paraId="472EEBC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3854CB7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5E80C9E8">
            <w:pPr>
              <w:spacing w:line="240" w:lineRule="auto"/>
              <w:ind w:firstLine="0" w:firstLineChars="0"/>
              <w:jc w:val="center"/>
              <w:rPr>
                <w:rFonts w:hint="eastAsia" w:ascii="宋体" w:hAnsi="宋体" w:eastAsia="宋体" w:cs="宋体"/>
                <w:sz w:val="22"/>
                <w:szCs w:val="22"/>
              </w:rPr>
            </w:pPr>
          </w:p>
        </w:tc>
      </w:tr>
      <w:tr w14:paraId="1508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0095A2E1">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28C4482F">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01816BB2">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4220B77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急救运转和保障工作及时性</w:t>
            </w:r>
          </w:p>
        </w:tc>
        <w:tc>
          <w:tcPr>
            <w:tcW w:w="586" w:type="dxa"/>
            <w:noWrap w:val="0"/>
            <w:vAlign w:val="center"/>
          </w:tcPr>
          <w:p w14:paraId="16C4D7C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及时性</w:t>
            </w:r>
          </w:p>
        </w:tc>
        <w:tc>
          <w:tcPr>
            <w:tcW w:w="652" w:type="dxa"/>
            <w:noWrap w:val="0"/>
            <w:vAlign w:val="center"/>
          </w:tcPr>
          <w:p w14:paraId="583CA12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w:t>
            </w:r>
          </w:p>
        </w:tc>
        <w:tc>
          <w:tcPr>
            <w:tcW w:w="655" w:type="dxa"/>
            <w:gridSpan w:val="2"/>
            <w:noWrap w:val="0"/>
            <w:vAlign w:val="center"/>
          </w:tcPr>
          <w:p w14:paraId="38D3822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3195836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385C00BD">
            <w:pPr>
              <w:spacing w:line="240" w:lineRule="auto"/>
              <w:ind w:firstLine="0" w:firstLineChars="0"/>
              <w:jc w:val="center"/>
              <w:rPr>
                <w:rFonts w:hint="eastAsia" w:ascii="宋体" w:hAnsi="宋体" w:eastAsia="宋体" w:cs="宋体"/>
                <w:sz w:val="22"/>
                <w:szCs w:val="22"/>
              </w:rPr>
            </w:pPr>
          </w:p>
        </w:tc>
      </w:tr>
      <w:tr w14:paraId="0CF0D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386D4FAB">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5215D57">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5EDCB55C">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69E4F53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新区120急救中心运行及时性</w:t>
            </w:r>
          </w:p>
        </w:tc>
        <w:tc>
          <w:tcPr>
            <w:tcW w:w="586" w:type="dxa"/>
            <w:noWrap w:val="0"/>
            <w:vAlign w:val="center"/>
          </w:tcPr>
          <w:p w14:paraId="46FD95A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及时性</w:t>
            </w:r>
          </w:p>
        </w:tc>
        <w:tc>
          <w:tcPr>
            <w:tcW w:w="652" w:type="dxa"/>
            <w:noWrap w:val="0"/>
            <w:vAlign w:val="center"/>
          </w:tcPr>
          <w:p w14:paraId="6F4D315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w:t>
            </w:r>
          </w:p>
        </w:tc>
        <w:tc>
          <w:tcPr>
            <w:tcW w:w="655" w:type="dxa"/>
            <w:gridSpan w:val="2"/>
            <w:noWrap w:val="0"/>
            <w:vAlign w:val="center"/>
          </w:tcPr>
          <w:p w14:paraId="6226A49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118633B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54405655">
            <w:pPr>
              <w:spacing w:line="240" w:lineRule="auto"/>
              <w:ind w:firstLine="0" w:firstLineChars="0"/>
              <w:jc w:val="center"/>
              <w:rPr>
                <w:rFonts w:hint="eastAsia" w:ascii="宋体" w:hAnsi="宋体" w:eastAsia="宋体" w:cs="宋体"/>
                <w:sz w:val="22"/>
                <w:szCs w:val="22"/>
              </w:rPr>
            </w:pPr>
          </w:p>
        </w:tc>
      </w:tr>
      <w:tr w14:paraId="05053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074B506B">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3394D6F0">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3647D3F3">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1505519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拨付经费及时性</w:t>
            </w:r>
          </w:p>
        </w:tc>
        <w:tc>
          <w:tcPr>
            <w:tcW w:w="586" w:type="dxa"/>
            <w:noWrap w:val="0"/>
            <w:vAlign w:val="center"/>
          </w:tcPr>
          <w:p w14:paraId="7B6611A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及时性</w:t>
            </w:r>
          </w:p>
        </w:tc>
        <w:tc>
          <w:tcPr>
            <w:tcW w:w="652" w:type="dxa"/>
            <w:noWrap w:val="0"/>
            <w:vAlign w:val="center"/>
          </w:tcPr>
          <w:p w14:paraId="62220B1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及时</w:t>
            </w:r>
          </w:p>
        </w:tc>
        <w:tc>
          <w:tcPr>
            <w:tcW w:w="655" w:type="dxa"/>
            <w:gridSpan w:val="2"/>
            <w:noWrap w:val="0"/>
            <w:vAlign w:val="center"/>
          </w:tcPr>
          <w:p w14:paraId="1C19031A">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w:t>
            </w:r>
          </w:p>
        </w:tc>
        <w:tc>
          <w:tcPr>
            <w:tcW w:w="756" w:type="dxa"/>
            <w:gridSpan w:val="2"/>
            <w:noWrap w:val="0"/>
            <w:vAlign w:val="center"/>
          </w:tcPr>
          <w:p w14:paraId="327F1C9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w:t>
            </w:r>
          </w:p>
        </w:tc>
        <w:tc>
          <w:tcPr>
            <w:tcW w:w="1675" w:type="dxa"/>
            <w:gridSpan w:val="2"/>
            <w:noWrap w:val="0"/>
            <w:vAlign w:val="center"/>
          </w:tcPr>
          <w:p w14:paraId="0BF365FB">
            <w:pPr>
              <w:spacing w:line="240" w:lineRule="auto"/>
              <w:ind w:firstLine="0" w:firstLineChars="0"/>
              <w:jc w:val="center"/>
              <w:rPr>
                <w:rFonts w:hint="eastAsia" w:ascii="宋体" w:hAnsi="宋体" w:eastAsia="宋体" w:cs="宋体"/>
                <w:sz w:val="22"/>
                <w:szCs w:val="22"/>
              </w:rPr>
            </w:pPr>
          </w:p>
        </w:tc>
      </w:tr>
      <w:tr w14:paraId="1D88B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61214709">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6F82F0AA">
            <w:pPr>
              <w:spacing w:line="240" w:lineRule="auto"/>
              <w:ind w:firstLine="0" w:firstLineChars="0"/>
              <w:jc w:val="center"/>
              <w:rPr>
                <w:rFonts w:hint="eastAsia" w:ascii="宋体" w:hAnsi="宋体" w:eastAsia="宋体" w:cs="宋体"/>
                <w:sz w:val="22"/>
                <w:szCs w:val="22"/>
              </w:rPr>
            </w:pPr>
          </w:p>
        </w:tc>
        <w:tc>
          <w:tcPr>
            <w:tcW w:w="862" w:type="dxa"/>
            <w:noWrap w:val="0"/>
            <w:vAlign w:val="center"/>
          </w:tcPr>
          <w:p w14:paraId="629198D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成本</w:t>
            </w:r>
          </w:p>
          <w:p w14:paraId="5051A9F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2038" w:type="dxa"/>
            <w:gridSpan w:val="3"/>
            <w:noWrap w:val="0"/>
            <w:vAlign w:val="center"/>
          </w:tcPr>
          <w:p w14:paraId="1E57172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成本控制率</w:t>
            </w:r>
          </w:p>
        </w:tc>
        <w:tc>
          <w:tcPr>
            <w:tcW w:w="586" w:type="dxa"/>
            <w:noWrap w:val="0"/>
            <w:vAlign w:val="center"/>
          </w:tcPr>
          <w:p w14:paraId="70C730C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2" w:type="dxa"/>
            <w:noWrap w:val="0"/>
            <w:vAlign w:val="center"/>
          </w:tcPr>
          <w:p w14:paraId="1BD6BAE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55" w:type="dxa"/>
            <w:gridSpan w:val="2"/>
            <w:noWrap w:val="0"/>
            <w:vAlign w:val="center"/>
          </w:tcPr>
          <w:p w14:paraId="3387293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w:t>
            </w:r>
          </w:p>
        </w:tc>
        <w:tc>
          <w:tcPr>
            <w:tcW w:w="756" w:type="dxa"/>
            <w:gridSpan w:val="2"/>
            <w:noWrap w:val="0"/>
            <w:vAlign w:val="center"/>
          </w:tcPr>
          <w:p w14:paraId="0BF4BBC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w:t>
            </w:r>
          </w:p>
        </w:tc>
        <w:tc>
          <w:tcPr>
            <w:tcW w:w="1675" w:type="dxa"/>
            <w:gridSpan w:val="2"/>
            <w:noWrap w:val="0"/>
            <w:vAlign w:val="center"/>
          </w:tcPr>
          <w:p w14:paraId="0895D0B7">
            <w:pPr>
              <w:spacing w:line="240" w:lineRule="auto"/>
              <w:ind w:firstLine="0" w:firstLineChars="0"/>
              <w:jc w:val="center"/>
              <w:rPr>
                <w:rFonts w:hint="eastAsia" w:ascii="宋体" w:hAnsi="宋体" w:eastAsia="宋体" w:cs="宋体"/>
                <w:sz w:val="22"/>
                <w:szCs w:val="22"/>
              </w:rPr>
            </w:pPr>
          </w:p>
        </w:tc>
      </w:tr>
      <w:tr w14:paraId="1D5CD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9" w:hRule="atLeast"/>
        </w:trPr>
        <w:tc>
          <w:tcPr>
            <w:tcW w:w="657" w:type="dxa"/>
            <w:vMerge w:val="continue"/>
            <w:noWrap w:val="0"/>
            <w:textDirection w:val="tbRlV"/>
            <w:vAlign w:val="center"/>
          </w:tcPr>
          <w:p w14:paraId="61B249C1">
            <w:pPr>
              <w:spacing w:line="240" w:lineRule="auto"/>
              <w:ind w:firstLine="0" w:firstLineChars="0"/>
              <w:jc w:val="center"/>
              <w:rPr>
                <w:rFonts w:hint="eastAsia" w:ascii="宋体" w:hAnsi="宋体" w:eastAsia="宋体" w:cs="宋体"/>
                <w:sz w:val="22"/>
                <w:szCs w:val="22"/>
              </w:rPr>
            </w:pPr>
          </w:p>
        </w:tc>
        <w:tc>
          <w:tcPr>
            <w:tcW w:w="778" w:type="dxa"/>
            <w:vMerge w:val="restart"/>
            <w:noWrap w:val="0"/>
            <w:vAlign w:val="center"/>
          </w:tcPr>
          <w:p w14:paraId="4A3AE9DE">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20D9D75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62" w:type="dxa"/>
            <w:vMerge w:val="restart"/>
            <w:noWrap w:val="0"/>
            <w:vAlign w:val="center"/>
          </w:tcPr>
          <w:p w14:paraId="1D52D80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2038" w:type="dxa"/>
            <w:gridSpan w:val="3"/>
            <w:noWrap w:val="0"/>
            <w:vAlign w:val="center"/>
          </w:tcPr>
          <w:p w14:paraId="4EB1C8AA">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提升各医疗机构院前医疗急救服务能力</w:t>
            </w:r>
          </w:p>
        </w:tc>
        <w:tc>
          <w:tcPr>
            <w:tcW w:w="586" w:type="dxa"/>
            <w:noWrap w:val="0"/>
            <w:vAlign w:val="center"/>
          </w:tcPr>
          <w:p w14:paraId="36DF6B7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提升</w:t>
            </w:r>
          </w:p>
        </w:tc>
        <w:tc>
          <w:tcPr>
            <w:tcW w:w="652" w:type="dxa"/>
            <w:noWrap w:val="0"/>
            <w:vAlign w:val="center"/>
          </w:tcPr>
          <w:p w14:paraId="2019C1C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提升</w:t>
            </w:r>
          </w:p>
        </w:tc>
        <w:tc>
          <w:tcPr>
            <w:tcW w:w="655" w:type="dxa"/>
            <w:gridSpan w:val="2"/>
            <w:noWrap w:val="0"/>
            <w:vAlign w:val="center"/>
          </w:tcPr>
          <w:p w14:paraId="63790FD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12F8DB9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15191F6C">
            <w:pPr>
              <w:spacing w:line="240" w:lineRule="auto"/>
              <w:ind w:firstLine="0" w:firstLineChars="0"/>
              <w:jc w:val="center"/>
              <w:rPr>
                <w:rFonts w:hint="eastAsia" w:ascii="宋体" w:hAnsi="宋体" w:eastAsia="宋体" w:cs="宋体"/>
                <w:sz w:val="22"/>
                <w:szCs w:val="22"/>
              </w:rPr>
            </w:pPr>
          </w:p>
        </w:tc>
      </w:tr>
      <w:tr w14:paraId="422C9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textDirection w:val="tbRlV"/>
            <w:vAlign w:val="center"/>
          </w:tcPr>
          <w:p w14:paraId="3FD10EF8">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BA30D2B">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07ABE997">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7415FCD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提升新区120急救调度能力</w:t>
            </w:r>
          </w:p>
        </w:tc>
        <w:tc>
          <w:tcPr>
            <w:tcW w:w="586" w:type="dxa"/>
            <w:noWrap w:val="0"/>
            <w:vAlign w:val="center"/>
          </w:tcPr>
          <w:p w14:paraId="0421FA9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提升</w:t>
            </w:r>
          </w:p>
        </w:tc>
        <w:tc>
          <w:tcPr>
            <w:tcW w:w="652" w:type="dxa"/>
            <w:noWrap w:val="0"/>
            <w:vAlign w:val="center"/>
          </w:tcPr>
          <w:p w14:paraId="4398978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提升</w:t>
            </w:r>
          </w:p>
        </w:tc>
        <w:tc>
          <w:tcPr>
            <w:tcW w:w="655" w:type="dxa"/>
            <w:gridSpan w:val="2"/>
            <w:noWrap w:val="0"/>
            <w:vAlign w:val="center"/>
          </w:tcPr>
          <w:p w14:paraId="1535C073">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3BDDDDD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4A649234">
            <w:pPr>
              <w:spacing w:line="240" w:lineRule="auto"/>
              <w:ind w:firstLine="0" w:firstLineChars="0"/>
              <w:jc w:val="center"/>
              <w:rPr>
                <w:rFonts w:hint="eastAsia" w:ascii="宋体" w:hAnsi="宋体" w:eastAsia="宋体" w:cs="宋体"/>
                <w:sz w:val="22"/>
                <w:szCs w:val="22"/>
              </w:rPr>
            </w:pPr>
          </w:p>
        </w:tc>
      </w:tr>
      <w:tr w14:paraId="45AA8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9" w:hRule="atLeast"/>
        </w:trPr>
        <w:tc>
          <w:tcPr>
            <w:tcW w:w="657" w:type="dxa"/>
            <w:vMerge w:val="continue"/>
            <w:noWrap w:val="0"/>
            <w:textDirection w:val="tbRlV"/>
            <w:vAlign w:val="center"/>
          </w:tcPr>
          <w:p w14:paraId="1F2861A7">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69297EE5">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443287F9">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4F8B4B5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完善新区内急救服务体系逐步</w:t>
            </w:r>
          </w:p>
        </w:tc>
        <w:tc>
          <w:tcPr>
            <w:tcW w:w="586" w:type="dxa"/>
            <w:noWrap w:val="0"/>
            <w:vAlign w:val="center"/>
          </w:tcPr>
          <w:p w14:paraId="039EF95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完善</w:t>
            </w:r>
          </w:p>
        </w:tc>
        <w:tc>
          <w:tcPr>
            <w:tcW w:w="652" w:type="dxa"/>
            <w:noWrap w:val="0"/>
            <w:vAlign w:val="center"/>
          </w:tcPr>
          <w:p w14:paraId="5F75DAF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完善</w:t>
            </w:r>
          </w:p>
        </w:tc>
        <w:tc>
          <w:tcPr>
            <w:tcW w:w="655" w:type="dxa"/>
            <w:gridSpan w:val="2"/>
            <w:noWrap w:val="0"/>
            <w:vAlign w:val="center"/>
          </w:tcPr>
          <w:p w14:paraId="275B400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620EDAD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4A8B60C8">
            <w:pPr>
              <w:spacing w:line="240" w:lineRule="auto"/>
              <w:ind w:firstLine="0" w:firstLineChars="0"/>
              <w:jc w:val="center"/>
              <w:rPr>
                <w:rFonts w:hint="eastAsia" w:ascii="宋体" w:hAnsi="宋体" w:eastAsia="宋体" w:cs="宋体"/>
                <w:sz w:val="22"/>
                <w:szCs w:val="22"/>
              </w:rPr>
            </w:pPr>
          </w:p>
        </w:tc>
      </w:tr>
      <w:tr w14:paraId="196AB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7" w:hRule="atLeast"/>
        </w:trPr>
        <w:tc>
          <w:tcPr>
            <w:tcW w:w="657" w:type="dxa"/>
            <w:vMerge w:val="continue"/>
            <w:noWrap w:val="0"/>
            <w:textDirection w:val="tbRlV"/>
            <w:vAlign w:val="center"/>
          </w:tcPr>
          <w:p w14:paraId="569F240D">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125DA4B7">
            <w:pPr>
              <w:spacing w:line="240" w:lineRule="auto"/>
              <w:ind w:firstLine="0" w:firstLineChars="0"/>
              <w:jc w:val="center"/>
              <w:rPr>
                <w:rFonts w:hint="eastAsia" w:ascii="宋体" w:hAnsi="宋体" w:eastAsia="宋体" w:cs="宋体"/>
                <w:sz w:val="22"/>
                <w:szCs w:val="22"/>
              </w:rPr>
            </w:pPr>
          </w:p>
        </w:tc>
        <w:tc>
          <w:tcPr>
            <w:tcW w:w="862" w:type="dxa"/>
            <w:noWrap w:val="0"/>
            <w:vAlign w:val="center"/>
          </w:tcPr>
          <w:p w14:paraId="271E9528">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可持续影响指标</w:t>
            </w:r>
          </w:p>
        </w:tc>
        <w:tc>
          <w:tcPr>
            <w:tcW w:w="2038" w:type="dxa"/>
            <w:gridSpan w:val="3"/>
            <w:noWrap w:val="0"/>
            <w:vAlign w:val="center"/>
          </w:tcPr>
          <w:p w14:paraId="592E9C9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加快建设与新区社会经济发展水平及人民健康需求相适应的院前医疗服务体系完善急救体系</w:t>
            </w:r>
          </w:p>
        </w:tc>
        <w:tc>
          <w:tcPr>
            <w:tcW w:w="586" w:type="dxa"/>
            <w:noWrap w:val="0"/>
            <w:vAlign w:val="center"/>
          </w:tcPr>
          <w:p w14:paraId="0F73671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加快</w:t>
            </w:r>
          </w:p>
        </w:tc>
        <w:tc>
          <w:tcPr>
            <w:tcW w:w="652" w:type="dxa"/>
            <w:noWrap w:val="0"/>
            <w:vAlign w:val="center"/>
          </w:tcPr>
          <w:p w14:paraId="74E9E7E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加快</w:t>
            </w:r>
          </w:p>
        </w:tc>
        <w:tc>
          <w:tcPr>
            <w:tcW w:w="655" w:type="dxa"/>
            <w:gridSpan w:val="2"/>
            <w:noWrap w:val="0"/>
            <w:vAlign w:val="center"/>
          </w:tcPr>
          <w:p w14:paraId="2DD0C0C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12B633E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60F8356D">
            <w:pPr>
              <w:spacing w:line="240" w:lineRule="auto"/>
              <w:ind w:firstLine="0" w:firstLineChars="0"/>
              <w:jc w:val="center"/>
              <w:rPr>
                <w:rFonts w:hint="eastAsia" w:ascii="宋体" w:hAnsi="宋体" w:eastAsia="宋体" w:cs="宋体"/>
                <w:sz w:val="22"/>
                <w:szCs w:val="22"/>
              </w:rPr>
            </w:pPr>
          </w:p>
        </w:tc>
      </w:tr>
      <w:tr w14:paraId="6FEE3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57" w:type="dxa"/>
            <w:vMerge w:val="continue"/>
            <w:noWrap w:val="0"/>
            <w:vAlign w:val="center"/>
          </w:tcPr>
          <w:p w14:paraId="2AEDA637">
            <w:pPr>
              <w:spacing w:line="240" w:lineRule="auto"/>
              <w:ind w:firstLine="0" w:firstLineChars="0"/>
              <w:jc w:val="center"/>
              <w:rPr>
                <w:rFonts w:hint="eastAsia" w:ascii="宋体" w:hAnsi="宋体" w:eastAsia="宋体" w:cs="宋体"/>
                <w:sz w:val="22"/>
                <w:szCs w:val="22"/>
              </w:rPr>
            </w:pPr>
          </w:p>
        </w:tc>
        <w:tc>
          <w:tcPr>
            <w:tcW w:w="778" w:type="dxa"/>
            <w:vMerge w:val="restart"/>
            <w:noWrap w:val="0"/>
            <w:vAlign w:val="center"/>
          </w:tcPr>
          <w:p w14:paraId="79EB0F2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62" w:type="dxa"/>
            <w:vMerge w:val="restart"/>
            <w:noWrap w:val="0"/>
            <w:vAlign w:val="center"/>
          </w:tcPr>
          <w:p w14:paraId="21FD854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2038" w:type="dxa"/>
            <w:gridSpan w:val="3"/>
            <w:noWrap w:val="0"/>
            <w:vAlign w:val="center"/>
          </w:tcPr>
          <w:p w14:paraId="6BE720F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各医疗机构满意度</w:t>
            </w:r>
          </w:p>
        </w:tc>
        <w:tc>
          <w:tcPr>
            <w:tcW w:w="586" w:type="dxa"/>
            <w:noWrap w:val="0"/>
            <w:vAlign w:val="center"/>
          </w:tcPr>
          <w:p w14:paraId="69A2CA3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≥90%</w:t>
            </w:r>
          </w:p>
        </w:tc>
        <w:tc>
          <w:tcPr>
            <w:tcW w:w="652" w:type="dxa"/>
            <w:noWrap w:val="0"/>
            <w:vAlign w:val="center"/>
          </w:tcPr>
          <w:p w14:paraId="20ED714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≥90%</w:t>
            </w:r>
          </w:p>
        </w:tc>
        <w:tc>
          <w:tcPr>
            <w:tcW w:w="655" w:type="dxa"/>
            <w:gridSpan w:val="2"/>
            <w:noWrap w:val="0"/>
            <w:vAlign w:val="center"/>
          </w:tcPr>
          <w:p w14:paraId="5CF73D1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589C44E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22AB7CEA">
            <w:pPr>
              <w:spacing w:line="240" w:lineRule="auto"/>
              <w:ind w:firstLine="0" w:firstLineChars="0"/>
              <w:jc w:val="center"/>
              <w:rPr>
                <w:rFonts w:hint="eastAsia" w:ascii="宋体" w:hAnsi="宋体" w:eastAsia="宋体" w:cs="宋体"/>
                <w:sz w:val="22"/>
                <w:szCs w:val="22"/>
              </w:rPr>
            </w:pPr>
          </w:p>
        </w:tc>
      </w:tr>
      <w:tr w14:paraId="0A2C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rPr>
        <w:tc>
          <w:tcPr>
            <w:tcW w:w="657" w:type="dxa"/>
            <w:vMerge w:val="continue"/>
            <w:noWrap w:val="0"/>
            <w:vAlign w:val="center"/>
          </w:tcPr>
          <w:p w14:paraId="6AFDAAED">
            <w:pPr>
              <w:spacing w:line="240" w:lineRule="auto"/>
              <w:ind w:firstLine="0" w:firstLineChars="0"/>
              <w:jc w:val="center"/>
              <w:rPr>
                <w:rFonts w:hint="eastAsia" w:ascii="宋体" w:hAnsi="宋体" w:eastAsia="宋体" w:cs="宋体"/>
                <w:sz w:val="22"/>
                <w:szCs w:val="22"/>
              </w:rPr>
            </w:pPr>
          </w:p>
        </w:tc>
        <w:tc>
          <w:tcPr>
            <w:tcW w:w="778" w:type="dxa"/>
            <w:vMerge w:val="continue"/>
            <w:noWrap w:val="0"/>
            <w:vAlign w:val="center"/>
          </w:tcPr>
          <w:p w14:paraId="5DB8E2B7">
            <w:pPr>
              <w:spacing w:line="240" w:lineRule="auto"/>
              <w:ind w:firstLine="0" w:firstLineChars="0"/>
              <w:jc w:val="center"/>
              <w:rPr>
                <w:rFonts w:hint="eastAsia" w:ascii="宋体" w:hAnsi="宋体" w:eastAsia="宋体" w:cs="宋体"/>
                <w:sz w:val="22"/>
                <w:szCs w:val="22"/>
              </w:rPr>
            </w:pPr>
          </w:p>
        </w:tc>
        <w:tc>
          <w:tcPr>
            <w:tcW w:w="862" w:type="dxa"/>
            <w:vMerge w:val="continue"/>
            <w:noWrap w:val="0"/>
            <w:vAlign w:val="center"/>
          </w:tcPr>
          <w:p w14:paraId="6EFBD7C0">
            <w:pPr>
              <w:spacing w:line="240" w:lineRule="auto"/>
              <w:ind w:firstLine="0" w:firstLineChars="0"/>
              <w:jc w:val="center"/>
              <w:rPr>
                <w:rFonts w:hint="eastAsia" w:ascii="宋体" w:hAnsi="宋体" w:eastAsia="宋体" w:cs="宋体"/>
                <w:sz w:val="22"/>
                <w:szCs w:val="22"/>
              </w:rPr>
            </w:pPr>
          </w:p>
        </w:tc>
        <w:tc>
          <w:tcPr>
            <w:tcW w:w="2038" w:type="dxa"/>
            <w:gridSpan w:val="3"/>
            <w:noWrap w:val="0"/>
            <w:vAlign w:val="center"/>
          </w:tcPr>
          <w:p w14:paraId="646C8E1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群众满意度</w:t>
            </w:r>
          </w:p>
        </w:tc>
        <w:tc>
          <w:tcPr>
            <w:tcW w:w="586" w:type="dxa"/>
            <w:noWrap w:val="0"/>
            <w:vAlign w:val="center"/>
          </w:tcPr>
          <w:p w14:paraId="64DD38F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≥90%</w:t>
            </w:r>
          </w:p>
        </w:tc>
        <w:tc>
          <w:tcPr>
            <w:tcW w:w="652" w:type="dxa"/>
            <w:noWrap w:val="0"/>
            <w:vAlign w:val="center"/>
          </w:tcPr>
          <w:p w14:paraId="4821085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≥90%</w:t>
            </w:r>
          </w:p>
        </w:tc>
        <w:tc>
          <w:tcPr>
            <w:tcW w:w="655" w:type="dxa"/>
            <w:gridSpan w:val="2"/>
            <w:noWrap w:val="0"/>
            <w:vAlign w:val="center"/>
          </w:tcPr>
          <w:p w14:paraId="7DE2B56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664DB05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75" w:type="dxa"/>
            <w:gridSpan w:val="2"/>
            <w:noWrap w:val="0"/>
            <w:vAlign w:val="center"/>
          </w:tcPr>
          <w:p w14:paraId="04D6B84D">
            <w:pPr>
              <w:spacing w:line="240" w:lineRule="auto"/>
              <w:ind w:firstLine="0" w:firstLineChars="0"/>
              <w:jc w:val="center"/>
              <w:rPr>
                <w:rFonts w:hint="eastAsia" w:ascii="宋体" w:hAnsi="宋体" w:eastAsia="宋体" w:cs="宋体"/>
                <w:sz w:val="22"/>
                <w:szCs w:val="22"/>
              </w:rPr>
            </w:pPr>
          </w:p>
        </w:tc>
      </w:tr>
      <w:tr w14:paraId="4FB87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rPr>
        <w:tc>
          <w:tcPr>
            <w:tcW w:w="5573" w:type="dxa"/>
            <w:gridSpan w:val="8"/>
            <w:noWrap w:val="0"/>
            <w:vAlign w:val="center"/>
          </w:tcPr>
          <w:p w14:paraId="09508BC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55" w:type="dxa"/>
            <w:gridSpan w:val="2"/>
            <w:noWrap w:val="0"/>
            <w:vAlign w:val="center"/>
          </w:tcPr>
          <w:p w14:paraId="7C3C6DD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56" w:type="dxa"/>
            <w:gridSpan w:val="2"/>
            <w:noWrap w:val="0"/>
            <w:vAlign w:val="center"/>
          </w:tcPr>
          <w:p w14:paraId="36D7B04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75" w:type="dxa"/>
            <w:gridSpan w:val="2"/>
            <w:noWrap w:val="0"/>
            <w:vAlign w:val="center"/>
          </w:tcPr>
          <w:p w14:paraId="25D2A2FE">
            <w:pPr>
              <w:spacing w:line="240" w:lineRule="auto"/>
              <w:ind w:firstLine="0" w:firstLineChars="0"/>
              <w:jc w:val="center"/>
              <w:rPr>
                <w:rFonts w:hint="eastAsia" w:ascii="宋体" w:hAnsi="宋体" w:eastAsia="宋体" w:cs="宋体"/>
                <w:sz w:val="22"/>
                <w:szCs w:val="22"/>
              </w:rPr>
            </w:pPr>
          </w:p>
        </w:tc>
      </w:tr>
      <w:tr w14:paraId="705D0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657" w:type="dxa"/>
            <w:noWrap w:val="0"/>
            <w:vAlign w:val="center"/>
          </w:tcPr>
          <w:p w14:paraId="1549BDB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8002" w:type="dxa"/>
            <w:gridSpan w:val="13"/>
            <w:noWrap w:val="0"/>
            <w:vAlign w:val="center"/>
          </w:tcPr>
          <w:p w14:paraId="38B70B0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4B265474">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7109A8D4">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206B74DA">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22CE7C79">
      <w:pPr>
        <w:spacing w:before="111" w:line="560" w:lineRule="exact"/>
        <w:ind w:firstLine="0" w:firstLineChars="0"/>
        <w:outlineLvl w:val="1"/>
        <w:rPr>
          <w:rFonts w:ascii="宋体" w:hAnsi="宋体" w:eastAsia="宋体" w:cs="宋体"/>
          <w:b/>
          <w:bCs/>
          <w:lang w:val="en-US" w:eastAsia="zh-CN"/>
        </w:rPr>
      </w:pPr>
      <w:r>
        <w:rPr>
          <w:rFonts w:hint="eastAsia" w:ascii="宋体" w:hAnsi="宋体" w:eastAsia="宋体" w:cs="宋体"/>
          <w:b/>
          <w:bCs/>
          <w:lang w:val="en-US" w:eastAsia="zh-CN"/>
        </w:rPr>
        <w:t>附件4</w:t>
      </w:r>
    </w:p>
    <w:p w14:paraId="1B4BFBA4">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4DD66B52">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64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9"/>
        <w:gridCol w:w="840"/>
        <w:gridCol w:w="930"/>
        <w:gridCol w:w="291"/>
        <w:gridCol w:w="1122"/>
        <w:gridCol w:w="215"/>
        <w:gridCol w:w="990"/>
        <w:gridCol w:w="915"/>
        <w:gridCol w:w="628"/>
        <w:gridCol w:w="79"/>
        <w:gridCol w:w="728"/>
        <w:gridCol w:w="88"/>
        <w:gridCol w:w="628"/>
        <w:gridCol w:w="481"/>
      </w:tblGrid>
      <w:tr w14:paraId="5F1B7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noWrap w:val="0"/>
            <w:vAlign w:val="center"/>
          </w:tcPr>
          <w:p w14:paraId="36AB66E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095" w:type="dxa"/>
            <w:gridSpan w:val="12"/>
            <w:noWrap w:val="0"/>
            <w:vAlign w:val="center"/>
          </w:tcPr>
          <w:p w14:paraId="7029458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医政医改管理经费</w:t>
            </w:r>
          </w:p>
        </w:tc>
      </w:tr>
      <w:tr w14:paraId="3D73E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noWrap w:val="0"/>
            <w:vAlign w:val="center"/>
          </w:tcPr>
          <w:p w14:paraId="618767E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548" w:type="dxa"/>
            <w:gridSpan w:val="5"/>
            <w:noWrap w:val="0"/>
            <w:vAlign w:val="center"/>
          </w:tcPr>
          <w:p w14:paraId="2F67131A">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兰州新区卫生健康委员会</w:t>
            </w:r>
          </w:p>
        </w:tc>
        <w:tc>
          <w:tcPr>
            <w:tcW w:w="1543" w:type="dxa"/>
            <w:gridSpan w:val="2"/>
            <w:noWrap w:val="0"/>
            <w:vAlign w:val="center"/>
          </w:tcPr>
          <w:p w14:paraId="0C23F03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004" w:type="dxa"/>
            <w:gridSpan w:val="5"/>
            <w:noWrap w:val="0"/>
            <w:vAlign w:val="center"/>
          </w:tcPr>
          <w:p w14:paraId="4B186409">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兰州新区第一人民医院</w:t>
            </w:r>
          </w:p>
        </w:tc>
      </w:tr>
      <w:tr w14:paraId="41A01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restart"/>
            <w:noWrap w:val="0"/>
            <w:vAlign w:val="center"/>
          </w:tcPr>
          <w:p w14:paraId="5703412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221" w:type="dxa"/>
            <w:gridSpan w:val="2"/>
            <w:noWrap w:val="0"/>
            <w:vAlign w:val="center"/>
          </w:tcPr>
          <w:p w14:paraId="3CB6A218">
            <w:pPr>
              <w:spacing w:line="240" w:lineRule="auto"/>
              <w:ind w:firstLine="0" w:firstLineChars="0"/>
              <w:jc w:val="center"/>
              <w:rPr>
                <w:rFonts w:hint="eastAsia" w:ascii="宋体" w:hAnsi="宋体" w:eastAsia="宋体" w:cs="宋体"/>
                <w:sz w:val="22"/>
                <w:szCs w:val="22"/>
              </w:rPr>
            </w:pPr>
          </w:p>
        </w:tc>
        <w:tc>
          <w:tcPr>
            <w:tcW w:w="1122" w:type="dxa"/>
            <w:noWrap w:val="0"/>
            <w:vAlign w:val="center"/>
          </w:tcPr>
          <w:p w14:paraId="2510C77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205" w:type="dxa"/>
            <w:gridSpan w:val="2"/>
            <w:noWrap w:val="0"/>
            <w:vAlign w:val="center"/>
          </w:tcPr>
          <w:p w14:paraId="406D274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543" w:type="dxa"/>
            <w:gridSpan w:val="2"/>
            <w:noWrap w:val="0"/>
            <w:vAlign w:val="center"/>
          </w:tcPr>
          <w:p w14:paraId="28C6DD2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807" w:type="dxa"/>
            <w:gridSpan w:val="2"/>
            <w:noWrap w:val="0"/>
            <w:vAlign w:val="center"/>
          </w:tcPr>
          <w:p w14:paraId="4CEAFBD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16" w:type="dxa"/>
            <w:gridSpan w:val="2"/>
            <w:noWrap w:val="0"/>
            <w:vAlign w:val="center"/>
          </w:tcPr>
          <w:p w14:paraId="4BD2B9C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481" w:type="dxa"/>
            <w:noWrap w:val="0"/>
            <w:vAlign w:val="center"/>
          </w:tcPr>
          <w:p w14:paraId="2DF9257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72526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continue"/>
            <w:noWrap w:val="0"/>
            <w:vAlign w:val="center"/>
          </w:tcPr>
          <w:p w14:paraId="66092BDC">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79732103">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215B912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122" w:type="dxa"/>
            <w:noWrap w:val="0"/>
            <w:vAlign w:val="center"/>
          </w:tcPr>
          <w:p w14:paraId="5B37AC0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180</w:t>
            </w:r>
          </w:p>
        </w:tc>
        <w:tc>
          <w:tcPr>
            <w:tcW w:w="1205" w:type="dxa"/>
            <w:gridSpan w:val="2"/>
            <w:noWrap w:val="0"/>
            <w:vAlign w:val="center"/>
          </w:tcPr>
          <w:p w14:paraId="01C7414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180</w:t>
            </w:r>
          </w:p>
        </w:tc>
        <w:tc>
          <w:tcPr>
            <w:tcW w:w="1543" w:type="dxa"/>
            <w:gridSpan w:val="2"/>
            <w:noWrap w:val="0"/>
            <w:vAlign w:val="center"/>
          </w:tcPr>
          <w:p w14:paraId="0C9CAF3D">
            <w:pPr>
              <w:spacing w:line="240" w:lineRule="auto"/>
              <w:ind w:firstLine="660" w:firstLineChars="300"/>
              <w:jc w:val="both"/>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807" w:type="dxa"/>
            <w:gridSpan w:val="2"/>
            <w:noWrap w:val="0"/>
            <w:vAlign w:val="center"/>
          </w:tcPr>
          <w:p w14:paraId="0626761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716" w:type="dxa"/>
            <w:gridSpan w:val="2"/>
            <w:noWrap w:val="0"/>
            <w:vAlign w:val="center"/>
          </w:tcPr>
          <w:p w14:paraId="278D63C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481" w:type="dxa"/>
            <w:noWrap w:val="0"/>
            <w:vAlign w:val="center"/>
          </w:tcPr>
          <w:p w14:paraId="3557922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4202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continue"/>
            <w:noWrap w:val="0"/>
            <w:vAlign w:val="center"/>
          </w:tcPr>
          <w:p w14:paraId="01EBA5BA">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08F9C39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122" w:type="dxa"/>
            <w:noWrap w:val="0"/>
            <w:vAlign w:val="center"/>
          </w:tcPr>
          <w:p w14:paraId="564E856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180</w:t>
            </w:r>
          </w:p>
        </w:tc>
        <w:tc>
          <w:tcPr>
            <w:tcW w:w="1205" w:type="dxa"/>
            <w:gridSpan w:val="2"/>
            <w:noWrap w:val="0"/>
            <w:vAlign w:val="center"/>
          </w:tcPr>
          <w:p w14:paraId="494A023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180</w:t>
            </w:r>
          </w:p>
        </w:tc>
        <w:tc>
          <w:tcPr>
            <w:tcW w:w="1543" w:type="dxa"/>
            <w:gridSpan w:val="2"/>
            <w:noWrap w:val="0"/>
            <w:vAlign w:val="center"/>
          </w:tcPr>
          <w:p w14:paraId="6FBD995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807" w:type="dxa"/>
            <w:gridSpan w:val="2"/>
            <w:noWrap w:val="0"/>
            <w:vAlign w:val="center"/>
          </w:tcPr>
          <w:p w14:paraId="50D4E26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716" w:type="dxa"/>
            <w:gridSpan w:val="2"/>
            <w:noWrap w:val="0"/>
            <w:vAlign w:val="center"/>
          </w:tcPr>
          <w:p w14:paraId="294533E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481" w:type="dxa"/>
            <w:noWrap w:val="0"/>
            <w:vAlign w:val="center"/>
          </w:tcPr>
          <w:p w14:paraId="7B86140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7ED33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continue"/>
            <w:noWrap w:val="0"/>
            <w:vAlign w:val="center"/>
          </w:tcPr>
          <w:p w14:paraId="24353CCE">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47DA7F98">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73BB04A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122" w:type="dxa"/>
            <w:noWrap w:val="0"/>
            <w:vAlign w:val="center"/>
          </w:tcPr>
          <w:p w14:paraId="7FECEA13">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205" w:type="dxa"/>
            <w:gridSpan w:val="2"/>
            <w:noWrap w:val="0"/>
            <w:vAlign w:val="center"/>
          </w:tcPr>
          <w:p w14:paraId="1941955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543" w:type="dxa"/>
            <w:gridSpan w:val="2"/>
            <w:noWrap w:val="0"/>
            <w:vAlign w:val="center"/>
          </w:tcPr>
          <w:p w14:paraId="6E8A97E3">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807" w:type="dxa"/>
            <w:gridSpan w:val="2"/>
            <w:noWrap w:val="0"/>
            <w:vAlign w:val="center"/>
          </w:tcPr>
          <w:p w14:paraId="7ABFFCB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716" w:type="dxa"/>
            <w:gridSpan w:val="2"/>
            <w:noWrap w:val="0"/>
            <w:vAlign w:val="center"/>
          </w:tcPr>
          <w:p w14:paraId="64A8E3B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481" w:type="dxa"/>
            <w:noWrap w:val="0"/>
            <w:vAlign w:val="center"/>
          </w:tcPr>
          <w:p w14:paraId="68897BE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1BFB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continue"/>
            <w:noWrap w:val="0"/>
            <w:vAlign w:val="center"/>
          </w:tcPr>
          <w:p w14:paraId="53A9F5D6">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452FA79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122" w:type="dxa"/>
            <w:noWrap w:val="0"/>
            <w:vAlign w:val="center"/>
          </w:tcPr>
          <w:p w14:paraId="001E5A5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203</w:t>
            </w:r>
          </w:p>
        </w:tc>
        <w:tc>
          <w:tcPr>
            <w:tcW w:w="1205" w:type="dxa"/>
            <w:gridSpan w:val="2"/>
            <w:noWrap w:val="0"/>
            <w:vAlign w:val="center"/>
          </w:tcPr>
          <w:p w14:paraId="3C2D175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203</w:t>
            </w:r>
          </w:p>
        </w:tc>
        <w:tc>
          <w:tcPr>
            <w:tcW w:w="1543" w:type="dxa"/>
            <w:gridSpan w:val="2"/>
            <w:noWrap w:val="0"/>
            <w:vAlign w:val="center"/>
          </w:tcPr>
          <w:p w14:paraId="5620142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203</w:t>
            </w:r>
          </w:p>
        </w:tc>
        <w:tc>
          <w:tcPr>
            <w:tcW w:w="807" w:type="dxa"/>
            <w:gridSpan w:val="2"/>
            <w:noWrap w:val="0"/>
            <w:vAlign w:val="center"/>
          </w:tcPr>
          <w:p w14:paraId="65D9167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position w:val="-3"/>
                <w:sz w:val="22"/>
                <w:szCs w:val="22"/>
                <w:lang w:val="en-US" w:eastAsia="zh-CN"/>
              </w:rPr>
              <w:t>10</w:t>
            </w:r>
          </w:p>
        </w:tc>
        <w:tc>
          <w:tcPr>
            <w:tcW w:w="716" w:type="dxa"/>
            <w:gridSpan w:val="2"/>
            <w:noWrap w:val="0"/>
            <w:vAlign w:val="center"/>
          </w:tcPr>
          <w:p w14:paraId="3872B62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481" w:type="dxa"/>
            <w:noWrap w:val="0"/>
            <w:vAlign w:val="center"/>
          </w:tcPr>
          <w:p w14:paraId="00D54D0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position w:val="-3"/>
                <w:sz w:val="22"/>
                <w:szCs w:val="22"/>
                <w:lang w:val="en-US" w:eastAsia="zh-CN"/>
              </w:rPr>
              <w:t>10</w:t>
            </w:r>
          </w:p>
        </w:tc>
      </w:tr>
      <w:tr w14:paraId="6B4B8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trPr>
        <w:tc>
          <w:tcPr>
            <w:tcW w:w="709" w:type="dxa"/>
            <w:vMerge w:val="restart"/>
            <w:noWrap w:val="0"/>
            <w:vAlign w:val="center"/>
          </w:tcPr>
          <w:p w14:paraId="6495345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388" w:type="dxa"/>
            <w:gridSpan w:val="6"/>
            <w:noWrap w:val="0"/>
            <w:vAlign w:val="center"/>
          </w:tcPr>
          <w:p w14:paraId="1DDB55F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547" w:type="dxa"/>
            <w:gridSpan w:val="7"/>
            <w:noWrap w:val="0"/>
            <w:vAlign w:val="center"/>
          </w:tcPr>
          <w:p w14:paraId="268656E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7CA08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5C4F4E15">
            <w:pPr>
              <w:spacing w:line="240" w:lineRule="auto"/>
              <w:ind w:firstLine="0" w:firstLineChars="0"/>
              <w:jc w:val="center"/>
              <w:rPr>
                <w:rFonts w:hint="eastAsia" w:ascii="宋体" w:hAnsi="宋体" w:eastAsia="宋体" w:cs="宋体"/>
                <w:sz w:val="22"/>
                <w:szCs w:val="22"/>
              </w:rPr>
            </w:pPr>
          </w:p>
        </w:tc>
        <w:tc>
          <w:tcPr>
            <w:tcW w:w="4388" w:type="dxa"/>
            <w:gridSpan w:val="6"/>
            <w:noWrap w:val="0"/>
            <w:vAlign w:val="center"/>
          </w:tcPr>
          <w:p w14:paraId="204B8CA6">
            <w:pPr>
              <w:spacing w:line="240" w:lineRule="auto"/>
              <w:ind w:firstLine="420" w:firstLineChars="200"/>
              <w:jc w:val="both"/>
              <w:rPr>
                <w:rFonts w:hint="eastAsia" w:ascii="宋体" w:hAnsi="宋体" w:eastAsia="宋体" w:cs="宋体"/>
                <w:sz w:val="22"/>
                <w:szCs w:val="22"/>
              </w:rPr>
            </w:pPr>
            <w:r>
              <w:rPr>
                <w:rFonts w:hint="eastAsia"/>
                <w:sz w:val="21"/>
                <w:szCs w:val="21"/>
              </w:rPr>
              <w:t>通过新区县域五大急危重症医学中心建设、五大县域医学中心建设、新区十大质控中心和重点学科（专科）体系建设，加强医疗质量管理，确保医疗安全和服务质量，不断提高新区各医疗机构医疗服务水平。</w:t>
            </w:r>
          </w:p>
        </w:tc>
        <w:tc>
          <w:tcPr>
            <w:tcW w:w="3547" w:type="dxa"/>
            <w:gridSpan w:val="7"/>
            <w:noWrap w:val="0"/>
            <w:vAlign w:val="center"/>
          </w:tcPr>
          <w:p w14:paraId="517D40A7">
            <w:pPr>
              <w:spacing w:line="240" w:lineRule="auto"/>
              <w:ind w:firstLine="420" w:firstLineChars="200"/>
              <w:jc w:val="both"/>
              <w:rPr>
                <w:rFonts w:hint="eastAsia" w:ascii="Arial" w:hAnsi="Arial"/>
                <w:sz w:val="21"/>
                <w:szCs w:val="21"/>
                <w:lang w:val="en-US" w:eastAsia="zh-CN"/>
              </w:rPr>
            </w:pPr>
            <w:r>
              <w:rPr>
                <w:rFonts w:hint="eastAsia" w:ascii="Arial" w:hAnsi="Arial"/>
                <w:sz w:val="21"/>
                <w:szCs w:val="21"/>
              </w:rPr>
              <w:t>持续深化医药卫生体制改革，激发医疗服务质量快速提升。结合实际全面推广三明医改经验，继续推动新区第一人民医院和秦川中心卫生院紧密型县域医共体试点工作，以“保基本、强基层、建机制”为目标，建立一个责任、管理、服务、利益“四位一体”的紧密型县域医共体，推动优质医疗卫生资源下沉。让老百姓在家门口就近享受县级以上质优价廉医疗服务的目的。</w:t>
            </w:r>
          </w:p>
          <w:p w14:paraId="6B3BC75B">
            <w:pPr>
              <w:spacing w:line="240" w:lineRule="auto"/>
              <w:ind w:firstLine="0" w:firstLineChars="0"/>
              <w:jc w:val="center"/>
              <w:rPr>
                <w:rFonts w:hint="eastAsia" w:ascii="宋体" w:hAnsi="宋体" w:eastAsia="宋体" w:cs="宋体"/>
                <w:sz w:val="22"/>
                <w:szCs w:val="22"/>
              </w:rPr>
            </w:pPr>
          </w:p>
        </w:tc>
      </w:tr>
      <w:tr w14:paraId="1ADB3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3AE32668">
            <w:pPr>
              <w:spacing w:line="240" w:lineRule="auto"/>
              <w:ind w:firstLine="0" w:firstLineChars="0"/>
              <w:jc w:val="center"/>
              <w:rPr>
                <w:rFonts w:hint="eastAsia" w:ascii="宋体" w:hAnsi="宋体" w:eastAsia="宋体" w:cs="宋体"/>
                <w:sz w:val="22"/>
                <w:szCs w:val="22"/>
              </w:rPr>
            </w:pPr>
          </w:p>
        </w:tc>
        <w:tc>
          <w:tcPr>
            <w:tcW w:w="4388" w:type="dxa"/>
            <w:gridSpan w:val="6"/>
            <w:noWrap w:val="0"/>
            <w:vAlign w:val="center"/>
          </w:tcPr>
          <w:p w14:paraId="7F064245">
            <w:pPr>
              <w:spacing w:line="240" w:lineRule="auto"/>
              <w:ind w:firstLine="0" w:firstLineChars="0"/>
              <w:jc w:val="center"/>
              <w:rPr>
                <w:rFonts w:hint="eastAsia" w:ascii="宋体" w:hAnsi="宋体" w:eastAsia="宋体" w:cs="宋体"/>
                <w:sz w:val="22"/>
                <w:szCs w:val="22"/>
              </w:rPr>
            </w:pPr>
          </w:p>
        </w:tc>
        <w:tc>
          <w:tcPr>
            <w:tcW w:w="3547" w:type="dxa"/>
            <w:gridSpan w:val="7"/>
            <w:noWrap w:val="0"/>
            <w:vAlign w:val="center"/>
          </w:tcPr>
          <w:p w14:paraId="35A7DAAA">
            <w:pPr>
              <w:spacing w:line="240" w:lineRule="auto"/>
              <w:ind w:firstLine="0" w:firstLineChars="0"/>
              <w:jc w:val="center"/>
              <w:rPr>
                <w:rFonts w:hint="eastAsia" w:ascii="宋体" w:hAnsi="宋体" w:eastAsia="宋体" w:cs="宋体"/>
                <w:sz w:val="22"/>
                <w:szCs w:val="22"/>
              </w:rPr>
            </w:pPr>
          </w:p>
        </w:tc>
      </w:tr>
      <w:tr w14:paraId="20138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restart"/>
            <w:noWrap w:val="0"/>
            <w:vAlign w:val="center"/>
          </w:tcPr>
          <w:p w14:paraId="7F5CDD1F">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840" w:type="dxa"/>
            <w:noWrap w:val="0"/>
            <w:vAlign w:val="center"/>
          </w:tcPr>
          <w:p w14:paraId="76F1F269">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4725239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30" w:type="dxa"/>
            <w:noWrap w:val="0"/>
            <w:vAlign w:val="center"/>
          </w:tcPr>
          <w:p w14:paraId="11FA1C99">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4FF40F0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1BF1CA5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990" w:type="dxa"/>
            <w:noWrap w:val="0"/>
            <w:vAlign w:val="center"/>
          </w:tcPr>
          <w:p w14:paraId="4281516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915" w:type="dxa"/>
            <w:noWrap w:val="0"/>
            <w:vAlign w:val="center"/>
          </w:tcPr>
          <w:p w14:paraId="241D51A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707" w:type="dxa"/>
            <w:gridSpan w:val="2"/>
            <w:noWrap w:val="0"/>
            <w:vAlign w:val="center"/>
          </w:tcPr>
          <w:p w14:paraId="58C403C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816" w:type="dxa"/>
            <w:gridSpan w:val="2"/>
            <w:noWrap w:val="0"/>
            <w:vAlign w:val="center"/>
          </w:tcPr>
          <w:p w14:paraId="3DDE1BA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109" w:type="dxa"/>
            <w:gridSpan w:val="2"/>
            <w:noWrap w:val="0"/>
            <w:vAlign w:val="center"/>
          </w:tcPr>
          <w:p w14:paraId="5E27667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5CCCF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textDirection w:val="tbRlV"/>
            <w:vAlign w:val="center"/>
          </w:tcPr>
          <w:p w14:paraId="13ECD3D2">
            <w:pPr>
              <w:spacing w:line="240" w:lineRule="auto"/>
              <w:ind w:left="113" w:right="113" w:firstLine="0" w:firstLineChars="0"/>
              <w:jc w:val="center"/>
              <w:rPr>
                <w:rFonts w:hint="eastAsia" w:ascii="宋体" w:hAnsi="宋体" w:eastAsia="宋体" w:cs="宋体"/>
                <w:sz w:val="22"/>
                <w:szCs w:val="22"/>
              </w:rPr>
            </w:pPr>
          </w:p>
        </w:tc>
        <w:tc>
          <w:tcPr>
            <w:tcW w:w="840" w:type="dxa"/>
            <w:vMerge w:val="restart"/>
            <w:noWrap w:val="0"/>
            <w:vAlign w:val="center"/>
          </w:tcPr>
          <w:p w14:paraId="67643FC0">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1D1DCA2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30" w:type="dxa"/>
            <w:vMerge w:val="restart"/>
            <w:noWrap w:val="0"/>
            <w:vAlign w:val="center"/>
          </w:tcPr>
          <w:p w14:paraId="0E19D70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05B2EA9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352CB37A">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宋体" w:hAnsi="宋体" w:eastAsia="宋体" w:cs="宋体"/>
                <w:sz w:val="16"/>
                <w:szCs w:val="16"/>
              </w:rPr>
            </w:pPr>
            <w:r>
              <w:rPr>
                <w:rFonts w:hint="eastAsia" w:ascii="宋体" w:hAnsi="宋体" w:eastAsia="宋体" w:cs="宋体"/>
                <w:i w:val="0"/>
                <w:snapToGrid w:val="0"/>
                <w:color w:val="000000"/>
                <w:kern w:val="0"/>
                <w:sz w:val="16"/>
                <w:szCs w:val="16"/>
                <w:u w:val="none"/>
                <w:lang w:val="en-US" w:eastAsia="zh-CN" w:bidi="ar"/>
              </w:rPr>
              <w:t>推进新区县域五大急危重症医学中心建设工作完成率</w:t>
            </w:r>
          </w:p>
        </w:tc>
        <w:tc>
          <w:tcPr>
            <w:tcW w:w="990" w:type="dxa"/>
            <w:noWrap w:val="0"/>
            <w:vAlign w:val="center"/>
          </w:tcPr>
          <w:p w14:paraId="3957B45C">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5个</w:t>
            </w:r>
          </w:p>
        </w:tc>
        <w:tc>
          <w:tcPr>
            <w:tcW w:w="915" w:type="dxa"/>
            <w:noWrap w:val="0"/>
            <w:vAlign w:val="center"/>
          </w:tcPr>
          <w:p w14:paraId="336A9A80">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5个</w:t>
            </w:r>
          </w:p>
        </w:tc>
        <w:tc>
          <w:tcPr>
            <w:tcW w:w="707" w:type="dxa"/>
            <w:gridSpan w:val="2"/>
            <w:noWrap w:val="0"/>
            <w:vAlign w:val="center"/>
          </w:tcPr>
          <w:p w14:paraId="0C764EB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049A2FB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6DEAB053">
            <w:pPr>
              <w:spacing w:line="240" w:lineRule="auto"/>
              <w:ind w:firstLine="0" w:firstLineChars="0"/>
              <w:jc w:val="center"/>
              <w:rPr>
                <w:rFonts w:hint="eastAsia" w:ascii="宋体" w:hAnsi="宋体" w:eastAsia="宋体" w:cs="宋体"/>
                <w:sz w:val="22"/>
                <w:szCs w:val="22"/>
              </w:rPr>
            </w:pPr>
          </w:p>
        </w:tc>
      </w:tr>
      <w:tr w14:paraId="62E9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1D94B48F">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0E440F88">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3C28A8A5">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3E3235BE">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宋体" w:hAnsi="宋体" w:eastAsia="宋体" w:cs="宋体"/>
                <w:sz w:val="16"/>
                <w:szCs w:val="16"/>
              </w:rPr>
            </w:pPr>
            <w:r>
              <w:rPr>
                <w:rFonts w:hint="eastAsia" w:ascii="宋体" w:hAnsi="宋体" w:eastAsia="宋体" w:cs="宋体"/>
                <w:i w:val="0"/>
                <w:snapToGrid w:val="0"/>
                <w:color w:val="000000"/>
                <w:kern w:val="0"/>
                <w:sz w:val="16"/>
                <w:szCs w:val="16"/>
                <w:u w:val="none"/>
                <w:lang w:val="en-US" w:eastAsia="zh-CN" w:bidi="ar"/>
              </w:rPr>
              <w:t>推进县域五大医学中心建设工作完成率</w:t>
            </w:r>
          </w:p>
        </w:tc>
        <w:tc>
          <w:tcPr>
            <w:tcW w:w="990" w:type="dxa"/>
            <w:noWrap w:val="0"/>
            <w:vAlign w:val="center"/>
          </w:tcPr>
          <w:p w14:paraId="102D4B5E">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5个</w:t>
            </w:r>
          </w:p>
        </w:tc>
        <w:tc>
          <w:tcPr>
            <w:tcW w:w="915" w:type="dxa"/>
            <w:noWrap w:val="0"/>
            <w:vAlign w:val="center"/>
          </w:tcPr>
          <w:p w14:paraId="3E5B756D">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5个</w:t>
            </w:r>
          </w:p>
        </w:tc>
        <w:tc>
          <w:tcPr>
            <w:tcW w:w="707" w:type="dxa"/>
            <w:gridSpan w:val="2"/>
            <w:noWrap w:val="0"/>
            <w:vAlign w:val="center"/>
          </w:tcPr>
          <w:p w14:paraId="1FE59AA5">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306F5EBF">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13932CC9">
            <w:pPr>
              <w:spacing w:line="240" w:lineRule="auto"/>
              <w:ind w:firstLine="0" w:firstLineChars="0"/>
              <w:jc w:val="center"/>
              <w:rPr>
                <w:rFonts w:hint="eastAsia" w:ascii="宋体" w:hAnsi="宋体" w:eastAsia="宋体" w:cs="宋体"/>
                <w:sz w:val="22"/>
                <w:szCs w:val="22"/>
              </w:rPr>
            </w:pPr>
          </w:p>
        </w:tc>
      </w:tr>
      <w:tr w14:paraId="32A35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trPr>
        <w:tc>
          <w:tcPr>
            <w:tcW w:w="709" w:type="dxa"/>
            <w:vMerge w:val="continue"/>
            <w:noWrap w:val="0"/>
            <w:vAlign w:val="center"/>
          </w:tcPr>
          <w:p w14:paraId="7F7C7D72">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0F4106F5">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3D0CEC8D">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6A4BDE65">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宋体" w:hAnsi="宋体" w:eastAsia="宋体" w:cs="宋体"/>
                <w:spacing w:val="-5"/>
                <w:sz w:val="16"/>
                <w:szCs w:val="16"/>
              </w:rPr>
            </w:pPr>
            <w:r>
              <w:rPr>
                <w:rFonts w:hint="eastAsia" w:ascii="宋体" w:hAnsi="宋体" w:eastAsia="宋体" w:cs="宋体"/>
                <w:i w:val="0"/>
                <w:snapToGrid w:val="0"/>
                <w:color w:val="000000"/>
                <w:kern w:val="0"/>
                <w:sz w:val="16"/>
                <w:szCs w:val="16"/>
                <w:u w:val="none"/>
                <w:lang w:val="en-US" w:eastAsia="zh-CN" w:bidi="ar"/>
              </w:rPr>
              <w:t>推进新区十大质控中心建设工作完成率</w:t>
            </w:r>
          </w:p>
        </w:tc>
        <w:tc>
          <w:tcPr>
            <w:tcW w:w="990" w:type="dxa"/>
            <w:noWrap w:val="0"/>
            <w:vAlign w:val="center"/>
          </w:tcPr>
          <w:p w14:paraId="6680CD7A">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10个</w:t>
            </w:r>
          </w:p>
        </w:tc>
        <w:tc>
          <w:tcPr>
            <w:tcW w:w="915" w:type="dxa"/>
            <w:noWrap w:val="0"/>
            <w:vAlign w:val="center"/>
          </w:tcPr>
          <w:p w14:paraId="7C86AC29">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10个</w:t>
            </w:r>
          </w:p>
        </w:tc>
        <w:tc>
          <w:tcPr>
            <w:tcW w:w="707" w:type="dxa"/>
            <w:gridSpan w:val="2"/>
            <w:noWrap w:val="0"/>
            <w:vAlign w:val="center"/>
          </w:tcPr>
          <w:p w14:paraId="00730792">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3594B5F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061FC120">
            <w:pPr>
              <w:spacing w:line="240" w:lineRule="auto"/>
              <w:ind w:firstLine="0" w:firstLineChars="0"/>
              <w:jc w:val="center"/>
              <w:rPr>
                <w:rFonts w:hint="eastAsia" w:ascii="宋体" w:hAnsi="宋体" w:eastAsia="宋体" w:cs="宋体"/>
                <w:sz w:val="22"/>
                <w:szCs w:val="22"/>
              </w:rPr>
            </w:pPr>
          </w:p>
        </w:tc>
      </w:tr>
      <w:tr w14:paraId="0F04D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3D441DCC">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FD03B2F">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660C04DA">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12FA98CB">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宋体" w:hAnsi="宋体" w:eastAsia="宋体" w:cs="宋体"/>
                <w:spacing w:val="-5"/>
                <w:sz w:val="16"/>
                <w:szCs w:val="16"/>
              </w:rPr>
            </w:pPr>
            <w:r>
              <w:rPr>
                <w:rFonts w:hint="eastAsia" w:ascii="宋体" w:hAnsi="宋体" w:eastAsia="宋体" w:cs="宋体"/>
                <w:i w:val="0"/>
                <w:snapToGrid w:val="0"/>
                <w:color w:val="000000"/>
                <w:kern w:val="0"/>
                <w:sz w:val="16"/>
                <w:szCs w:val="16"/>
                <w:u w:val="none"/>
                <w:lang w:val="en-US" w:eastAsia="zh-CN" w:bidi="ar"/>
              </w:rPr>
              <w:t>推进重点学科（专科）体系建设工作完成率</w:t>
            </w:r>
          </w:p>
        </w:tc>
        <w:tc>
          <w:tcPr>
            <w:tcW w:w="990" w:type="dxa"/>
            <w:noWrap w:val="0"/>
            <w:vAlign w:val="center"/>
          </w:tcPr>
          <w:p w14:paraId="6CE07F72">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≥3</w:t>
            </w:r>
          </w:p>
        </w:tc>
        <w:tc>
          <w:tcPr>
            <w:tcW w:w="915" w:type="dxa"/>
            <w:noWrap w:val="0"/>
            <w:vAlign w:val="center"/>
          </w:tcPr>
          <w:p w14:paraId="6EC3C30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07" w:type="dxa"/>
            <w:gridSpan w:val="2"/>
            <w:noWrap w:val="0"/>
            <w:vAlign w:val="center"/>
          </w:tcPr>
          <w:p w14:paraId="520C5A66">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816" w:type="dxa"/>
            <w:gridSpan w:val="2"/>
            <w:noWrap w:val="0"/>
            <w:vAlign w:val="center"/>
          </w:tcPr>
          <w:p w14:paraId="3A3803D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1109" w:type="dxa"/>
            <w:gridSpan w:val="2"/>
            <w:noWrap w:val="0"/>
            <w:vAlign w:val="center"/>
          </w:tcPr>
          <w:p w14:paraId="4721528A">
            <w:pPr>
              <w:spacing w:line="240" w:lineRule="auto"/>
              <w:ind w:firstLine="0" w:firstLineChars="0"/>
              <w:jc w:val="center"/>
              <w:rPr>
                <w:rFonts w:hint="eastAsia" w:ascii="宋体" w:hAnsi="宋体" w:eastAsia="宋体" w:cs="宋体"/>
                <w:sz w:val="22"/>
                <w:szCs w:val="22"/>
              </w:rPr>
            </w:pPr>
          </w:p>
        </w:tc>
      </w:tr>
      <w:tr w14:paraId="4015D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2BA3D664">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0AC12A85">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678F5064">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3401CA97">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宋体" w:hAnsi="宋体" w:eastAsia="宋体" w:cs="宋体"/>
                <w:snapToGrid w:val="0"/>
                <w:color w:val="000000"/>
                <w:spacing w:val="-5"/>
                <w:kern w:val="0"/>
                <w:sz w:val="16"/>
                <w:szCs w:val="16"/>
                <w:lang w:val="en-US" w:eastAsia="zh-CN"/>
              </w:rPr>
            </w:pPr>
            <w:r>
              <w:rPr>
                <w:rFonts w:hint="eastAsia" w:ascii="宋体" w:hAnsi="宋体" w:eastAsia="宋体" w:cs="宋体"/>
                <w:i w:val="0"/>
                <w:snapToGrid w:val="0"/>
                <w:color w:val="000000"/>
                <w:kern w:val="0"/>
                <w:sz w:val="16"/>
                <w:szCs w:val="16"/>
                <w:u w:val="none"/>
                <w:lang w:val="en-US" w:eastAsia="zh-CN" w:bidi="ar"/>
              </w:rPr>
              <w:t>对建设工作和培训工作督查</w:t>
            </w:r>
          </w:p>
        </w:tc>
        <w:tc>
          <w:tcPr>
            <w:tcW w:w="990" w:type="dxa"/>
            <w:noWrap w:val="0"/>
            <w:vAlign w:val="center"/>
          </w:tcPr>
          <w:p w14:paraId="7F7145F6">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2次</w:t>
            </w:r>
          </w:p>
        </w:tc>
        <w:tc>
          <w:tcPr>
            <w:tcW w:w="915" w:type="dxa"/>
            <w:noWrap w:val="0"/>
            <w:vAlign w:val="center"/>
          </w:tcPr>
          <w:p w14:paraId="3A7BBD4E">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lang w:val="en-US" w:eastAsia="zh-CN"/>
              </w:rPr>
              <w:t>6次</w:t>
            </w:r>
          </w:p>
        </w:tc>
        <w:tc>
          <w:tcPr>
            <w:tcW w:w="707" w:type="dxa"/>
            <w:gridSpan w:val="2"/>
            <w:noWrap w:val="0"/>
            <w:vAlign w:val="center"/>
          </w:tcPr>
          <w:p w14:paraId="1C30ECD6">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w:t>
            </w:r>
          </w:p>
        </w:tc>
        <w:tc>
          <w:tcPr>
            <w:tcW w:w="816" w:type="dxa"/>
            <w:gridSpan w:val="2"/>
            <w:noWrap w:val="0"/>
            <w:vAlign w:val="center"/>
          </w:tcPr>
          <w:p w14:paraId="26128F56">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w:t>
            </w:r>
          </w:p>
        </w:tc>
        <w:tc>
          <w:tcPr>
            <w:tcW w:w="1109" w:type="dxa"/>
            <w:gridSpan w:val="2"/>
            <w:noWrap w:val="0"/>
            <w:vAlign w:val="center"/>
          </w:tcPr>
          <w:p w14:paraId="053CF1FE">
            <w:pPr>
              <w:spacing w:line="240" w:lineRule="auto"/>
              <w:ind w:firstLine="0" w:firstLineChars="0"/>
              <w:jc w:val="center"/>
              <w:rPr>
                <w:rFonts w:hint="eastAsia" w:ascii="宋体" w:hAnsi="宋体" w:eastAsia="宋体" w:cs="宋体"/>
                <w:sz w:val="22"/>
                <w:szCs w:val="22"/>
              </w:rPr>
            </w:pPr>
          </w:p>
        </w:tc>
      </w:tr>
      <w:tr w14:paraId="21212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2FECAAE7">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2E3D6BAE">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618B0819">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70151CB3">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宋体" w:hAnsi="宋体" w:eastAsia="宋体" w:cs="宋体"/>
                <w:spacing w:val="-5"/>
                <w:sz w:val="16"/>
                <w:szCs w:val="16"/>
              </w:rPr>
            </w:pPr>
            <w:r>
              <w:rPr>
                <w:rFonts w:hint="eastAsia" w:ascii="宋体" w:hAnsi="宋体" w:eastAsia="宋体" w:cs="宋体"/>
                <w:spacing w:val="-5"/>
                <w:sz w:val="16"/>
                <w:szCs w:val="16"/>
              </w:rPr>
              <w:t>拨付经费完成率</w:t>
            </w:r>
          </w:p>
        </w:tc>
        <w:tc>
          <w:tcPr>
            <w:tcW w:w="990" w:type="dxa"/>
            <w:noWrap w:val="0"/>
            <w:vAlign w:val="center"/>
          </w:tcPr>
          <w:p w14:paraId="6C0207FA">
            <w:pPr>
              <w:spacing w:line="240" w:lineRule="auto"/>
              <w:ind w:firstLine="0" w:firstLineChars="0"/>
              <w:jc w:val="center"/>
              <w:rPr>
                <w:rFonts w:hint="default" w:ascii="仿宋_GB2312" w:hAnsi="仿宋_GB2312" w:eastAsia="仿宋_GB2312" w:cs="仿宋_GB2312"/>
                <w:sz w:val="16"/>
                <w:szCs w:val="16"/>
                <w:lang w:val="en-US" w:eastAsia="zh-CN"/>
              </w:rPr>
            </w:pPr>
            <w:r>
              <w:rPr>
                <w:rFonts w:hint="eastAsia" w:ascii="仿宋_GB2312" w:hAnsi="仿宋_GB2312" w:eastAsia="仿宋_GB2312" w:cs="仿宋_GB2312"/>
                <w:sz w:val="16"/>
                <w:szCs w:val="16"/>
                <w:lang w:val="en-US" w:eastAsia="zh-CN"/>
              </w:rPr>
              <w:t>100%</w:t>
            </w:r>
          </w:p>
        </w:tc>
        <w:tc>
          <w:tcPr>
            <w:tcW w:w="915" w:type="dxa"/>
            <w:noWrap w:val="0"/>
            <w:vAlign w:val="center"/>
          </w:tcPr>
          <w:p w14:paraId="5C0D1F7E">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lang w:val="en-US" w:eastAsia="zh-CN"/>
              </w:rPr>
              <w:t>100%</w:t>
            </w:r>
          </w:p>
        </w:tc>
        <w:tc>
          <w:tcPr>
            <w:tcW w:w="707" w:type="dxa"/>
            <w:gridSpan w:val="2"/>
            <w:noWrap w:val="0"/>
            <w:vAlign w:val="center"/>
          </w:tcPr>
          <w:p w14:paraId="27EC482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w:t>
            </w:r>
          </w:p>
        </w:tc>
        <w:tc>
          <w:tcPr>
            <w:tcW w:w="816" w:type="dxa"/>
            <w:gridSpan w:val="2"/>
            <w:noWrap w:val="0"/>
            <w:vAlign w:val="center"/>
          </w:tcPr>
          <w:p w14:paraId="339CA62F">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w:t>
            </w:r>
          </w:p>
        </w:tc>
        <w:tc>
          <w:tcPr>
            <w:tcW w:w="1109" w:type="dxa"/>
            <w:gridSpan w:val="2"/>
            <w:noWrap w:val="0"/>
            <w:vAlign w:val="center"/>
          </w:tcPr>
          <w:p w14:paraId="020B951D">
            <w:pPr>
              <w:spacing w:line="240" w:lineRule="auto"/>
              <w:ind w:firstLine="0" w:firstLineChars="0"/>
              <w:jc w:val="center"/>
              <w:rPr>
                <w:rFonts w:hint="eastAsia" w:ascii="宋体" w:hAnsi="宋体" w:eastAsia="宋体" w:cs="宋体"/>
                <w:sz w:val="22"/>
                <w:szCs w:val="22"/>
              </w:rPr>
            </w:pPr>
          </w:p>
        </w:tc>
      </w:tr>
      <w:tr w14:paraId="53F45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3716D3AD">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0039E1E7">
            <w:pPr>
              <w:spacing w:line="240" w:lineRule="auto"/>
              <w:ind w:firstLine="0" w:firstLineChars="0"/>
              <w:jc w:val="center"/>
              <w:rPr>
                <w:rFonts w:hint="eastAsia" w:ascii="宋体" w:hAnsi="宋体" w:eastAsia="宋体" w:cs="宋体"/>
                <w:sz w:val="22"/>
                <w:szCs w:val="22"/>
              </w:rPr>
            </w:pPr>
          </w:p>
        </w:tc>
        <w:tc>
          <w:tcPr>
            <w:tcW w:w="930" w:type="dxa"/>
            <w:vMerge w:val="restart"/>
            <w:noWrap w:val="0"/>
            <w:vAlign w:val="center"/>
          </w:tcPr>
          <w:p w14:paraId="3F38C0E4">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1F809FF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2CD5E3B4">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z w:val="16"/>
                <w:szCs w:val="16"/>
              </w:rPr>
            </w:pPr>
            <w:r>
              <w:rPr>
                <w:rFonts w:hint="eastAsia" w:ascii="宋体" w:hAnsi="宋体" w:eastAsia="宋体" w:cs="宋体"/>
                <w:i w:val="0"/>
                <w:snapToGrid w:val="0"/>
                <w:color w:val="000000"/>
                <w:kern w:val="0"/>
                <w:sz w:val="16"/>
                <w:szCs w:val="16"/>
                <w:u w:val="none"/>
                <w:lang w:val="en-US" w:eastAsia="zh-CN" w:bidi="ar"/>
              </w:rPr>
              <w:t>推进新区县域五大急危重症医学中心建设工作达标率</w:t>
            </w:r>
          </w:p>
        </w:tc>
        <w:tc>
          <w:tcPr>
            <w:tcW w:w="990" w:type="dxa"/>
            <w:noWrap w:val="0"/>
            <w:vAlign w:val="center"/>
          </w:tcPr>
          <w:p w14:paraId="18B5F396">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915" w:type="dxa"/>
            <w:noWrap w:val="0"/>
            <w:vAlign w:val="center"/>
          </w:tcPr>
          <w:p w14:paraId="471B9CF7">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lang w:val="en-US" w:eastAsia="zh-CN"/>
              </w:rPr>
              <w:t>100%</w:t>
            </w:r>
          </w:p>
        </w:tc>
        <w:tc>
          <w:tcPr>
            <w:tcW w:w="707" w:type="dxa"/>
            <w:gridSpan w:val="2"/>
            <w:noWrap w:val="0"/>
            <w:vAlign w:val="center"/>
          </w:tcPr>
          <w:p w14:paraId="6E2A6A2D">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2B31E1D9">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259FDDB2">
            <w:pPr>
              <w:spacing w:line="240" w:lineRule="auto"/>
              <w:ind w:firstLine="0" w:firstLineChars="0"/>
              <w:jc w:val="center"/>
              <w:rPr>
                <w:rFonts w:hint="eastAsia" w:ascii="宋体" w:hAnsi="宋体" w:eastAsia="宋体" w:cs="宋体"/>
                <w:sz w:val="22"/>
                <w:szCs w:val="22"/>
              </w:rPr>
            </w:pPr>
          </w:p>
        </w:tc>
      </w:tr>
      <w:tr w14:paraId="64014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16183041">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679FC48E">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23AB5B55">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0C2361A0">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pacing w:val="-3"/>
                <w:sz w:val="16"/>
                <w:szCs w:val="16"/>
              </w:rPr>
            </w:pPr>
            <w:r>
              <w:rPr>
                <w:rFonts w:hint="eastAsia" w:ascii="宋体" w:hAnsi="宋体" w:eastAsia="宋体" w:cs="宋体"/>
                <w:i w:val="0"/>
                <w:snapToGrid w:val="0"/>
                <w:color w:val="000000"/>
                <w:kern w:val="0"/>
                <w:sz w:val="16"/>
                <w:szCs w:val="16"/>
                <w:u w:val="none"/>
                <w:lang w:val="en-US" w:eastAsia="zh-CN" w:bidi="ar"/>
              </w:rPr>
              <w:t>推进县域五大医学中心建设工作达标率</w:t>
            </w:r>
          </w:p>
        </w:tc>
        <w:tc>
          <w:tcPr>
            <w:tcW w:w="990" w:type="dxa"/>
            <w:noWrap w:val="0"/>
            <w:vAlign w:val="center"/>
          </w:tcPr>
          <w:p w14:paraId="1EB6673E">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915" w:type="dxa"/>
            <w:noWrap w:val="0"/>
            <w:vAlign w:val="center"/>
          </w:tcPr>
          <w:p w14:paraId="56838538">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lang w:val="en-US" w:eastAsia="zh-CN"/>
              </w:rPr>
              <w:t>100%</w:t>
            </w:r>
          </w:p>
        </w:tc>
        <w:tc>
          <w:tcPr>
            <w:tcW w:w="707" w:type="dxa"/>
            <w:gridSpan w:val="2"/>
            <w:noWrap w:val="0"/>
            <w:vAlign w:val="center"/>
          </w:tcPr>
          <w:p w14:paraId="38FF7B22">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72D031FD">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1EB3D0B0">
            <w:pPr>
              <w:spacing w:line="240" w:lineRule="auto"/>
              <w:ind w:firstLine="0" w:firstLineChars="0"/>
              <w:jc w:val="center"/>
              <w:rPr>
                <w:rFonts w:hint="eastAsia" w:ascii="宋体" w:hAnsi="宋体" w:eastAsia="宋体" w:cs="宋体"/>
                <w:sz w:val="22"/>
                <w:szCs w:val="22"/>
              </w:rPr>
            </w:pPr>
          </w:p>
        </w:tc>
      </w:tr>
      <w:tr w14:paraId="4DFF0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28A57A62">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972E4DC">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5065392D">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49BCA800">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pacing w:val="-3"/>
                <w:sz w:val="16"/>
                <w:szCs w:val="16"/>
              </w:rPr>
            </w:pPr>
            <w:r>
              <w:rPr>
                <w:rFonts w:hint="eastAsia" w:ascii="宋体" w:hAnsi="宋体" w:eastAsia="宋体" w:cs="宋体"/>
                <w:i w:val="0"/>
                <w:snapToGrid w:val="0"/>
                <w:color w:val="000000"/>
                <w:kern w:val="0"/>
                <w:sz w:val="16"/>
                <w:szCs w:val="16"/>
                <w:u w:val="none"/>
                <w:lang w:val="en-US" w:eastAsia="zh-CN" w:bidi="ar"/>
              </w:rPr>
              <w:t>推进新区十大质控中心建设工作达标率</w:t>
            </w:r>
          </w:p>
        </w:tc>
        <w:tc>
          <w:tcPr>
            <w:tcW w:w="990" w:type="dxa"/>
            <w:noWrap w:val="0"/>
            <w:vAlign w:val="center"/>
          </w:tcPr>
          <w:p w14:paraId="7BC4D05F">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915" w:type="dxa"/>
            <w:noWrap w:val="0"/>
            <w:vAlign w:val="center"/>
          </w:tcPr>
          <w:p w14:paraId="1D4880AC">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lang w:val="en-US" w:eastAsia="zh-CN"/>
              </w:rPr>
              <w:t>100%</w:t>
            </w:r>
          </w:p>
        </w:tc>
        <w:tc>
          <w:tcPr>
            <w:tcW w:w="707" w:type="dxa"/>
            <w:gridSpan w:val="2"/>
            <w:noWrap w:val="0"/>
            <w:vAlign w:val="center"/>
          </w:tcPr>
          <w:p w14:paraId="681C0A3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3E6ECAE2">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55906AE8">
            <w:pPr>
              <w:spacing w:line="240" w:lineRule="auto"/>
              <w:ind w:firstLine="0" w:firstLineChars="0"/>
              <w:jc w:val="center"/>
              <w:rPr>
                <w:rFonts w:hint="eastAsia" w:ascii="宋体" w:hAnsi="宋体" w:eastAsia="宋体" w:cs="宋体"/>
                <w:sz w:val="22"/>
                <w:szCs w:val="22"/>
              </w:rPr>
            </w:pPr>
          </w:p>
        </w:tc>
      </w:tr>
      <w:tr w14:paraId="2203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39F33529">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7B9A01F6">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4345DB01">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081C9115">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z w:val="16"/>
                <w:szCs w:val="16"/>
              </w:rPr>
            </w:pPr>
            <w:r>
              <w:rPr>
                <w:rFonts w:hint="eastAsia" w:ascii="宋体" w:hAnsi="宋体" w:eastAsia="宋体" w:cs="宋体"/>
                <w:i w:val="0"/>
                <w:snapToGrid w:val="0"/>
                <w:color w:val="000000"/>
                <w:kern w:val="0"/>
                <w:sz w:val="16"/>
                <w:szCs w:val="16"/>
                <w:u w:val="none"/>
                <w:lang w:val="en-US" w:eastAsia="zh-CN" w:bidi="ar"/>
              </w:rPr>
              <w:t>推进重点学科体系建设工作达标率</w:t>
            </w:r>
          </w:p>
        </w:tc>
        <w:tc>
          <w:tcPr>
            <w:tcW w:w="990" w:type="dxa"/>
            <w:noWrap w:val="0"/>
            <w:vAlign w:val="center"/>
          </w:tcPr>
          <w:p w14:paraId="7613F311">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915" w:type="dxa"/>
            <w:noWrap w:val="0"/>
            <w:vAlign w:val="center"/>
          </w:tcPr>
          <w:p w14:paraId="61B736D3">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lang w:val="en-US" w:eastAsia="zh-CN"/>
              </w:rPr>
              <w:t>100%</w:t>
            </w:r>
          </w:p>
        </w:tc>
        <w:tc>
          <w:tcPr>
            <w:tcW w:w="707" w:type="dxa"/>
            <w:gridSpan w:val="2"/>
            <w:noWrap w:val="0"/>
            <w:vAlign w:val="center"/>
          </w:tcPr>
          <w:p w14:paraId="40ED2DC6">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816" w:type="dxa"/>
            <w:gridSpan w:val="2"/>
            <w:noWrap w:val="0"/>
            <w:vAlign w:val="center"/>
          </w:tcPr>
          <w:p w14:paraId="3206859D">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1109" w:type="dxa"/>
            <w:gridSpan w:val="2"/>
            <w:noWrap w:val="0"/>
            <w:vAlign w:val="center"/>
          </w:tcPr>
          <w:p w14:paraId="788107FE">
            <w:pPr>
              <w:spacing w:line="240" w:lineRule="auto"/>
              <w:ind w:firstLine="0" w:firstLineChars="0"/>
              <w:jc w:val="center"/>
              <w:rPr>
                <w:rFonts w:hint="eastAsia" w:ascii="宋体" w:hAnsi="宋体" w:eastAsia="宋体" w:cs="宋体"/>
                <w:sz w:val="22"/>
                <w:szCs w:val="22"/>
              </w:rPr>
            </w:pPr>
          </w:p>
        </w:tc>
      </w:tr>
      <w:tr w14:paraId="0EE4C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63E232EE">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11CA7337">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0933D8EA">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7192BF60">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jc w:val="left"/>
              <w:textAlignment w:val="center"/>
              <w:rPr>
                <w:rFonts w:hint="eastAsia" w:ascii="仿宋_GB2312" w:hAnsi="仿宋_GB2312" w:eastAsia="仿宋_GB2312" w:cs="仿宋_GB2312"/>
                <w:sz w:val="16"/>
                <w:szCs w:val="16"/>
              </w:rPr>
            </w:pPr>
            <w:r>
              <w:rPr>
                <w:rFonts w:hint="eastAsia" w:ascii="宋体" w:hAnsi="宋体" w:eastAsia="宋体" w:cs="宋体"/>
                <w:i w:val="0"/>
                <w:snapToGrid w:val="0"/>
                <w:color w:val="000000"/>
                <w:kern w:val="0"/>
                <w:sz w:val="16"/>
                <w:szCs w:val="16"/>
                <w:u w:val="none"/>
                <w:lang w:val="en-US" w:eastAsia="zh-CN" w:bidi="ar"/>
              </w:rPr>
              <w:t>足额拨付经费</w:t>
            </w:r>
          </w:p>
        </w:tc>
        <w:tc>
          <w:tcPr>
            <w:tcW w:w="990" w:type="dxa"/>
            <w:noWrap w:val="0"/>
            <w:vAlign w:val="center"/>
          </w:tcPr>
          <w:p w14:paraId="05D2C339">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足额</w:t>
            </w:r>
          </w:p>
        </w:tc>
        <w:tc>
          <w:tcPr>
            <w:tcW w:w="915" w:type="dxa"/>
            <w:noWrap w:val="0"/>
            <w:vAlign w:val="center"/>
          </w:tcPr>
          <w:p w14:paraId="0A45A4D7">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足额</w:t>
            </w:r>
          </w:p>
        </w:tc>
        <w:tc>
          <w:tcPr>
            <w:tcW w:w="707" w:type="dxa"/>
            <w:gridSpan w:val="2"/>
            <w:noWrap w:val="0"/>
            <w:vAlign w:val="center"/>
          </w:tcPr>
          <w:p w14:paraId="10628E7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w:t>
            </w:r>
          </w:p>
        </w:tc>
        <w:tc>
          <w:tcPr>
            <w:tcW w:w="816" w:type="dxa"/>
            <w:gridSpan w:val="2"/>
            <w:noWrap w:val="0"/>
            <w:vAlign w:val="center"/>
          </w:tcPr>
          <w:p w14:paraId="7F9715B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w:t>
            </w:r>
          </w:p>
        </w:tc>
        <w:tc>
          <w:tcPr>
            <w:tcW w:w="1109" w:type="dxa"/>
            <w:gridSpan w:val="2"/>
            <w:noWrap w:val="0"/>
            <w:vAlign w:val="center"/>
          </w:tcPr>
          <w:p w14:paraId="2C895B65">
            <w:pPr>
              <w:spacing w:line="240" w:lineRule="auto"/>
              <w:ind w:firstLine="0" w:firstLineChars="0"/>
              <w:jc w:val="center"/>
              <w:rPr>
                <w:rFonts w:hint="eastAsia" w:ascii="宋体" w:hAnsi="宋体" w:eastAsia="宋体" w:cs="宋体"/>
                <w:sz w:val="22"/>
                <w:szCs w:val="22"/>
              </w:rPr>
            </w:pPr>
          </w:p>
        </w:tc>
      </w:tr>
      <w:tr w14:paraId="0782A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7CD421F5">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7E10061D">
            <w:pPr>
              <w:spacing w:line="240" w:lineRule="auto"/>
              <w:ind w:firstLine="0" w:firstLineChars="0"/>
              <w:jc w:val="center"/>
              <w:rPr>
                <w:rFonts w:hint="eastAsia" w:ascii="宋体" w:hAnsi="宋体" w:eastAsia="宋体" w:cs="宋体"/>
                <w:sz w:val="22"/>
                <w:szCs w:val="22"/>
              </w:rPr>
            </w:pPr>
          </w:p>
        </w:tc>
        <w:tc>
          <w:tcPr>
            <w:tcW w:w="930" w:type="dxa"/>
            <w:vMerge w:val="restart"/>
            <w:noWrap w:val="0"/>
            <w:vAlign w:val="center"/>
          </w:tcPr>
          <w:p w14:paraId="45539173">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36B341D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628" w:type="dxa"/>
            <w:gridSpan w:val="3"/>
            <w:noWrap w:val="0"/>
            <w:vAlign w:val="center"/>
          </w:tcPr>
          <w:p w14:paraId="11259A01">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z w:val="16"/>
                <w:szCs w:val="16"/>
              </w:rPr>
            </w:pPr>
            <w:r>
              <w:rPr>
                <w:rFonts w:hint="eastAsia" w:ascii="宋体" w:hAnsi="宋体" w:eastAsia="宋体" w:cs="宋体"/>
                <w:i w:val="0"/>
                <w:snapToGrid w:val="0"/>
                <w:color w:val="000000"/>
                <w:kern w:val="0"/>
                <w:sz w:val="16"/>
                <w:szCs w:val="16"/>
                <w:u w:val="none"/>
                <w:lang w:val="en-US" w:eastAsia="zh-CN" w:bidi="ar"/>
              </w:rPr>
              <w:t>推进新区县域五大急危重症医学中心建设工作及时性</w:t>
            </w:r>
          </w:p>
        </w:tc>
        <w:tc>
          <w:tcPr>
            <w:tcW w:w="990" w:type="dxa"/>
            <w:noWrap w:val="0"/>
            <w:vAlign w:val="center"/>
          </w:tcPr>
          <w:p w14:paraId="655D4469">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915" w:type="dxa"/>
            <w:noWrap w:val="0"/>
            <w:vAlign w:val="center"/>
          </w:tcPr>
          <w:p w14:paraId="78127BBC">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及时</w:t>
            </w:r>
          </w:p>
        </w:tc>
        <w:tc>
          <w:tcPr>
            <w:tcW w:w="707" w:type="dxa"/>
            <w:gridSpan w:val="2"/>
            <w:noWrap w:val="0"/>
            <w:vAlign w:val="center"/>
          </w:tcPr>
          <w:p w14:paraId="24BDC129">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3126AE84">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39229F16">
            <w:pPr>
              <w:spacing w:line="240" w:lineRule="auto"/>
              <w:ind w:firstLine="0" w:firstLineChars="0"/>
              <w:jc w:val="center"/>
              <w:rPr>
                <w:rFonts w:hint="eastAsia" w:ascii="宋体" w:hAnsi="宋体" w:eastAsia="宋体" w:cs="宋体"/>
                <w:sz w:val="22"/>
                <w:szCs w:val="22"/>
              </w:rPr>
            </w:pPr>
          </w:p>
        </w:tc>
      </w:tr>
      <w:tr w14:paraId="22975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7F6E2B25">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EE50129">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47526B04">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4C420BF1">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pacing w:val="-3"/>
                <w:sz w:val="16"/>
                <w:szCs w:val="16"/>
              </w:rPr>
            </w:pPr>
            <w:r>
              <w:rPr>
                <w:rFonts w:hint="eastAsia" w:ascii="宋体" w:hAnsi="宋体" w:eastAsia="宋体" w:cs="宋体"/>
                <w:i w:val="0"/>
                <w:snapToGrid w:val="0"/>
                <w:color w:val="000000"/>
                <w:kern w:val="0"/>
                <w:sz w:val="16"/>
                <w:szCs w:val="16"/>
                <w:u w:val="none"/>
                <w:lang w:val="en-US" w:eastAsia="zh-CN" w:bidi="ar"/>
              </w:rPr>
              <w:t>推进县域五大医学中心建设工作及时性</w:t>
            </w:r>
          </w:p>
        </w:tc>
        <w:tc>
          <w:tcPr>
            <w:tcW w:w="990" w:type="dxa"/>
            <w:noWrap w:val="0"/>
            <w:vAlign w:val="center"/>
          </w:tcPr>
          <w:p w14:paraId="3D422B95">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915" w:type="dxa"/>
            <w:noWrap w:val="0"/>
            <w:vAlign w:val="center"/>
          </w:tcPr>
          <w:p w14:paraId="689F2AF2">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及时</w:t>
            </w:r>
          </w:p>
        </w:tc>
        <w:tc>
          <w:tcPr>
            <w:tcW w:w="707" w:type="dxa"/>
            <w:gridSpan w:val="2"/>
            <w:noWrap w:val="0"/>
            <w:vAlign w:val="center"/>
          </w:tcPr>
          <w:p w14:paraId="05C5022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0CC06D05">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08507FF7">
            <w:pPr>
              <w:spacing w:line="240" w:lineRule="auto"/>
              <w:ind w:firstLine="0" w:firstLineChars="0"/>
              <w:jc w:val="center"/>
              <w:rPr>
                <w:rFonts w:hint="eastAsia" w:ascii="宋体" w:hAnsi="宋体" w:eastAsia="宋体" w:cs="宋体"/>
                <w:sz w:val="22"/>
                <w:szCs w:val="22"/>
              </w:rPr>
            </w:pPr>
          </w:p>
        </w:tc>
      </w:tr>
      <w:tr w14:paraId="03330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04A8A9CD">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479A22E5">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6FCA6981">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774ECEAD">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pacing w:val="-3"/>
                <w:sz w:val="16"/>
                <w:szCs w:val="16"/>
              </w:rPr>
            </w:pPr>
            <w:r>
              <w:rPr>
                <w:rFonts w:hint="eastAsia" w:ascii="宋体" w:hAnsi="宋体" w:eastAsia="宋体" w:cs="宋体"/>
                <w:i w:val="0"/>
                <w:snapToGrid w:val="0"/>
                <w:color w:val="000000"/>
                <w:kern w:val="0"/>
                <w:sz w:val="16"/>
                <w:szCs w:val="16"/>
                <w:u w:val="none"/>
                <w:lang w:val="en-US" w:eastAsia="zh-CN" w:bidi="ar"/>
              </w:rPr>
              <w:t>推进新区十大质控中心建设工作及时性</w:t>
            </w:r>
          </w:p>
        </w:tc>
        <w:tc>
          <w:tcPr>
            <w:tcW w:w="990" w:type="dxa"/>
            <w:noWrap w:val="0"/>
            <w:vAlign w:val="center"/>
          </w:tcPr>
          <w:p w14:paraId="25D5F4BD">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915" w:type="dxa"/>
            <w:noWrap w:val="0"/>
            <w:vAlign w:val="center"/>
          </w:tcPr>
          <w:p w14:paraId="31C1CA4C">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及时</w:t>
            </w:r>
          </w:p>
        </w:tc>
        <w:tc>
          <w:tcPr>
            <w:tcW w:w="707" w:type="dxa"/>
            <w:gridSpan w:val="2"/>
            <w:noWrap w:val="0"/>
            <w:vAlign w:val="center"/>
          </w:tcPr>
          <w:p w14:paraId="18792728">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0224393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1C785929">
            <w:pPr>
              <w:spacing w:line="240" w:lineRule="auto"/>
              <w:ind w:firstLine="0" w:firstLineChars="0"/>
              <w:jc w:val="center"/>
              <w:rPr>
                <w:rFonts w:hint="eastAsia" w:ascii="宋体" w:hAnsi="宋体" w:eastAsia="宋体" w:cs="宋体"/>
                <w:sz w:val="22"/>
                <w:szCs w:val="22"/>
              </w:rPr>
            </w:pPr>
          </w:p>
        </w:tc>
      </w:tr>
      <w:tr w14:paraId="2D423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41780D20">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0C7CAED">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3C0178BE">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46D94F26">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z w:val="16"/>
                <w:szCs w:val="16"/>
              </w:rPr>
            </w:pPr>
            <w:r>
              <w:rPr>
                <w:rFonts w:hint="eastAsia" w:ascii="宋体" w:hAnsi="宋体" w:eastAsia="宋体" w:cs="宋体"/>
                <w:i w:val="0"/>
                <w:snapToGrid w:val="0"/>
                <w:color w:val="000000"/>
                <w:kern w:val="0"/>
                <w:sz w:val="16"/>
                <w:szCs w:val="16"/>
                <w:u w:val="none"/>
                <w:lang w:val="en-US" w:eastAsia="zh-CN" w:bidi="ar"/>
              </w:rPr>
              <w:t>推进重点学科体系建设工作及时性</w:t>
            </w:r>
          </w:p>
        </w:tc>
        <w:tc>
          <w:tcPr>
            <w:tcW w:w="990" w:type="dxa"/>
            <w:noWrap w:val="0"/>
            <w:vAlign w:val="center"/>
          </w:tcPr>
          <w:p w14:paraId="689BB286">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915" w:type="dxa"/>
            <w:noWrap w:val="0"/>
            <w:vAlign w:val="center"/>
          </w:tcPr>
          <w:p w14:paraId="4073A67B">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及时</w:t>
            </w:r>
          </w:p>
        </w:tc>
        <w:tc>
          <w:tcPr>
            <w:tcW w:w="707" w:type="dxa"/>
            <w:gridSpan w:val="2"/>
            <w:noWrap w:val="0"/>
            <w:vAlign w:val="center"/>
          </w:tcPr>
          <w:p w14:paraId="784D81CE">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816" w:type="dxa"/>
            <w:gridSpan w:val="2"/>
            <w:noWrap w:val="0"/>
            <w:vAlign w:val="center"/>
          </w:tcPr>
          <w:p w14:paraId="76A267B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1109" w:type="dxa"/>
            <w:gridSpan w:val="2"/>
            <w:noWrap w:val="0"/>
            <w:vAlign w:val="center"/>
          </w:tcPr>
          <w:p w14:paraId="6B1E520E">
            <w:pPr>
              <w:spacing w:line="240" w:lineRule="auto"/>
              <w:ind w:firstLine="0" w:firstLineChars="0"/>
              <w:jc w:val="center"/>
              <w:rPr>
                <w:rFonts w:hint="eastAsia" w:ascii="宋体" w:hAnsi="宋体" w:eastAsia="宋体" w:cs="宋体"/>
                <w:sz w:val="22"/>
                <w:szCs w:val="22"/>
              </w:rPr>
            </w:pPr>
          </w:p>
        </w:tc>
      </w:tr>
      <w:tr w14:paraId="0A023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35D8E2C8">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0B8D796">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7367AE74">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0A421036">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firstLine="320" w:firstLineChars="200"/>
              <w:jc w:val="left"/>
              <w:textAlignment w:val="center"/>
              <w:rPr>
                <w:rFonts w:hint="eastAsia" w:ascii="仿宋_GB2312" w:hAnsi="仿宋_GB2312" w:eastAsia="仿宋_GB2312" w:cs="仿宋_GB2312"/>
                <w:sz w:val="16"/>
                <w:szCs w:val="16"/>
              </w:rPr>
            </w:pPr>
            <w:r>
              <w:rPr>
                <w:rFonts w:hint="eastAsia" w:ascii="宋体" w:hAnsi="宋体" w:eastAsia="宋体" w:cs="宋体"/>
                <w:i w:val="0"/>
                <w:snapToGrid w:val="0"/>
                <w:color w:val="000000"/>
                <w:kern w:val="0"/>
                <w:sz w:val="16"/>
                <w:szCs w:val="16"/>
                <w:u w:val="none"/>
                <w:lang w:val="en-US" w:eastAsia="zh-CN" w:bidi="ar"/>
              </w:rPr>
              <w:t>拨付经费及时性</w:t>
            </w:r>
          </w:p>
        </w:tc>
        <w:tc>
          <w:tcPr>
            <w:tcW w:w="990" w:type="dxa"/>
            <w:noWrap w:val="0"/>
            <w:vAlign w:val="center"/>
          </w:tcPr>
          <w:p w14:paraId="64217C8E">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915" w:type="dxa"/>
            <w:noWrap w:val="0"/>
            <w:vAlign w:val="center"/>
          </w:tcPr>
          <w:p w14:paraId="7D7ED7FE">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及时</w:t>
            </w:r>
          </w:p>
        </w:tc>
        <w:tc>
          <w:tcPr>
            <w:tcW w:w="707" w:type="dxa"/>
            <w:gridSpan w:val="2"/>
            <w:noWrap w:val="0"/>
            <w:vAlign w:val="center"/>
          </w:tcPr>
          <w:p w14:paraId="3402863D">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w:t>
            </w:r>
          </w:p>
        </w:tc>
        <w:tc>
          <w:tcPr>
            <w:tcW w:w="816" w:type="dxa"/>
            <w:gridSpan w:val="2"/>
            <w:noWrap w:val="0"/>
            <w:vAlign w:val="center"/>
          </w:tcPr>
          <w:p w14:paraId="1DE835B5">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w:t>
            </w:r>
          </w:p>
        </w:tc>
        <w:tc>
          <w:tcPr>
            <w:tcW w:w="1109" w:type="dxa"/>
            <w:gridSpan w:val="2"/>
            <w:noWrap w:val="0"/>
            <w:vAlign w:val="center"/>
          </w:tcPr>
          <w:p w14:paraId="0D609846">
            <w:pPr>
              <w:spacing w:line="240" w:lineRule="auto"/>
              <w:ind w:firstLine="0" w:firstLineChars="0"/>
              <w:jc w:val="center"/>
              <w:rPr>
                <w:rFonts w:hint="eastAsia" w:ascii="宋体" w:hAnsi="宋体" w:eastAsia="宋体" w:cs="宋体"/>
                <w:sz w:val="22"/>
                <w:szCs w:val="22"/>
              </w:rPr>
            </w:pPr>
          </w:p>
        </w:tc>
      </w:tr>
      <w:tr w14:paraId="6629E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1D2ACEAA">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4E129DE">
            <w:pPr>
              <w:spacing w:line="240" w:lineRule="auto"/>
              <w:ind w:firstLine="0" w:firstLineChars="0"/>
              <w:jc w:val="center"/>
              <w:rPr>
                <w:rFonts w:hint="eastAsia" w:ascii="宋体" w:hAnsi="宋体" w:eastAsia="宋体" w:cs="宋体"/>
                <w:sz w:val="22"/>
                <w:szCs w:val="22"/>
              </w:rPr>
            </w:pPr>
          </w:p>
        </w:tc>
        <w:tc>
          <w:tcPr>
            <w:tcW w:w="930" w:type="dxa"/>
            <w:noWrap w:val="0"/>
            <w:vAlign w:val="center"/>
          </w:tcPr>
          <w:p w14:paraId="48A4BDD9">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成本</w:t>
            </w:r>
          </w:p>
          <w:p w14:paraId="05F611E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46049B41">
            <w:pPr>
              <w:spacing w:line="240" w:lineRule="auto"/>
              <w:ind w:firstLine="0" w:firstLineChars="0"/>
              <w:jc w:val="center"/>
              <w:rPr>
                <w:rFonts w:hint="eastAsia" w:ascii="宋体" w:hAnsi="宋体" w:eastAsia="宋体" w:cs="宋体"/>
                <w:sz w:val="22"/>
                <w:szCs w:val="22"/>
              </w:rPr>
            </w:pPr>
            <w:r>
              <w:rPr>
                <w:rFonts w:hint="eastAsia" w:ascii="仿宋_GB2312" w:hAnsi="仿宋_GB2312" w:eastAsia="仿宋_GB2312" w:cs="仿宋_GB2312"/>
                <w:i w:val="0"/>
                <w:snapToGrid w:val="0"/>
                <w:color w:val="000000"/>
                <w:kern w:val="0"/>
                <w:sz w:val="16"/>
                <w:szCs w:val="16"/>
                <w:u w:val="none"/>
                <w:lang w:val="en-US" w:eastAsia="zh-CN" w:bidi="ar"/>
              </w:rPr>
              <w:t>成本控制率</w:t>
            </w:r>
          </w:p>
        </w:tc>
        <w:tc>
          <w:tcPr>
            <w:tcW w:w="990" w:type="dxa"/>
            <w:noWrap w:val="0"/>
            <w:vAlign w:val="center"/>
          </w:tcPr>
          <w:p w14:paraId="6F494AB1">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915" w:type="dxa"/>
            <w:noWrap w:val="0"/>
            <w:vAlign w:val="center"/>
          </w:tcPr>
          <w:p w14:paraId="59B4B061">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≤100%</w:t>
            </w:r>
          </w:p>
        </w:tc>
        <w:tc>
          <w:tcPr>
            <w:tcW w:w="707" w:type="dxa"/>
            <w:gridSpan w:val="2"/>
            <w:noWrap w:val="0"/>
            <w:vAlign w:val="center"/>
          </w:tcPr>
          <w:p w14:paraId="5BF3E98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69C67CBE">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3671FCF1">
            <w:pPr>
              <w:spacing w:line="240" w:lineRule="auto"/>
              <w:ind w:firstLine="0" w:firstLineChars="0"/>
              <w:jc w:val="center"/>
              <w:rPr>
                <w:rFonts w:hint="eastAsia" w:ascii="宋体" w:hAnsi="宋体" w:eastAsia="宋体" w:cs="宋体"/>
                <w:sz w:val="22"/>
                <w:szCs w:val="22"/>
              </w:rPr>
            </w:pPr>
          </w:p>
        </w:tc>
      </w:tr>
      <w:tr w14:paraId="09E89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textDirection w:val="tbRlV"/>
            <w:vAlign w:val="center"/>
          </w:tcPr>
          <w:p w14:paraId="0F56D185">
            <w:pPr>
              <w:spacing w:line="240" w:lineRule="auto"/>
              <w:ind w:firstLine="0" w:firstLineChars="0"/>
              <w:jc w:val="center"/>
              <w:rPr>
                <w:rFonts w:hint="eastAsia" w:ascii="宋体" w:hAnsi="宋体" w:eastAsia="宋体" w:cs="宋体"/>
                <w:sz w:val="22"/>
                <w:szCs w:val="22"/>
              </w:rPr>
            </w:pPr>
          </w:p>
        </w:tc>
        <w:tc>
          <w:tcPr>
            <w:tcW w:w="840" w:type="dxa"/>
            <w:vMerge w:val="restart"/>
            <w:noWrap w:val="0"/>
            <w:vAlign w:val="center"/>
          </w:tcPr>
          <w:p w14:paraId="3F2B248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1C48EF7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30" w:type="dxa"/>
            <w:vMerge w:val="restart"/>
            <w:noWrap w:val="0"/>
            <w:vAlign w:val="center"/>
          </w:tcPr>
          <w:p w14:paraId="15126F73">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pacing w:val="-3"/>
                <w:sz w:val="22"/>
                <w:szCs w:val="22"/>
              </w:rPr>
              <w:t>社会效益指标</w:t>
            </w:r>
          </w:p>
          <w:p w14:paraId="2C1B51FF">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315BDEF6">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napToGrid w:val="0"/>
                <w:color w:val="000000"/>
                <w:kern w:val="0"/>
                <w:sz w:val="16"/>
                <w:szCs w:val="16"/>
              </w:rPr>
            </w:pPr>
            <w:r>
              <w:rPr>
                <w:rFonts w:hint="eastAsia" w:ascii="宋体" w:hAnsi="宋体" w:eastAsia="宋体" w:cs="宋体"/>
                <w:i w:val="0"/>
                <w:snapToGrid w:val="0"/>
                <w:color w:val="000000"/>
                <w:kern w:val="0"/>
                <w:sz w:val="16"/>
                <w:szCs w:val="16"/>
                <w:u w:val="none"/>
                <w:lang w:val="en-US" w:eastAsia="zh-CN" w:bidi="ar"/>
              </w:rPr>
              <w:t>提升医疗机构医疗质量管理工作水平。</w:t>
            </w:r>
          </w:p>
        </w:tc>
        <w:tc>
          <w:tcPr>
            <w:tcW w:w="990" w:type="dxa"/>
            <w:noWrap w:val="0"/>
            <w:vAlign w:val="center"/>
          </w:tcPr>
          <w:p w14:paraId="0FE0E901">
            <w:pPr>
              <w:spacing w:line="240" w:lineRule="auto"/>
              <w:ind w:firstLine="0" w:firstLineChars="0"/>
              <w:jc w:val="center"/>
              <w:rPr>
                <w:rFonts w:hint="eastAsia" w:ascii="仿宋_GB2312" w:hAnsi="仿宋_GB2312" w:eastAsia="仿宋_GB2312" w:cs="仿宋_GB2312"/>
                <w:snapToGrid w:val="0"/>
                <w:color w:val="000000"/>
                <w:kern w:val="0"/>
                <w:sz w:val="16"/>
                <w:szCs w:val="16"/>
                <w:lang w:eastAsia="zh-CN"/>
              </w:rPr>
            </w:pPr>
            <w:r>
              <w:rPr>
                <w:rFonts w:hint="eastAsia" w:ascii="仿宋_GB2312" w:hAnsi="仿宋_GB2312" w:eastAsia="仿宋_GB2312" w:cs="仿宋_GB2312"/>
                <w:sz w:val="16"/>
                <w:szCs w:val="16"/>
              </w:rPr>
              <w:t>提</w:t>
            </w:r>
            <w:r>
              <w:rPr>
                <w:rFonts w:hint="eastAsia" w:ascii="仿宋_GB2312" w:hAnsi="仿宋_GB2312" w:eastAsia="仿宋_GB2312" w:cs="仿宋_GB2312"/>
                <w:sz w:val="16"/>
                <w:szCs w:val="16"/>
                <w:lang w:eastAsia="zh-CN"/>
              </w:rPr>
              <w:t>升</w:t>
            </w:r>
          </w:p>
        </w:tc>
        <w:tc>
          <w:tcPr>
            <w:tcW w:w="915" w:type="dxa"/>
            <w:noWrap w:val="0"/>
            <w:vAlign w:val="center"/>
          </w:tcPr>
          <w:p w14:paraId="0AD36858">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仿宋_GB2312" w:hAnsi="仿宋_GB2312" w:eastAsia="仿宋_GB2312" w:cs="仿宋_GB2312"/>
                <w:sz w:val="16"/>
                <w:szCs w:val="16"/>
              </w:rPr>
              <w:t>提</w:t>
            </w:r>
            <w:r>
              <w:rPr>
                <w:rFonts w:hint="eastAsia" w:ascii="仿宋_GB2312" w:hAnsi="仿宋_GB2312" w:eastAsia="仿宋_GB2312" w:cs="仿宋_GB2312"/>
                <w:sz w:val="16"/>
                <w:szCs w:val="16"/>
                <w:lang w:eastAsia="zh-CN"/>
              </w:rPr>
              <w:t>升</w:t>
            </w:r>
          </w:p>
        </w:tc>
        <w:tc>
          <w:tcPr>
            <w:tcW w:w="707" w:type="dxa"/>
            <w:gridSpan w:val="2"/>
            <w:noWrap w:val="0"/>
            <w:vAlign w:val="center"/>
          </w:tcPr>
          <w:p w14:paraId="5EE9C72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5</w:t>
            </w:r>
          </w:p>
        </w:tc>
        <w:tc>
          <w:tcPr>
            <w:tcW w:w="816" w:type="dxa"/>
            <w:gridSpan w:val="2"/>
            <w:noWrap w:val="0"/>
            <w:vAlign w:val="center"/>
          </w:tcPr>
          <w:p w14:paraId="2B61FA1E">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5</w:t>
            </w:r>
          </w:p>
        </w:tc>
        <w:tc>
          <w:tcPr>
            <w:tcW w:w="1109" w:type="dxa"/>
            <w:gridSpan w:val="2"/>
            <w:noWrap w:val="0"/>
            <w:vAlign w:val="center"/>
          </w:tcPr>
          <w:p w14:paraId="03488408">
            <w:pPr>
              <w:spacing w:line="240" w:lineRule="auto"/>
              <w:ind w:firstLine="0" w:firstLineChars="0"/>
              <w:jc w:val="center"/>
              <w:rPr>
                <w:rFonts w:hint="eastAsia" w:ascii="宋体" w:hAnsi="宋体" w:eastAsia="宋体" w:cs="宋体"/>
                <w:snapToGrid w:val="0"/>
                <w:color w:val="000000"/>
                <w:kern w:val="0"/>
                <w:sz w:val="22"/>
                <w:szCs w:val="22"/>
              </w:rPr>
            </w:pPr>
          </w:p>
        </w:tc>
      </w:tr>
      <w:tr w14:paraId="2FA2B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textDirection w:val="tbRlV"/>
            <w:vAlign w:val="center"/>
          </w:tcPr>
          <w:p w14:paraId="5F9FA1A9">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14B79414">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65B81957">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698EB7AD">
            <w:pPr>
              <w:keepNext w:val="0"/>
              <w:keepLines w:val="0"/>
              <w:pageBreakBefore w:val="0"/>
              <w:widowControl/>
              <w:suppressLineNumbers w:val="0"/>
              <w:kinsoku w:val="0"/>
              <w:wordWrap/>
              <w:overflowPunct/>
              <w:topLinePunct w:val="0"/>
              <w:autoSpaceDE w:val="0"/>
              <w:autoSpaceDN w:val="0"/>
              <w:bidi w:val="0"/>
              <w:adjustRightInd w:val="0"/>
              <w:snapToGrid w:val="0"/>
              <w:spacing w:line="200" w:lineRule="exact"/>
              <w:ind w:left="0" w:leftChars="0" w:firstLine="0" w:firstLineChars="0"/>
              <w:jc w:val="left"/>
              <w:textAlignment w:val="center"/>
              <w:rPr>
                <w:rFonts w:hint="eastAsia" w:ascii="仿宋_GB2312" w:hAnsi="仿宋_GB2312" w:eastAsia="仿宋_GB2312" w:cs="仿宋_GB2312"/>
                <w:snapToGrid w:val="0"/>
                <w:color w:val="000000"/>
                <w:kern w:val="0"/>
                <w:sz w:val="16"/>
                <w:szCs w:val="16"/>
              </w:rPr>
            </w:pPr>
            <w:r>
              <w:rPr>
                <w:rFonts w:hint="eastAsia" w:ascii="宋体" w:hAnsi="宋体" w:eastAsia="宋体" w:cs="宋体"/>
                <w:i w:val="0"/>
                <w:snapToGrid w:val="0"/>
                <w:color w:val="000000"/>
                <w:kern w:val="0"/>
                <w:sz w:val="16"/>
                <w:szCs w:val="16"/>
                <w:u w:val="none"/>
                <w:lang w:val="en-US" w:eastAsia="zh-CN" w:bidi="ar"/>
              </w:rPr>
              <w:t>提升医疗机构医务人员业务能力，提高医疗机构医疗管理质量。</w:t>
            </w:r>
          </w:p>
        </w:tc>
        <w:tc>
          <w:tcPr>
            <w:tcW w:w="990" w:type="dxa"/>
            <w:noWrap w:val="0"/>
            <w:vAlign w:val="center"/>
          </w:tcPr>
          <w:p w14:paraId="7E247E68">
            <w:pPr>
              <w:spacing w:line="240" w:lineRule="auto"/>
              <w:ind w:firstLine="0" w:firstLineChars="0"/>
              <w:jc w:val="center"/>
              <w:rPr>
                <w:rFonts w:hint="eastAsia" w:ascii="仿宋_GB2312" w:hAnsi="仿宋_GB2312" w:eastAsia="仿宋_GB2312" w:cs="仿宋_GB2312"/>
                <w:snapToGrid w:val="0"/>
                <w:color w:val="000000"/>
                <w:kern w:val="0"/>
                <w:sz w:val="16"/>
                <w:szCs w:val="16"/>
                <w:lang w:eastAsia="zh-CN"/>
              </w:rPr>
            </w:pPr>
            <w:r>
              <w:rPr>
                <w:rFonts w:hint="eastAsia" w:ascii="仿宋_GB2312" w:hAnsi="仿宋_GB2312" w:eastAsia="仿宋_GB2312" w:cs="仿宋_GB2312"/>
                <w:sz w:val="16"/>
                <w:szCs w:val="16"/>
              </w:rPr>
              <w:t>提</w:t>
            </w:r>
            <w:r>
              <w:rPr>
                <w:rFonts w:hint="eastAsia" w:ascii="仿宋_GB2312" w:hAnsi="仿宋_GB2312" w:eastAsia="仿宋_GB2312" w:cs="仿宋_GB2312"/>
                <w:sz w:val="16"/>
                <w:szCs w:val="16"/>
                <w:lang w:eastAsia="zh-CN"/>
              </w:rPr>
              <w:t>升</w:t>
            </w:r>
          </w:p>
        </w:tc>
        <w:tc>
          <w:tcPr>
            <w:tcW w:w="915" w:type="dxa"/>
            <w:noWrap w:val="0"/>
            <w:vAlign w:val="center"/>
          </w:tcPr>
          <w:p w14:paraId="79D528EE">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仿宋_GB2312" w:hAnsi="仿宋_GB2312" w:eastAsia="仿宋_GB2312" w:cs="仿宋_GB2312"/>
                <w:sz w:val="16"/>
                <w:szCs w:val="16"/>
              </w:rPr>
              <w:t>提</w:t>
            </w:r>
            <w:r>
              <w:rPr>
                <w:rFonts w:hint="eastAsia" w:ascii="仿宋_GB2312" w:hAnsi="仿宋_GB2312" w:eastAsia="仿宋_GB2312" w:cs="仿宋_GB2312"/>
                <w:sz w:val="16"/>
                <w:szCs w:val="16"/>
                <w:lang w:eastAsia="zh-CN"/>
              </w:rPr>
              <w:t>升</w:t>
            </w:r>
          </w:p>
        </w:tc>
        <w:tc>
          <w:tcPr>
            <w:tcW w:w="707" w:type="dxa"/>
            <w:gridSpan w:val="2"/>
            <w:noWrap w:val="0"/>
            <w:vAlign w:val="center"/>
          </w:tcPr>
          <w:p w14:paraId="4C8CEEA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5</w:t>
            </w:r>
          </w:p>
        </w:tc>
        <w:tc>
          <w:tcPr>
            <w:tcW w:w="816" w:type="dxa"/>
            <w:gridSpan w:val="2"/>
            <w:noWrap w:val="0"/>
            <w:vAlign w:val="center"/>
          </w:tcPr>
          <w:p w14:paraId="1ABA411A">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5</w:t>
            </w:r>
          </w:p>
        </w:tc>
        <w:tc>
          <w:tcPr>
            <w:tcW w:w="1109" w:type="dxa"/>
            <w:gridSpan w:val="2"/>
            <w:noWrap w:val="0"/>
            <w:vAlign w:val="center"/>
          </w:tcPr>
          <w:p w14:paraId="0A985D06">
            <w:pPr>
              <w:spacing w:line="240" w:lineRule="auto"/>
              <w:ind w:firstLine="0" w:firstLineChars="0"/>
              <w:jc w:val="center"/>
              <w:rPr>
                <w:rFonts w:hint="eastAsia" w:ascii="宋体" w:hAnsi="宋体" w:eastAsia="宋体" w:cs="宋体"/>
                <w:snapToGrid w:val="0"/>
                <w:color w:val="000000"/>
                <w:kern w:val="0"/>
                <w:sz w:val="22"/>
                <w:szCs w:val="22"/>
              </w:rPr>
            </w:pPr>
          </w:p>
        </w:tc>
      </w:tr>
      <w:tr w14:paraId="02A5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textDirection w:val="tbRlV"/>
            <w:vAlign w:val="center"/>
          </w:tcPr>
          <w:p w14:paraId="75985AF2">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B6F5ECD">
            <w:pPr>
              <w:spacing w:line="240" w:lineRule="auto"/>
              <w:ind w:firstLine="0" w:firstLineChars="0"/>
              <w:jc w:val="center"/>
              <w:rPr>
                <w:rFonts w:hint="eastAsia" w:ascii="宋体" w:hAnsi="宋体" w:eastAsia="宋体" w:cs="宋体"/>
                <w:sz w:val="22"/>
                <w:szCs w:val="22"/>
              </w:rPr>
            </w:pPr>
          </w:p>
        </w:tc>
        <w:tc>
          <w:tcPr>
            <w:tcW w:w="930" w:type="dxa"/>
            <w:noWrap w:val="0"/>
            <w:vAlign w:val="center"/>
          </w:tcPr>
          <w:p w14:paraId="4C1B7D1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628" w:type="dxa"/>
            <w:gridSpan w:val="3"/>
            <w:noWrap w:val="0"/>
            <w:vAlign w:val="center"/>
          </w:tcPr>
          <w:p w14:paraId="24F65DC7">
            <w:pPr>
              <w:spacing w:line="240" w:lineRule="auto"/>
              <w:ind w:firstLine="0" w:firstLineChars="0"/>
              <w:jc w:val="center"/>
              <w:rPr>
                <w:rFonts w:hint="eastAsia" w:ascii="宋体" w:hAnsi="宋体" w:eastAsia="宋体" w:cs="宋体"/>
                <w:sz w:val="22"/>
                <w:szCs w:val="22"/>
              </w:rPr>
            </w:pPr>
            <w:r>
              <w:rPr>
                <w:rFonts w:hint="eastAsia" w:ascii="仿宋_GB2312" w:hAnsi="仿宋_GB2312" w:eastAsia="仿宋_GB2312" w:cs="仿宋_GB2312"/>
                <w:i w:val="0"/>
                <w:snapToGrid w:val="0"/>
                <w:color w:val="000000"/>
                <w:kern w:val="0"/>
                <w:sz w:val="16"/>
                <w:szCs w:val="16"/>
                <w:u w:val="none"/>
                <w:lang w:val="en-US" w:eastAsia="zh-CN" w:bidi="ar"/>
              </w:rPr>
              <w:t>促进新区医疗卫生服务能力稳步发展</w:t>
            </w:r>
          </w:p>
        </w:tc>
        <w:tc>
          <w:tcPr>
            <w:tcW w:w="990" w:type="dxa"/>
            <w:noWrap w:val="0"/>
            <w:vAlign w:val="center"/>
          </w:tcPr>
          <w:p w14:paraId="5EAB3E29">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提升</w:t>
            </w:r>
          </w:p>
        </w:tc>
        <w:tc>
          <w:tcPr>
            <w:tcW w:w="915" w:type="dxa"/>
            <w:noWrap w:val="0"/>
            <w:vAlign w:val="center"/>
          </w:tcPr>
          <w:p w14:paraId="10C83F6D">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提</w:t>
            </w:r>
            <w:r>
              <w:rPr>
                <w:rFonts w:hint="eastAsia" w:ascii="仿宋_GB2312" w:hAnsi="仿宋_GB2312" w:eastAsia="仿宋_GB2312" w:cs="仿宋_GB2312"/>
                <w:sz w:val="16"/>
                <w:szCs w:val="16"/>
                <w:lang w:eastAsia="zh-CN"/>
              </w:rPr>
              <w:t>升</w:t>
            </w:r>
          </w:p>
        </w:tc>
        <w:tc>
          <w:tcPr>
            <w:tcW w:w="707" w:type="dxa"/>
            <w:gridSpan w:val="2"/>
            <w:noWrap w:val="0"/>
            <w:vAlign w:val="center"/>
          </w:tcPr>
          <w:p w14:paraId="3ACCFFE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12549CD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124387E5">
            <w:pPr>
              <w:spacing w:line="240" w:lineRule="auto"/>
              <w:ind w:firstLine="0" w:firstLineChars="0"/>
              <w:jc w:val="center"/>
              <w:rPr>
                <w:rFonts w:hint="eastAsia" w:ascii="宋体" w:hAnsi="宋体" w:eastAsia="宋体" w:cs="宋体"/>
                <w:sz w:val="22"/>
                <w:szCs w:val="22"/>
              </w:rPr>
            </w:pPr>
          </w:p>
        </w:tc>
      </w:tr>
      <w:tr w14:paraId="17160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4A246AF6">
            <w:pPr>
              <w:spacing w:line="240" w:lineRule="auto"/>
              <w:ind w:firstLine="0" w:firstLineChars="0"/>
              <w:jc w:val="center"/>
              <w:rPr>
                <w:rFonts w:hint="eastAsia" w:ascii="宋体" w:hAnsi="宋体" w:eastAsia="宋体" w:cs="宋体"/>
                <w:sz w:val="22"/>
                <w:szCs w:val="22"/>
              </w:rPr>
            </w:pPr>
          </w:p>
        </w:tc>
        <w:tc>
          <w:tcPr>
            <w:tcW w:w="840" w:type="dxa"/>
            <w:vMerge w:val="restart"/>
            <w:noWrap w:val="0"/>
            <w:vAlign w:val="center"/>
          </w:tcPr>
          <w:p w14:paraId="43B5D44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930" w:type="dxa"/>
            <w:vMerge w:val="restart"/>
            <w:noWrap w:val="0"/>
            <w:vAlign w:val="center"/>
          </w:tcPr>
          <w:p w14:paraId="70F93FC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628" w:type="dxa"/>
            <w:gridSpan w:val="3"/>
            <w:noWrap w:val="0"/>
            <w:vAlign w:val="center"/>
          </w:tcPr>
          <w:p w14:paraId="3AA22AF8">
            <w:pPr>
              <w:keepNext w:val="0"/>
              <w:keepLines w:val="0"/>
              <w:widowControl/>
              <w:suppressLineNumbers w:val="0"/>
              <w:ind w:firstLine="320" w:firstLineChars="200"/>
              <w:jc w:val="left"/>
              <w:textAlignment w:val="center"/>
              <w:rPr>
                <w:rFonts w:hint="eastAsia" w:ascii="仿宋_GB2312" w:hAnsi="仿宋_GB2312" w:eastAsia="仿宋_GB2312" w:cs="仿宋_GB2312"/>
                <w:i w:val="0"/>
                <w:snapToGrid w:val="0"/>
                <w:color w:val="000000"/>
                <w:kern w:val="0"/>
                <w:sz w:val="16"/>
                <w:szCs w:val="16"/>
                <w:u w:val="none"/>
                <w:lang w:val="en-US" w:eastAsia="zh-CN" w:bidi="ar"/>
              </w:rPr>
            </w:pPr>
            <w:r>
              <w:rPr>
                <w:rFonts w:hint="eastAsia" w:ascii="仿宋_GB2312" w:hAnsi="仿宋_GB2312" w:eastAsia="仿宋_GB2312" w:cs="仿宋_GB2312"/>
                <w:i w:val="0"/>
                <w:snapToGrid w:val="0"/>
                <w:color w:val="000000"/>
                <w:kern w:val="0"/>
                <w:sz w:val="16"/>
                <w:szCs w:val="16"/>
                <w:u w:val="none"/>
                <w:lang w:val="en-US" w:eastAsia="zh-CN" w:bidi="ar"/>
              </w:rPr>
              <w:t>医疗机构满意度</w:t>
            </w:r>
          </w:p>
        </w:tc>
        <w:tc>
          <w:tcPr>
            <w:tcW w:w="990" w:type="dxa"/>
            <w:noWrap w:val="0"/>
            <w:vAlign w:val="center"/>
          </w:tcPr>
          <w:p w14:paraId="7D69A81A">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≥95%</w:t>
            </w:r>
          </w:p>
        </w:tc>
        <w:tc>
          <w:tcPr>
            <w:tcW w:w="915" w:type="dxa"/>
            <w:noWrap w:val="0"/>
            <w:vAlign w:val="center"/>
          </w:tcPr>
          <w:p w14:paraId="214D3A9A">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≥95%</w:t>
            </w:r>
          </w:p>
        </w:tc>
        <w:tc>
          <w:tcPr>
            <w:tcW w:w="707" w:type="dxa"/>
            <w:gridSpan w:val="2"/>
            <w:noWrap w:val="0"/>
            <w:vAlign w:val="center"/>
          </w:tcPr>
          <w:p w14:paraId="5634738C">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816" w:type="dxa"/>
            <w:gridSpan w:val="2"/>
            <w:noWrap w:val="0"/>
            <w:vAlign w:val="center"/>
          </w:tcPr>
          <w:p w14:paraId="0CFBA2A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1109" w:type="dxa"/>
            <w:gridSpan w:val="2"/>
            <w:noWrap w:val="0"/>
            <w:vAlign w:val="center"/>
          </w:tcPr>
          <w:p w14:paraId="63ED9E0D">
            <w:pPr>
              <w:spacing w:line="240" w:lineRule="auto"/>
              <w:ind w:firstLine="0" w:firstLineChars="0"/>
              <w:jc w:val="center"/>
              <w:rPr>
                <w:rFonts w:hint="eastAsia" w:ascii="宋体" w:hAnsi="宋体" w:eastAsia="宋体" w:cs="宋体"/>
                <w:sz w:val="22"/>
                <w:szCs w:val="22"/>
              </w:rPr>
            </w:pPr>
          </w:p>
        </w:tc>
      </w:tr>
      <w:tr w14:paraId="51143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258ADA54">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39F9DA6B">
            <w:pPr>
              <w:spacing w:line="240" w:lineRule="auto"/>
              <w:ind w:firstLine="0" w:firstLineChars="0"/>
              <w:jc w:val="center"/>
              <w:rPr>
                <w:rFonts w:hint="eastAsia" w:ascii="宋体" w:hAnsi="宋体" w:eastAsia="宋体" w:cs="宋体"/>
                <w:spacing w:val="-3"/>
                <w:sz w:val="22"/>
                <w:szCs w:val="22"/>
              </w:rPr>
            </w:pPr>
          </w:p>
        </w:tc>
        <w:tc>
          <w:tcPr>
            <w:tcW w:w="930" w:type="dxa"/>
            <w:vMerge w:val="continue"/>
            <w:noWrap w:val="0"/>
            <w:vAlign w:val="center"/>
          </w:tcPr>
          <w:p w14:paraId="66BD8F6F">
            <w:pPr>
              <w:spacing w:line="240" w:lineRule="auto"/>
              <w:ind w:firstLine="0" w:firstLineChars="0"/>
              <w:jc w:val="center"/>
              <w:rPr>
                <w:rFonts w:hint="eastAsia" w:ascii="宋体" w:hAnsi="宋体" w:eastAsia="宋体" w:cs="宋体"/>
                <w:spacing w:val="-3"/>
                <w:sz w:val="22"/>
                <w:szCs w:val="22"/>
              </w:rPr>
            </w:pPr>
          </w:p>
        </w:tc>
        <w:tc>
          <w:tcPr>
            <w:tcW w:w="1628" w:type="dxa"/>
            <w:gridSpan w:val="3"/>
            <w:noWrap w:val="0"/>
            <w:vAlign w:val="center"/>
          </w:tcPr>
          <w:p w14:paraId="3BB587EF">
            <w:pPr>
              <w:keepNext w:val="0"/>
              <w:keepLines w:val="0"/>
              <w:widowControl/>
              <w:suppressLineNumbers w:val="0"/>
              <w:ind w:firstLine="320" w:firstLineChars="200"/>
              <w:jc w:val="left"/>
              <w:textAlignment w:val="center"/>
              <w:rPr>
                <w:rFonts w:hint="eastAsia" w:ascii="仿宋_GB2312" w:hAnsi="仿宋_GB2312" w:eastAsia="仿宋_GB2312" w:cs="仿宋_GB2312"/>
                <w:i w:val="0"/>
                <w:snapToGrid w:val="0"/>
                <w:color w:val="000000"/>
                <w:kern w:val="0"/>
                <w:sz w:val="16"/>
                <w:szCs w:val="16"/>
                <w:u w:val="none"/>
                <w:lang w:val="en-US" w:eastAsia="zh-CN" w:bidi="ar"/>
              </w:rPr>
            </w:pPr>
            <w:r>
              <w:rPr>
                <w:rFonts w:hint="eastAsia" w:ascii="仿宋_GB2312" w:hAnsi="仿宋_GB2312" w:eastAsia="仿宋_GB2312" w:cs="仿宋_GB2312"/>
                <w:i w:val="0"/>
                <w:snapToGrid w:val="0"/>
                <w:color w:val="000000"/>
                <w:kern w:val="0"/>
                <w:sz w:val="16"/>
                <w:szCs w:val="16"/>
                <w:u w:val="none"/>
                <w:lang w:val="en-US" w:eastAsia="zh-CN" w:bidi="ar"/>
              </w:rPr>
              <w:t>医务人员满意度</w:t>
            </w:r>
          </w:p>
        </w:tc>
        <w:tc>
          <w:tcPr>
            <w:tcW w:w="990" w:type="dxa"/>
            <w:noWrap w:val="0"/>
            <w:vAlign w:val="center"/>
          </w:tcPr>
          <w:p w14:paraId="392B3784">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≥95%</w:t>
            </w:r>
          </w:p>
        </w:tc>
        <w:tc>
          <w:tcPr>
            <w:tcW w:w="915" w:type="dxa"/>
            <w:noWrap w:val="0"/>
            <w:vAlign w:val="center"/>
          </w:tcPr>
          <w:p w14:paraId="363741B0">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≥95%</w:t>
            </w:r>
          </w:p>
        </w:tc>
        <w:tc>
          <w:tcPr>
            <w:tcW w:w="707" w:type="dxa"/>
            <w:gridSpan w:val="2"/>
            <w:noWrap w:val="0"/>
            <w:vAlign w:val="center"/>
          </w:tcPr>
          <w:p w14:paraId="640123F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w:t>
            </w:r>
          </w:p>
        </w:tc>
        <w:tc>
          <w:tcPr>
            <w:tcW w:w="816" w:type="dxa"/>
            <w:gridSpan w:val="2"/>
            <w:noWrap w:val="0"/>
            <w:vAlign w:val="center"/>
          </w:tcPr>
          <w:p w14:paraId="0D0C35A8">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w:t>
            </w:r>
          </w:p>
        </w:tc>
        <w:tc>
          <w:tcPr>
            <w:tcW w:w="1109" w:type="dxa"/>
            <w:gridSpan w:val="2"/>
            <w:noWrap w:val="0"/>
            <w:vAlign w:val="center"/>
          </w:tcPr>
          <w:p w14:paraId="3A212AB7">
            <w:pPr>
              <w:spacing w:line="240" w:lineRule="auto"/>
              <w:ind w:firstLine="0" w:firstLineChars="0"/>
              <w:jc w:val="center"/>
              <w:rPr>
                <w:rFonts w:hint="eastAsia" w:ascii="宋体" w:hAnsi="宋体" w:eastAsia="宋体" w:cs="宋体"/>
                <w:sz w:val="22"/>
                <w:szCs w:val="22"/>
              </w:rPr>
            </w:pPr>
          </w:p>
        </w:tc>
      </w:tr>
      <w:tr w14:paraId="246A9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vMerge w:val="continue"/>
            <w:noWrap w:val="0"/>
            <w:vAlign w:val="center"/>
          </w:tcPr>
          <w:p w14:paraId="5CDD5BD7">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02A0FD00">
            <w:pPr>
              <w:spacing w:line="240" w:lineRule="auto"/>
              <w:ind w:firstLine="0" w:firstLineChars="0"/>
              <w:jc w:val="center"/>
              <w:rPr>
                <w:rFonts w:hint="eastAsia" w:ascii="宋体" w:hAnsi="宋体" w:eastAsia="宋体" w:cs="宋体"/>
                <w:sz w:val="22"/>
                <w:szCs w:val="22"/>
              </w:rPr>
            </w:pPr>
          </w:p>
        </w:tc>
        <w:tc>
          <w:tcPr>
            <w:tcW w:w="930" w:type="dxa"/>
            <w:vMerge w:val="continue"/>
            <w:noWrap w:val="0"/>
            <w:vAlign w:val="center"/>
          </w:tcPr>
          <w:p w14:paraId="6FB5D5C8">
            <w:pPr>
              <w:spacing w:line="240" w:lineRule="auto"/>
              <w:ind w:firstLine="0" w:firstLineChars="0"/>
              <w:jc w:val="center"/>
              <w:rPr>
                <w:rFonts w:hint="eastAsia" w:ascii="宋体" w:hAnsi="宋体" w:eastAsia="宋体" w:cs="宋体"/>
                <w:sz w:val="22"/>
                <w:szCs w:val="22"/>
              </w:rPr>
            </w:pPr>
          </w:p>
        </w:tc>
        <w:tc>
          <w:tcPr>
            <w:tcW w:w="1628" w:type="dxa"/>
            <w:gridSpan w:val="3"/>
            <w:noWrap w:val="0"/>
            <w:vAlign w:val="center"/>
          </w:tcPr>
          <w:p w14:paraId="17451825">
            <w:pPr>
              <w:keepNext w:val="0"/>
              <w:keepLines w:val="0"/>
              <w:widowControl/>
              <w:suppressLineNumbers w:val="0"/>
              <w:ind w:firstLine="320" w:firstLineChars="200"/>
              <w:jc w:val="left"/>
              <w:textAlignment w:val="center"/>
              <w:rPr>
                <w:rFonts w:hint="eastAsia" w:ascii="仿宋_GB2312" w:hAnsi="仿宋_GB2312" w:eastAsia="仿宋_GB2312" w:cs="仿宋_GB2312"/>
                <w:sz w:val="16"/>
                <w:szCs w:val="16"/>
              </w:rPr>
            </w:pPr>
            <w:r>
              <w:rPr>
                <w:rFonts w:hint="eastAsia" w:ascii="仿宋_GB2312" w:hAnsi="仿宋_GB2312" w:eastAsia="仿宋_GB2312" w:cs="仿宋_GB2312"/>
                <w:i w:val="0"/>
                <w:snapToGrid w:val="0"/>
                <w:color w:val="000000"/>
                <w:kern w:val="0"/>
                <w:sz w:val="16"/>
                <w:szCs w:val="16"/>
                <w:u w:val="none"/>
                <w:lang w:val="en-US" w:eastAsia="zh-CN" w:bidi="ar"/>
              </w:rPr>
              <w:t>群众满意度（%）</w:t>
            </w:r>
          </w:p>
        </w:tc>
        <w:tc>
          <w:tcPr>
            <w:tcW w:w="990" w:type="dxa"/>
            <w:noWrap w:val="0"/>
            <w:vAlign w:val="center"/>
          </w:tcPr>
          <w:p w14:paraId="28F82B92">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≥95%</w:t>
            </w:r>
          </w:p>
        </w:tc>
        <w:tc>
          <w:tcPr>
            <w:tcW w:w="915" w:type="dxa"/>
            <w:noWrap w:val="0"/>
            <w:vAlign w:val="center"/>
          </w:tcPr>
          <w:p w14:paraId="584FFF07">
            <w:pPr>
              <w:spacing w:line="240" w:lineRule="auto"/>
              <w:ind w:firstLine="0" w:firstLineChars="0"/>
              <w:jc w:val="center"/>
              <w:rPr>
                <w:rFonts w:hint="eastAsia" w:ascii="宋体" w:hAnsi="宋体" w:eastAsia="宋体" w:cs="宋体"/>
                <w:sz w:val="22"/>
                <w:szCs w:val="22"/>
                <w:lang w:val="en-US" w:eastAsia="zh-CN"/>
              </w:rPr>
            </w:pPr>
            <w:r>
              <w:rPr>
                <w:rFonts w:hint="eastAsia" w:ascii="仿宋_GB2312" w:hAnsi="仿宋_GB2312" w:eastAsia="仿宋_GB2312" w:cs="仿宋_GB2312"/>
                <w:sz w:val="16"/>
                <w:szCs w:val="16"/>
              </w:rPr>
              <w:t>≥95%</w:t>
            </w:r>
          </w:p>
        </w:tc>
        <w:tc>
          <w:tcPr>
            <w:tcW w:w="707" w:type="dxa"/>
            <w:gridSpan w:val="2"/>
            <w:noWrap w:val="0"/>
            <w:vAlign w:val="center"/>
          </w:tcPr>
          <w:p w14:paraId="308908DA">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816" w:type="dxa"/>
            <w:gridSpan w:val="2"/>
            <w:noWrap w:val="0"/>
            <w:vAlign w:val="center"/>
          </w:tcPr>
          <w:p w14:paraId="3A07C06E">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109" w:type="dxa"/>
            <w:gridSpan w:val="2"/>
            <w:noWrap w:val="0"/>
            <w:vAlign w:val="center"/>
          </w:tcPr>
          <w:p w14:paraId="6CC76ED9">
            <w:pPr>
              <w:spacing w:line="240" w:lineRule="auto"/>
              <w:ind w:firstLine="0" w:firstLineChars="0"/>
              <w:jc w:val="center"/>
              <w:rPr>
                <w:rFonts w:hint="eastAsia" w:ascii="宋体" w:hAnsi="宋体" w:eastAsia="宋体" w:cs="宋体"/>
                <w:sz w:val="22"/>
                <w:szCs w:val="22"/>
              </w:rPr>
            </w:pPr>
          </w:p>
        </w:tc>
      </w:tr>
      <w:tr w14:paraId="44217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012" w:type="dxa"/>
            <w:gridSpan w:val="8"/>
            <w:noWrap w:val="0"/>
            <w:vAlign w:val="center"/>
          </w:tcPr>
          <w:p w14:paraId="2FC5642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707" w:type="dxa"/>
            <w:gridSpan w:val="2"/>
            <w:noWrap w:val="0"/>
            <w:vAlign w:val="center"/>
          </w:tcPr>
          <w:p w14:paraId="4B19DFA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816" w:type="dxa"/>
            <w:gridSpan w:val="2"/>
            <w:noWrap w:val="0"/>
            <w:vAlign w:val="center"/>
          </w:tcPr>
          <w:p w14:paraId="1F8C3AF7">
            <w:pPr>
              <w:spacing w:line="240" w:lineRule="auto"/>
              <w:ind w:firstLine="0" w:firstLineChars="0"/>
              <w:jc w:val="center"/>
              <w:rPr>
                <w:rFonts w:hint="eastAsia" w:ascii="宋体" w:hAnsi="宋体" w:eastAsia="宋体" w:cs="宋体"/>
                <w:sz w:val="22"/>
                <w:szCs w:val="22"/>
              </w:rPr>
            </w:pPr>
          </w:p>
        </w:tc>
        <w:tc>
          <w:tcPr>
            <w:tcW w:w="1109" w:type="dxa"/>
            <w:gridSpan w:val="2"/>
            <w:noWrap w:val="0"/>
            <w:vAlign w:val="center"/>
          </w:tcPr>
          <w:p w14:paraId="5AB9407B">
            <w:pPr>
              <w:spacing w:line="240" w:lineRule="auto"/>
              <w:ind w:firstLine="0" w:firstLineChars="0"/>
              <w:jc w:val="center"/>
              <w:rPr>
                <w:rFonts w:hint="eastAsia" w:ascii="宋体" w:hAnsi="宋体" w:eastAsia="宋体" w:cs="宋体"/>
                <w:sz w:val="22"/>
                <w:szCs w:val="22"/>
              </w:rPr>
            </w:pPr>
          </w:p>
        </w:tc>
      </w:tr>
      <w:tr w14:paraId="79FC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09" w:type="dxa"/>
            <w:noWrap w:val="0"/>
            <w:vAlign w:val="center"/>
          </w:tcPr>
          <w:p w14:paraId="3EE291C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935" w:type="dxa"/>
            <w:gridSpan w:val="13"/>
            <w:noWrap w:val="0"/>
            <w:vAlign w:val="center"/>
          </w:tcPr>
          <w:p w14:paraId="67C5C9D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394EF85A">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11E9D61E">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60BE55CB">
      <w:pPr>
        <w:spacing w:line="240" w:lineRule="auto"/>
        <w:ind w:firstLine="432"/>
        <w:rPr>
          <w:rFonts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75B1FB74">
      <w:pPr>
        <w:spacing w:before="111" w:line="560" w:lineRule="exact"/>
        <w:ind w:firstLine="0" w:firstLineChars="0"/>
        <w:outlineLvl w:val="1"/>
        <w:rPr>
          <w:rFonts w:ascii="宋体" w:hAnsi="宋体" w:eastAsia="宋体" w:cs="宋体"/>
          <w:b/>
          <w:bCs/>
          <w:lang w:val="en-US" w:eastAsia="zh-CN"/>
        </w:rPr>
      </w:pPr>
      <w:r>
        <w:rPr>
          <w:rFonts w:hint="eastAsia" w:ascii="宋体" w:hAnsi="宋体" w:eastAsia="宋体" w:cs="宋体"/>
          <w:b/>
          <w:bCs/>
          <w:lang w:val="en-US" w:eastAsia="zh-CN"/>
        </w:rPr>
        <w:t>附件5</w:t>
      </w:r>
    </w:p>
    <w:p w14:paraId="2022A7E3">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01FC9437">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53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1"/>
        <w:gridCol w:w="723"/>
        <w:gridCol w:w="826"/>
        <w:gridCol w:w="476"/>
        <w:gridCol w:w="1099"/>
        <w:gridCol w:w="109"/>
        <w:gridCol w:w="1084"/>
        <w:gridCol w:w="625"/>
        <w:gridCol w:w="635"/>
        <w:gridCol w:w="745"/>
        <w:gridCol w:w="298"/>
        <w:gridCol w:w="699"/>
        <w:gridCol w:w="529"/>
      </w:tblGrid>
      <w:tr w14:paraId="4EAD2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1414" w:type="dxa"/>
            <w:gridSpan w:val="2"/>
            <w:noWrap w:val="0"/>
            <w:vAlign w:val="center"/>
          </w:tcPr>
          <w:p w14:paraId="4F6291F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125" w:type="dxa"/>
            <w:gridSpan w:val="11"/>
            <w:noWrap w:val="0"/>
            <w:vAlign w:val="center"/>
          </w:tcPr>
          <w:p w14:paraId="09DF03A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中医药建设和发展经费</w:t>
            </w:r>
          </w:p>
        </w:tc>
      </w:tr>
      <w:tr w14:paraId="62C5B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1414" w:type="dxa"/>
            <w:gridSpan w:val="2"/>
            <w:noWrap w:val="0"/>
            <w:vAlign w:val="center"/>
          </w:tcPr>
          <w:p w14:paraId="566B69E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594" w:type="dxa"/>
            <w:gridSpan w:val="5"/>
            <w:noWrap w:val="0"/>
            <w:vAlign w:val="center"/>
          </w:tcPr>
          <w:p w14:paraId="73402EF1">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兰州新区卫生健康委员会</w:t>
            </w:r>
          </w:p>
        </w:tc>
        <w:tc>
          <w:tcPr>
            <w:tcW w:w="1260" w:type="dxa"/>
            <w:gridSpan w:val="2"/>
            <w:noWrap w:val="0"/>
            <w:vAlign w:val="center"/>
          </w:tcPr>
          <w:p w14:paraId="0D18880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271" w:type="dxa"/>
            <w:gridSpan w:val="4"/>
            <w:noWrap w:val="0"/>
            <w:vAlign w:val="center"/>
          </w:tcPr>
          <w:p w14:paraId="23680792">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各基层医疗机构</w:t>
            </w:r>
          </w:p>
        </w:tc>
      </w:tr>
      <w:tr w14:paraId="749C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9" w:hRule="atLeast"/>
        </w:trPr>
        <w:tc>
          <w:tcPr>
            <w:tcW w:w="1414" w:type="dxa"/>
            <w:gridSpan w:val="2"/>
            <w:vMerge w:val="restart"/>
            <w:noWrap w:val="0"/>
            <w:vAlign w:val="center"/>
          </w:tcPr>
          <w:p w14:paraId="618140D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302" w:type="dxa"/>
            <w:gridSpan w:val="2"/>
            <w:noWrap w:val="0"/>
            <w:vAlign w:val="center"/>
          </w:tcPr>
          <w:p w14:paraId="11A8FD5A">
            <w:pPr>
              <w:spacing w:line="240" w:lineRule="auto"/>
              <w:ind w:firstLine="0" w:firstLineChars="0"/>
              <w:jc w:val="center"/>
              <w:rPr>
                <w:rFonts w:hint="eastAsia" w:ascii="宋体" w:hAnsi="宋体" w:eastAsia="宋体" w:cs="宋体"/>
                <w:sz w:val="22"/>
                <w:szCs w:val="22"/>
              </w:rPr>
            </w:pPr>
          </w:p>
        </w:tc>
        <w:tc>
          <w:tcPr>
            <w:tcW w:w="1099" w:type="dxa"/>
            <w:noWrap w:val="0"/>
            <w:vAlign w:val="center"/>
          </w:tcPr>
          <w:p w14:paraId="0053242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193" w:type="dxa"/>
            <w:gridSpan w:val="2"/>
            <w:noWrap w:val="0"/>
            <w:vAlign w:val="center"/>
          </w:tcPr>
          <w:p w14:paraId="541FC8E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260" w:type="dxa"/>
            <w:gridSpan w:val="2"/>
            <w:noWrap w:val="0"/>
            <w:vAlign w:val="center"/>
          </w:tcPr>
          <w:p w14:paraId="5525EDA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1043" w:type="dxa"/>
            <w:gridSpan w:val="2"/>
            <w:noWrap w:val="0"/>
            <w:vAlign w:val="center"/>
          </w:tcPr>
          <w:p w14:paraId="6E204CF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99" w:type="dxa"/>
            <w:noWrap w:val="0"/>
            <w:vAlign w:val="center"/>
          </w:tcPr>
          <w:p w14:paraId="51FE08F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529" w:type="dxa"/>
            <w:noWrap w:val="0"/>
            <w:vAlign w:val="center"/>
          </w:tcPr>
          <w:p w14:paraId="4359638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6705E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1414" w:type="dxa"/>
            <w:gridSpan w:val="2"/>
            <w:vMerge w:val="continue"/>
            <w:noWrap w:val="0"/>
            <w:vAlign w:val="center"/>
          </w:tcPr>
          <w:p w14:paraId="11254A92">
            <w:pPr>
              <w:spacing w:line="240" w:lineRule="auto"/>
              <w:ind w:firstLine="0" w:firstLineChars="0"/>
              <w:jc w:val="center"/>
              <w:rPr>
                <w:rFonts w:hint="eastAsia" w:ascii="宋体" w:hAnsi="宋体" w:eastAsia="宋体" w:cs="宋体"/>
                <w:sz w:val="22"/>
                <w:szCs w:val="22"/>
              </w:rPr>
            </w:pPr>
          </w:p>
        </w:tc>
        <w:tc>
          <w:tcPr>
            <w:tcW w:w="1302" w:type="dxa"/>
            <w:gridSpan w:val="2"/>
            <w:noWrap w:val="0"/>
            <w:vAlign w:val="center"/>
          </w:tcPr>
          <w:p w14:paraId="6A24C64B">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4BA5F24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99" w:type="dxa"/>
            <w:noWrap w:val="0"/>
            <w:vAlign w:val="center"/>
          </w:tcPr>
          <w:p w14:paraId="72B00F3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40</w:t>
            </w:r>
          </w:p>
        </w:tc>
        <w:tc>
          <w:tcPr>
            <w:tcW w:w="1193" w:type="dxa"/>
            <w:gridSpan w:val="2"/>
            <w:noWrap w:val="0"/>
            <w:vAlign w:val="center"/>
          </w:tcPr>
          <w:p w14:paraId="248D7E2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40</w:t>
            </w:r>
          </w:p>
        </w:tc>
        <w:tc>
          <w:tcPr>
            <w:tcW w:w="1260" w:type="dxa"/>
            <w:gridSpan w:val="2"/>
            <w:noWrap w:val="0"/>
            <w:vAlign w:val="center"/>
          </w:tcPr>
          <w:p w14:paraId="3366803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24</w:t>
            </w:r>
          </w:p>
        </w:tc>
        <w:tc>
          <w:tcPr>
            <w:tcW w:w="1043" w:type="dxa"/>
            <w:gridSpan w:val="2"/>
            <w:noWrap w:val="0"/>
            <w:vAlign w:val="center"/>
          </w:tcPr>
          <w:p w14:paraId="60780CC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99" w:type="dxa"/>
            <w:noWrap w:val="0"/>
            <w:vAlign w:val="center"/>
          </w:tcPr>
          <w:p w14:paraId="12F924C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60%</w:t>
            </w:r>
          </w:p>
        </w:tc>
        <w:tc>
          <w:tcPr>
            <w:tcW w:w="529" w:type="dxa"/>
            <w:noWrap w:val="0"/>
            <w:vAlign w:val="center"/>
          </w:tcPr>
          <w:p w14:paraId="549A1AB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w:t>
            </w:r>
          </w:p>
        </w:tc>
      </w:tr>
      <w:tr w14:paraId="44746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1414" w:type="dxa"/>
            <w:gridSpan w:val="2"/>
            <w:vMerge w:val="continue"/>
            <w:noWrap w:val="0"/>
            <w:vAlign w:val="center"/>
          </w:tcPr>
          <w:p w14:paraId="37100D8E">
            <w:pPr>
              <w:spacing w:line="240" w:lineRule="auto"/>
              <w:ind w:firstLine="0" w:firstLineChars="0"/>
              <w:jc w:val="center"/>
              <w:rPr>
                <w:rFonts w:hint="eastAsia" w:ascii="宋体" w:hAnsi="宋体" w:eastAsia="宋体" w:cs="宋体"/>
                <w:sz w:val="22"/>
                <w:szCs w:val="22"/>
              </w:rPr>
            </w:pPr>
          </w:p>
        </w:tc>
        <w:tc>
          <w:tcPr>
            <w:tcW w:w="1302" w:type="dxa"/>
            <w:gridSpan w:val="2"/>
            <w:noWrap w:val="0"/>
            <w:vAlign w:val="center"/>
          </w:tcPr>
          <w:p w14:paraId="7E3DC8F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99" w:type="dxa"/>
            <w:noWrap w:val="0"/>
            <w:vAlign w:val="center"/>
          </w:tcPr>
          <w:p w14:paraId="79A7D58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40</w:t>
            </w:r>
          </w:p>
        </w:tc>
        <w:tc>
          <w:tcPr>
            <w:tcW w:w="1193" w:type="dxa"/>
            <w:gridSpan w:val="2"/>
            <w:noWrap w:val="0"/>
            <w:vAlign w:val="center"/>
          </w:tcPr>
          <w:p w14:paraId="06AC313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40</w:t>
            </w:r>
          </w:p>
        </w:tc>
        <w:tc>
          <w:tcPr>
            <w:tcW w:w="1260" w:type="dxa"/>
            <w:gridSpan w:val="2"/>
            <w:noWrap w:val="0"/>
            <w:vAlign w:val="center"/>
          </w:tcPr>
          <w:p w14:paraId="789E0FB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24</w:t>
            </w:r>
          </w:p>
        </w:tc>
        <w:tc>
          <w:tcPr>
            <w:tcW w:w="1043" w:type="dxa"/>
            <w:gridSpan w:val="2"/>
            <w:noWrap w:val="0"/>
            <w:vAlign w:val="center"/>
          </w:tcPr>
          <w:p w14:paraId="58E1363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position w:val="-3"/>
                <w:sz w:val="22"/>
                <w:szCs w:val="22"/>
                <w:lang w:val="en-US" w:eastAsia="zh-CN"/>
              </w:rPr>
              <w:t>10</w:t>
            </w:r>
          </w:p>
        </w:tc>
        <w:tc>
          <w:tcPr>
            <w:tcW w:w="699" w:type="dxa"/>
            <w:noWrap w:val="0"/>
            <w:vAlign w:val="center"/>
          </w:tcPr>
          <w:p w14:paraId="50835A0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60</w:t>
            </w:r>
          </w:p>
        </w:tc>
        <w:tc>
          <w:tcPr>
            <w:tcW w:w="529" w:type="dxa"/>
            <w:noWrap w:val="0"/>
            <w:vAlign w:val="center"/>
          </w:tcPr>
          <w:p w14:paraId="23103533">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position w:val="-3"/>
                <w:sz w:val="22"/>
                <w:szCs w:val="22"/>
                <w:lang w:val="en-US" w:eastAsia="zh-CN"/>
              </w:rPr>
              <w:t>6</w:t>
            </w:r>
          </w:p>
        </w:tc>
      </w:tr>
      <w:tr w14:paraId="0EB70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1414" w:type="dxa"/>
            <w:gridSpan w:val="2"/>
            <w:vMerge w:val="continue"/>
            <w:noWrap w:val="0"/>
            <w:vAlign w:val="center"/>
          </w:tcPr>
          <w:p w14:paraId="3CD38094">
            <w:pPr>
              <w:spacing w:line="240" w:lineRule="auto"/>
              <w:ind w:firstLine="0" w:firstLineChars="0"/>
              <w:jc w:val="center"/>
              <w:rPr>
                <w:rFonts w:hint="eastAsia" w:ascii="宋体" w:hAnsi="宋体" w:eastAsia="宋体" w:cs="宋体"/>
                <w:sz w:val="22"/>
                <w:szCs w:val="22"/>
              </w:rPr>
            </w:pPr>
          </w:p>
        </w:tc>
        <w:tc>
          <w:tcPr>
            <w:tcW w:w="1302" w:type="dxa"/>
            <w:gridSpan w:val="2"/>
            <w:noWrap w:val="0"/>
            <w:vAlign w:val="center"/>
          </w:tcPr>
          <w:p w14:paraId="14417CEB">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26A91C7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99" w:type="dxa"/>
            <w:noWrap w:val="0"/>
            <w:vAlign w:val="center"/>
          </w:tcPr>
          <w:p w14:paraId="2139241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93" w:type="dxa"/>
            <w:gridSpan w:val="2"/>
            <w:noWrap w:val="0"/>
            <w:vAlign w:val="center"/>
          </w:tcPr>
          <w:p w14:paraId="6BD12DC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260" w:type="dxa"/>
            <w:gridSpan w:val="2"/>
            <w:noWrap w:val="0"/>
            <w:vAlign w:val="center"/>
          </w:tcPr>
          <w:p w14:paraId="5C27485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43" w:type="dxa"/>
            <w:gridSpan w:val="2"/>
            <w:noWrap w:val="0"/>
            <w:vAlign w:val="center"/>
          </w:tcPr>
          <w:p w14:paraId="2D22B67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99" w:type="dxa"/>
            <w:noWrap w:val="0"/>
            <w:vAlign w:val="center"/>
          </w:tcPr>
          <w:p w14:paraId="3FFC9D7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529" w:type="dxa"/>
            <w:noWrap w:val="0"/>
            <w:vAlign w:val="center"/>
          </w:tcPr>
          <w:p w14:paraId="37A433A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B428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1414" w:type="dxa"/>
            <w:gridSpan w:val="2"/>
            <w:vMerge w:val="continue"/>
            <w:noWrap w:val="0"/>
            <w:vAlign w:val="center"/>
          </w:tcPr>
          <w:p w14:paraId="00BF7BFA">
            <w:pPr>
              <w:spacing w:line="240" w:lineRule="auto"/>
              <w:ind w:firstLine="0" w:firstLineChars="0"/>
              <w:jc w:val="center"/>
              <w:rPr>
                <w:rFonts w:hint="eastAsia" w:ascii="宋体" w:hAnsi="宋体" w:eastAsia="宋体" w:cs="宋体"/>
                <w:sz w:val="22"/>
                <w:szCs w:val="22"/>
              </w:rPr>
            </w:pPr>
          </w:p>
        </w:tc>
        <w:tc>
          <w:tcPr>
            <w:tcW w:w="1302" w:type="dxa"/>
            <w:gridSpan w:val="2"/>
            <w:noWrap w:val="0"/>
            <w:vAlign w:val="center"/>
          </w:tcPr>
          <w:p w14:paraId="1E80BFE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99" w:type="dxa"/>
            <w:noWrap w:val="0"/>
            <w:vAlign w:val="center"/>
          </w:tcPr>
          <w:p w14:paraId="34D027D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93" w:type="dxa"/>
            <w:gridSpan w:val="2"/>
            <w:noWrap w:val="0"/>
            <w:vAlign w:val="center"/>
          </w:tcPr>
          <w:p w14:paraId="5400FEB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260" w:type="dxa"/>
            <w:gridSpan w:val="2"/>
            <w:noWrap w:val="0"/>
            <w:vAlign w:val="center"/>
          </w:tcPr>
          <w:p w14:paraId="70C2924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43" w:type="dxa"/>
            <w:gridSpan w:val="2"/>
            <w:noWrap w:val="0"/>
            <w:vAlign w:val="center"/>
          </w:tcPr>
          <w:p w14:paraId="2F80DE7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99" w:type="dxa"/>
            <w:noWrap w:val="0"/>
            <w:vAlign w:val="center"/>
          </w:tcPr>
          <w:p w14:paraId="2D68276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529" w:type="dxa"/>
            <w:noWrap w:val="0"/>
            <w:vAlign w:val="center"/>
          </w:tcPr>
          <w:p w14:paraId="2F1895F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C1F1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691" w:type="dxa"/>
            <w:vMerge w:val="restart"/>
            <w:noWrap w:val="0"/>
            <w:vAlign w:val="center"/>
          </w:tcPr>
          <w:p w14:paraId="370C386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317" w:type="dxa"/>
            <w:gridSpan w:val="6"/>
            <w:noWrap w:val="0"/>
            <w:vAlign w:val="center"/>
          </w:tcPr>
          <w:p w14:paraId="04BA82A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531" w:type="dxa"/>
            <w:gridSpan w:val="6"/>
            <w:noWrap w:val="0"/>
            <w:vAlign w:val="center"/>
          </w:tcPr>
          <w:p w14:paraId="7AE9718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2A465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91" w:type="dxa"/>
            <w:vMerge w:val="continue"/>
            <w:noWrap w:val="0"/>
            <w:vAlign w:val="center"/>
          </w:tcPr>
          <w:p w14:paraId="27A9326B">
            <w:pPr>
              <w:spacing w:line="240" w:lineRule="auto"/>
              <w:ind w:firstLine="0" w:firstLineChars="0"/>
              <w:jc w:val="center"/>
              <w:rPr>
                <w:rFonts w:hint="eastAsia" w:ascii="宋体" w:hAnsi="宋体" w:eastAsia="宋体" w:cs="宋体"/>
                <w:sz w:val="22"/>
                <w:szCs w:val="22"/>
              </w:rPr>
            </w:pPr>
          </w:p>
        </w:tc>
        <w:tc>
          <w:tcPr>
            <w:tcW w:w="4317" w:type="dxa"/>
            <w:gridSpan w:val="6"/>
            <w:noWrap w:val="0"/>
            <w:vAlign w:val="center"/>
          </w:tcPr>
          <w:p w14:paraId="22A8F596">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一是深入贯彻落实健康甘肃战略，按照兰州新区全面实施健康新区行动要求，推进兰州新区中医预防保健服务体系建设工作，开展中医药特色文化和内涵建设，提升中医药服务能力，推广中医适宜技术，大力发展各级医疗机构中医医院的预防、养生、保健服务，传播中医药健康养生知识，提高群众健康水平。二是确保药博会新区馆建设，宣传和招商引资有力，提升新区中医医疗服务能力。</w:t>
            </w:r>
          </w:p>
          <w:p w14:paraId="75CD2AF3">
            <w:pPr>
              <w:spacing w:line="240" w:lineRule="auto"/>
              <w:ind w:firstLine="440" w:firstLineChars="200"/>
              <w:jc w:val="both"/>
              <w:rPr>
                <w:rFonts w:hint="eastAsia" w:ascii="宋体" w:hAnsi="宋体" w:eastAsia="宋体" w:cs="宋体"/>
                <w:sz w:val="22"/>
                <w:szCs w:val="22"/>
              </w:rPr>
            </w:pPr>
          </w:p>
        </w:tc>
        <w:tc>
          <w:tcPr>
            <w:tcW w:w="3531" w:type="dxa"/>
            <w:gridSpan w:val="6"/>
            <w:noWrap w:val="0"/>
            <w:vAlign w:val="center"/>
          </w:tcPr>
          <w:p w14:paraId="2BBFF21F">
            <w:pPr>
              <w:spacing w:line="240" w:lineRule="auto"/>
              <w:ind w:firstLine="0" w:firstLineChars="0"/>
              <w:jc w:val="left"/>
              <w:rPr>
                <w:rFonts w:hint="eastAsia" w:ascii="宋体" w:hAnsi="宋体" w:eastAsia="宋体" w:cs="宋体"/>
                <w:sz w:val="22"/>
                <w:szCs w:val="22"/>
              </w:rPr>
            </w:pPr>
            <w:r>
              <w:rPr>
                <w:rFonts w:hint="eastAsia" w:ascii="Arial" w:hAnsi="Arial"/>
                <w:sz w:val="21"/>
                <w:szCs w:val="21"/>
                <w:lang w:val="en-US" w:eastAsia="zh-CN"/>
              </w:rPr>
              <w:t>创建辖区8个社区卫生服务站、村卫生室开展“中医阁”，完善中医药场地、中医药诊疗服务设施，打造中医馆的“村级版”，充分发挥中医药技术在基层医疗机构诊疗过程中的巨大作用。参加甘肃省举办的中医药产业博览会，宣传兰州新区中医药产业相关产品和政策，推进招商引资落地，提升新区中医医疗服务能力。</w:t>
            </w:r>
          </w:p>
        </w:tc>
      </w:tr>
      <w:tr w14:paraId="44B20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91" w:type="dxa"/>
            <w:vMerge w:val="continue"/>
            <w:noWrap w:val="0"/>
            <w:vAlign w:val="center"/>
          </w:tcPr>
          <w:p w14:paraId="769DF942">
            <w:pPr>
              <w:spacing w:line="240" w:lineRule="auto"/>
              <w:ind w:firstLine="0" w:firstLineChars="0"/>
              <w:jc w:val="center"/>
              <w:rPr>
                <w:rFonts w:hint="eastAsia" w:ascii="宋体" w:hAnsi="宋体" w:eastAsia="宋体" w:cs="宋体"/>
                <w:sz w:val="22"/>
                <w:szCs w:val="22"/>
              </w:rPr>
            </w:pPr>
          </w:p>
        </w:tc>
        <w:tc>
          <w:tcPr>
            <w:tcW w:w="4317" w:type="dxa"/>
            <w:gridSpan w:val="6"/>
            <w:noWrap w:val="0"/>
            <w:vAlign w:val="center"/>
          </w:tcPr>
          <w:p w14:paraId="448688F5">
            <w:pPr>
              <w:spacing w:line="240" w:lineRule="auto"/>
              <w:ind w:firstLine="0" w:firstLineChars="0"/>
              <w:jc w:val="center"/>
              <w:rPr>
                <w:rFonts w:hint="eastAsia" w:ascii="宋体" w:hAnsi="宋体" w:eastAsia="宋体" w:cs="宋体"/>
                <w:sz w:val="22"/>
                <w:szCs w:val="22"/>
              </w:rPr>
            </w:pPr>
          </w:p>
        </w:tc>
        <w:tc>
          <w:tcPr>
            <w:tcW w:w="3531" w:type="dxa"/>
            <w:gridSpan w:val="6"/>
            <w:noWrap w:val="0"/>
            <w:vAlign w:val="center"/>
          </w:tcPr>
          <w:p w14:paraId="220007DF">
            <w:pPr>
              <w:spacing w:line="240" w:lineRule="auto"/>
              <w:ind w:firstLine="0" w:firstLineChars="0"/>
              <w:jc w:val="center"/>
              <w:rPr>
                <w:rFonts w:hint="eastAsia" w:ascii="宋体" w:hAnsi="宋体" w:eastAsia="宋体" w:cs="宋体"/>
                <w:sz w:val="22"/>
                <w:szCs w:val="22"/>
              </w:rPr>
            </w:pPr>
          </w:p>
        </w:tc>
      </w:tr>
      <w:tr w14:paraId="2D996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8" w:hRule="atLeast"/>
        </w:trPr>
        <w:tc>
          <w:tcPr>
            <w:tcW w:w="691" w:type="dxa"/>
            <w:vMerge w:val="restart"/>
            <w:noWrap w:val="0"/>
            <w:vAlign w:val="center"/>
          </w:tcPr>
          <w:p w14:paraId="3F38BCB2">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23" w:type="dxa"/>
            <w:noWrap w:val="0"/>
            <w:vAlign w:val="center"/>
          </w:tcPr>
          <w:p w14:paraId="474FC7E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7A35D86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26" w:type="dxa"/>
            <w:noWrap w:val="0"/>
            <w:vAlign w:val="center"/>
          </w:tcPr>
          <w:p w14:paraId="6CD63638">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3467BDF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84" w:type="dxa"/>
            <w:gridSpan w:val="3"/>
            <w:noWrap w:val="0"/>
            <w:vAlign w:val="center"/>
          </w:tcPr>
          <w:p w14:paraId="486F0F8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1084" w:type="dxa"/>
            <w:noWrap w:val="0"/>
            <w:vAlign w:val="center"/>
          </w:tcPr>
          <w:p w14:paraId="79DEFE6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625" w:type="dxa"/>
            <w:noWrap w:val="0"/>
            <w:vAlign w:val="center"/>
          </w:tcPr>
          <w:p w14:paraId="1EDD67D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35" w:type="dxa"/>
            <w:noWrap w:val="0"/>
            <w:vAlign w:val="center"/>
          </w:tcPr>
          <w:p w14:paraId="721E9C6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45" w:type="dxa"/>
            <w:noWrap w:val="0"/>
            <w:vAlign w:val="center"/>
          </w:tcPr>
          <w:p w14:paraId="559616F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526" w:type="dxa"/>
            <w:gridSpan w:val="3"/>
            <w:noWrap w:val="0"/>
            <w:vAlign w:val="center"/>
          </w:tcPr>
          <w:p w14:paraId="1D3B12F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5E15A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8" w:hRule="atLeast"/>
        </w:trPr>
        <w:tc>
          <w:tcPr>
            <w:tcW w:w="691" w:type="dxa"/>
            <w:vMerge w:val="continue"/>
            <w:noWrap w:val="0"/>
            <w:textDirection w:val="tbRlV"/>
            <w:vAlign w:val="center"/>
          </w:tcPr>
          <w:p w14:paraId="7B6F59A3">
            <w:pPr>
              <w:spacing w:line="240" w:lineRule="auto"/>
              <w:ind w:left="113" w:right="113" w:firstLine="0" w:firstLineChars="0"/>
              <w:jc w:val="center"/>
              <w:rPr>
                <w:rFonts w:hint="eastAsia" w:ascii="宋体" w:hAnsi="宋体" w:eastAsia="宋体" w:cs="宋体"/>
                <w:sz w:val="22"/>
                <w:szCs w:val="22"/>
              </w:rPr>
            </w:pPr>
          </w:p>
        </w:tc>
        <w:tc>
          <w:tcPr>
            <w:tcW w:w="723" w:type="dxa"/>
            <w:vMerge w:val="restart"/>
            <w:noWrap w:val="0"/>
            <w:vAlign w:val="center"/>
          </w:tcPr>
          <w:p w14:paraId="6AE7DF96">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258307A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26" w:type="dxa"/>
            <w:vMerge w:val="restart"/>
            <w:noWrap w:val="0"/>
            <w:vAlign w:val="center"/>
          </w:tcPr>
          <w:p w14:paraId="5BD6848E">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20ED014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84" w:type="dxa"/>
            <w:gridSpan w:val="3"/>
            <w:noWrap w:val="0"/>
            <w:vAlign w:val="center"/>
          </w:tcPr>
          <w:p w14:paraId="58F96499">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开展社区卫生服务站、村卫生室“中医阁”建设</w:t>
            </w:r>
          </w:p>
        </w:tc>
        <w:tc>
          <w:tcPr>
            <w:tcW w:w="1084" w:type="dxa"/>
            <w:noWrap w:val="0"/>
            <w:vAlign w:val="center"/>
          </w:tcPr>
          <w:p w14:paraId="785F7882">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w:t>
            </w:r>
            <w:r>
              <w:rPr>
                <w:rFonts w:hint="eastAsia" w:ascii="仿宋_GB2312" w:hAnsi="仿宋_GB2312" w:eastAsia="仿宋_GB2312" w:cs="仿宋_GB2312"/>
                <w:sz w:val="16"/>
                <w:szCs w:val="16"/>
                <w:lang w:val="en-US" w:eastAsia="zh-CN"/>
              </w:rPr>
              <w:t>4</w:t>
            </w:r>
            <w:r>
              <w:rPr>
                <w:rFonts w:hint="eastAsia" w:ascii="仿宋_GB2312" w:hAnsi="仿宋_GB2312" w:eastAsia="仿宋_GB2312" w:cs="仿宋_GB2312"/>
                <w:sz w:val="16"/>
                <w:szCs w:val="16"/>
              </w:rPr>
              <w:t>个</w:t>
            </w:r>
          </w:p>
        </w:tc>
        <w:tc>
          <w:tcPr>
            <w:tcW w:w="625" w:type="dxa"/>
            <w:noWrap w:val="0"/>
            <w:vAlign w:val="center"/>
          </w:tcPr>
          <w:p w14:paraId="46FC9DE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8个</w:t>
            </w:r>
          </w:p>
        </w:tc>
        <w:tc>
          <w:tcPr>
            <w:tcW w:w="635" w:type="dxa"/>
            <w:noWrap w:val="0"/>
            <w:vAlign w:val="center"/>
          </w:tcPr>
          <w:p w14:paraId="7202BDE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272B302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78D8A2CA">
            <w:pPr>
              <w:spacing w:line="240" w:lineRule="auto"/>
              <w:ind w:firstLine="0" w:firstLineChars="0"/>
              <w:jc w:val="center"/>
              <w:rPr>
                <w:rFonts w:hint="eastAsia" w:ascii="宋体" w:hAnsi="宋体" w:eastAsia="宋体" w:cs="宋体"/>
                <w:sz w:val="22"/>
                <w:szCs w:val="22"/>
              </w:rPr>
            </w:pPr>
          </w:p>
        </w:tc>
      </w:tr>
      <w:tr w14:paraId="70E61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5" w:hRule="atLeast"/>
        </w:trPr>
        <w:tc>
          <w:tcPr>
            <w:tcW w:w="691" w:type="dxa"/>
            <w:vMerge w:val="continue"/>
            <w:noWrap w:val="0"/>
            <w:vAlign w:val="center"/>
          </w:tcPr>
          <w:p w14:paraId="37E4C1B0">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3998E54E">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58561C60">
            <w:pPr>
              <w:spacing w:line="240" w:lineRule="auto"/>
              <w:ind w:firstLine="0" w:firstLineChars="0"/>
              <w:jc w:val="center"/>
              <w:rPr>
                <w:rFonts w:hint="eastAsia" w:ascii="宋体" w:hAnsi="宋体" w:eastAsia="宋体" w:cs="宋体"/>
                <w:sz w:val="22"/>
                <w:szCs w:val="22"/>
              </w:rPr>
            </w:pPr>
          </w:p>
        </w:tc>
        <w:tc>
          <w:tcPr>
            <w:tcW w:w="1684" w:type="dxa"/>
            <w:gridSpan w:val="3"/>
            <w:noWrap w:val="0"/>
            <w:vAlign w:val="center"/>
          </w:tcPr>
          <w:p w14:paraId="22680AEF">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药博会新区馆建设</w:t>
            </w:r>
          </w:p>
        </w:tc>
        <w:tc>
          <w:tcPr>
            <w:tcW w:w="1084" w:type="dxa"/>
            <w:noWrap w:val="0"/>
            <w:vAlign w:val="center"/>
          </w:tcPr>
          <w:p w14:paraId="42FFB838">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lang w:val="en-US" w:eastAsia="zh-CN"/>
              </w:rPr>
              <w:t>1</w:t>
            </w:r>
            <w:r>
              <w:rPr>
                <w:rFonts w:hint="eastAsia" w:ascii="仿宋_GB2312" w:hAnsi="仿宋_GB2312" w:eastAsia="仿宋_GB2312" w:cs="仿宋_GB2312"/>
                <w:sz w:val="16"/>
                <w:szCs w:val="16"/>
              </w:rPr>
              <w:t>个</w:t>
            </w:r>
          </w:p>
        </w:tc>
        <w:tc>
          <w:tcPr>
            <w:tcW w:w="625" w:type="dxa"/>
            <w:noWrap w:val="0"/>
            <w:vAlign w:val="center"/>
          </w:tcPr>
          <w:p w14:paraId="59FD79E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1个</w:t>
            </w:r>
          </w:p>
        </w:tc>
        <w:tc>
          <w:tcPr>
            <w:tcW w:w="635" w:type="dxa"/>
            <w:noWrap w:val="0"/>
            <w:vAlign w:val="center"/>
          </w:tcPr>
          <w:p w14:paraId="24429BC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45DC273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51C22C43">
            <w:pPr>
              <w:spacing w:line="240" w:lineRule="auto"/>
              <w:ind w:firstLine="0" w:firstLineChars="0"/>
              <w:jc w:val="left"/>
              <w:rPr>
                <w:rFonts w:hint="eastAsia" w:ascii="宋体" w:hAnsi="宋体" w:eastAsia="宋体" w:cs="宋体"/>
                <w:sz w:val="22"/>
                <w:szCs w:val="22"/>
              </w:rPr>
            </w:pPr>
            <w:r>
              <w:rPr>
                <w:rFonts w:hint="eastAsia" w:ascii="Arial" w:hAnsi="Arial"/>
                <w:sz w:val="21"/>
                <w:szCs w:val="21"/>
                <w:lang w:val="en-US" w:eastAsia="zh-CN"/>
              </w:rPr>
              <w:t>因建设药博会新区馆资金经合局已支付，我委的资金预算未执行。</w:t>
            </w:r>
          </w:p>
        </w:tc>
      </w:tr>
      <w:tr w14:paraId="6A7C1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691" w:type="dxa"/>
            <w:vMerge w:val="continue"/>
            <w:noWrap w:val="0"/>
            <w:vAlign w:val="center"/>
          </w:tcPr>
          <w:p w14:paraId="7BB77ACD">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0CF9D472">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0281D95F">
            <w:pPr>
              <w:spacing w:line="240" w:lineRule="auto"/>
              <w:ind w:firstLine="0" w:firstLineChars="0"/>
              <w:jc w:val="center"/>
              <w:rPr>
                <w:rFonts w:hint="eastAsia" w:ascii="宋体" w:hAnsi="宋体" w:eastAsia="宋体" w:cs="宋体"/>
                <w:sz w:val="22"/>
                <w:szCs w:val="22"/>
              </w:rPr>
            </w:pPr>
          </w:p>
        </w:tc>
        <w:tc>
          <w:tcPr>
            <w:tcW w:w="1684" w:type="dxa"/>
            <w:gridSpan w:val="3"/>
            <w:noWrap w:val="0"/>
            <w:vAlign w:val="center"/>
          </w:tcPr>
          <w:p w14:paraId="2782819A">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拨付经费完成率</w:t>
            </w:r>
          </w:p>
        </w:tc>
        <w:tc>
          <w:tcPr>
            <w:tcW w:w="1084" w:type="dxa"/>
            <w:noWrap w:val="0"/>
            <w:vAlign w:val="center"/>
          </w:tcPr>
          <w:p w14:paraId="36839DE5">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625" w:type="dxa"/>
            <w:noWrap w:val="0"/>
            <w:vAlign w:val="center"/>
          </w:tcPr>
          <w:p w14:paraId="2A748A0D">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100%</w:t>
            </w:r>
          </w:p>
        </w:tc>
        <w:tc>
          <w:tcPr>
            <w:tcW w:w="635" w:type="dxa"/>
            <w:noWrap w:val="0"/>
            <w:vAlign w:val="center"/>
          </w:tcPr>
          <w:p w14:paraId="707857D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77F0537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37DF44C2">
            <w:pPr>
              <w:spacing w:line="240" w:lineRule="auto"/>
              <w:ind w:firstLine="0" w:firstLineChars="0"/>
              <w:jc w:val="center"/>
              <w:rPr>
                <w:rFonts w:hint="eastAsia" w:ascii="宋体" w:hAnsi="宋体" w:eastAsia="宋体" w:cs="宋体"/>
                <w:sz w:val="22"/>
                <w:szCs w:val="22"/>
              </w:rPr>
            </w:pPr>
          </w:p>
        </w:tc>
      </w:tr>
      <w:tr w14:paraId="1E757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8" w:hRule="atLeast"/>
        </w:trPr>
        <w:tc>
          <w:tcPr>
            <w:tcW w:w="691" w:type="dxa"/>
            <w:vMerge w:val="continue"/>
            <w:noWrap w:val="0"/>
            <w:vAlign w:val="center"/>
          </w:tcPr>
          <w:p w14:paraId="30FDD1DA">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22B0EF50">
            <w:pPr>
              <w:spacing w:line="240" w:lineRule="auto"/>
              <w:ind w:firstLine="0" w:firstLineChars="0"/>
              <w:jc w:val="center"/>
              <w:rPr>
                <w:rFonts w:hint="eastAsia" w:ascii="宋体" w:hAnsi="宋体" w:eastAsia="宋体" w:cs="宋体"/>
                <w:sz w:val="22"/>
                <w:szCs w:val="22"/>
              </w:rPr>
            </w:pPr>
          </w:p>
        </w:tc>
        <w:tc>
          <w:tcPr>
            <w:tcW w:w="826" w:type="dxa"/>
            <w:vMerge w:val="restart"/>
            <w:noWrap w:val="0"/>
            <w:vAlign w:val="center"/>
          </w:tcPr>
          <w:p w14:paraId="38A52B5A">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2CB0BF6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84" w:type="dxa"/>
            <w:gridSpan w:val="3"/>
            <w:noWrap w:val="0"/>
            <w:vAlign w:val="center"/>
          </w:tcPr>
          <w:p w14:paraId="36E722B8">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社区卫生服务站、村卫生室“中医阁”建设达标率</w:t>
            </w:r>
          </w:p>
        </w:tc>
        <w:tc>
          <w:tcPr>
            <w:tcW w:w="1084" w:type="dxa"/>
            <w:noWrap w:val="0"/>
            <w:vAlign w:val="center"/>
          </w:tcPr>
          <w:p w14:paraId="61A4F598">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625" w:type="dxa"/>
            <w:noWrap w:val="0"/>
            <w:vAlign w:val="center"/>
          </w:tcPr>
          <w:p w14:paraId="00A13936">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100%</w:t>
            </w:r>
          </w:p>
        </w:tc>
        <w:tc>
          <w:tcPr>
            <w:tcW w:w="635" w:type="dxa"/>
            <w:noWrap w:val="0"/>
            <w:vAlign w:val="center"/>
          </w:tcPr>
          <w:p w14:paraId="38359CE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539733A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4803A348">
            <w:pPr>
              <w:spacing w:line="240" w:lineRule="auto"/>
              <w:ind w:firstLine="0" w:firstLineChars="0"/>
              <w:jc w:val="center"/>
              <w:rPr>
                <w:rFonts w:hint="eastAsia" w:ascii="宋体" w:hAnsi="宋体" w:eastAsia="宋体" w:cs="宋体"/>
                <w:sz w:val="22"/>
                <w:szCs w:val="22"/>
              </w:rPr>
            </w:pPr>
          </w:p>
        </w:tc>
      </w:tr>
      <w:tr w14:paraId="2AADF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691" w:type="dxa"/>
            <w:vMerge w:val="continue"/>
            <w:noWrap w:val="0"/>
            <w:vAlign w:val="center"/>
          </w:tcPr>
          <w:p w14:paraId="573AA307">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6CFE1C7F">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7915E81F">
            <w:pPr>
              <w:spacing w:line="240" w:lineRule="auto"/>
              <w:ind w:firstLine="0" w:firstLineChars="0"/>
              <w:jc w:val="center"/>
              <w:rPr>
                <w:rFonts w:hint="eastAsia" w:ascii="宋体" w:hAnsi="宋体" w:eastAsia="宋体" w:cs="宋体"/>
                <w:sz w:val="22"/>
                <w:szCs w:val="22"/>
              </w:rPr>
            </w:pPr>
          </w:p>
        </w:tc>
        <w:tc>
          <w:tcPr>
            <w:tcW w:w="1684" w:type="dxa"/>
            <w:gridSpan w:val="3"/>
            <w:noWrap w:val="0"/>
            <w:vAlign w:val="center"/>
          </w:tcPr>
          <w:p w14:paraId="0C2237E4">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药博会新区馆建设达标率</w:t>
            </w:r>
          </w:p>
        </w:tc>
        <w:tc>
          <w:tcPr>
            <w:tcW w:w="1084" w:type="dxa"/>
            <w:noWrap w:val="0"/>
            <w:vAlign w:val="center"/>
          </w:tcPr>
          <w:p w14:paraId="7F11FECE">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625" w:type="dxa"/>
            <w:noWrap w:val="0"/>
            <w:vAlign w:val="center"/>
          </w:tcPr>
          <w:p w14:paraId="38BE1311">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100%</w:t>
            </w:r>
          </w:p>
        </w:tc>
        <w:tc>
          <w:tcPr>
            <w:tcW w:w="635" w:type="dxa"/>
            <w:noWrap w:val="0"/>
            <w:vAlign w:val="center"/>
          </w:tcPr>
          <w:p w14:paraId="27D63BD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2BE83EB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0A9A2B83">
            <w:pPr>
              <w:spacing w:line="240" w:lineRule="auto"/>
              <w:ind w:firstLine="0" w:firstLineChars="0"/>
              <w:jc w:val="center"/>
              <w:rPr>
                <w:rFonts w:hint="eastAsia" w:ascii="宋体" w:hAnsi="宋体" w:eastAsia="宋体" w:cs="宋体"/>
                <w:sz w:val="22"/>
                <w:szCs w:val="22"/>
              </w:rPr>
            </w:pPr>
          </w:p>
        </w:tc>
      </w:tr>
      <w:tr w14:paraId="04F53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691" w:type="dxa"/>
            <w:vMerge w:val="continue"/>
            <w:noWrap w:val="0"/>
            <w:vAlign w:val="center"/>
          </w:tcPr>
          <w:p w14:paraId="4AF4550C">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395A612C">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2A090EA8">
            <w:pPr>
              <w:spacing w:line="240" w:lineRule="auto"/>
              <w:ind w:firstLine="0" w:firstLineChars="0"/>
              <w:jc w:val="center"/>
              <w:rPr>
                <w:rFonts w:hint="eastAsia" w:ascii="宋体" w:hAnsi="宋体" w:eastAsia="宋体" w:cs="宋体"/>
                <w:sz w:val="22"/>
                <w:szCs w:val="22"/>
              </w:rPr>
            </w:pPr>
          </w:p>
        </w:tc>
        <w:tc>
          <w:tcPr>
            <w:tcW w:w="1684" w:type="dxa"/>
            <w:gridSpan w:val="3"/>
            <w:noWrap w:val="0"/>
            <w:vAlign w:val="center"/>
          </w:tcPr>
          <w:p w14:paraId="44B96259">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足额拨付经费</w:t>
            </w:r>
          </w:p>
        </w:tc>
        <w:tc>
          <w:tcPr>
            <w:tcW w:w="1084" w:type="dxa"/>
            <w:noWrap w:val="0"/>
            <w:vAlign w:val="center"/>
          </w:tcPr>
          <w:p w14:paraId="04E9363B">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足额</w:t>
            </w:r>
          </w:p>
        </w:tc>
        <w:tc>
          <w:tcPr>
            <w:tcW w:w="625" w:type="dxa"/>
            <w:noWrap w:val="0"/>
            <w:vAlign w:val="center"/>
          </w:tcPr>
          <w:p w14:paraId="44B615F3">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足额</w:t>
            </w:r>
          </w:p>
        </w:tc>
        <w:tc>
          <w:tcPr>
            <w:tcW w:w="635" w:type="dxa"/>
            <w:noWrap w:val="0"/>
            <w:vAlign w:val="center"/>
          </w:tcPr>
          <w:p w14:paraId="1BBD3EE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578AA16E">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2475E586">
            <w:pPr>
              <w:spacing w:line="240" w:lineRule="auto"/>
              <w:ind w:firstLine="0" w:firstLineChars="0"/>
              <w:jc w:val="center"/>
              <w:rPr>
                <w:rFonts w:hint="eastAsia" w:ascii="宋体" w:hAnsi="宋体" w:eastAsia="宋体" w:cs="宋体"/>
                <w:sz w:val="22"/>
                <w:szCs w:val="22"/>
              </w:rPr>
            </w:pPr>
          </w:p>
        </w:tc>
      </w:tr>
      <w:tr w14:paraId="13D3D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4" w:hRule="atLeast"/>
        </w:trPr>
        <w:tc>
          <w:tcPr>
            <w:tcW w:w="691" w:type="dxa"/>
            <w:vMerge w:val="continue"/>
            <w:noWrap w:val="0"/>
            <w:vAlign w:val="center"/>
          </w:tcPr>
          <w:p w14:paraId="20867E22">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491453FA">
            <w:pPr>
              <w:spacing w:line="240" w:lineRule="auto"/>
              <w:ind w:firstLine="0" w:firstLineChars="0"/>
              <w:jc w:val="center"/>
              <w:rPr>
                <w:rFonts w:hint="eastAsia" w:ascii="宋体" w:hAnsi="宋体" w:eastAsia="宋体" w:cs="宋体"/>
                <w:sz w:val="22"/>
                <w:szCs w:val="22"/>
              </w:rPr>
            </w:pPr>
          </w:p>
        </w:tc>
        <w:tc>
          <w:tcPr>
            <w:tcW w:w="826" w:type="dxa"/>
            <w:vMerge w:val="restart"/>
            <w:noWrap w:val="0"/>
            <w:vAlign w:val="center"/>
          </w:tcPr>
          <w:p w14:paraId="1CC2AC0B">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50DFB9F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684" w:type="dxa"/>
            <w:gridSpan w:val="3"/>
            <w:noWrap w:val="0"/>
            <w:vAlign w:val="center"/>
          </w:tcPr>
          <w:p w14:paraId="2DD99933">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加强社区卫生服务站、村卫生室“中医阁”建设及时性</w:t>
            </w:r>
          </w:p>
        </w:tc>
        <w:tc>
          <w:tcPr>
            <w:tcW w:w="1084" w:type="dxa"/>
            <w:noWrap w:val="0"/>
            <w:vAlign w:val="center"/>
          </w:tcPr>
          <w:p w14:paraId="2BD04EDA">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625" w:type="dxa"/>
            <w:noWrap w:val="0"/>
            <w:vAlign w:val="center"/>
          </w:tcPr>
          <w:p w14:paraId="0BB83013">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及时性</w:t>
            </w:r>
          </w:p>
        </w:tc>
        <w:tc>
          <w:tcPr>
            <w:tcW w:w="635" w:type="dxa"/>
            <w:noWrap w:val="0"/>
            <w:vAlign w:val="center"/>
          </w:tcPr>
          <w:p w14:paraId="6868BD7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0B512185">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0B576C57">
            <w:pPr>
              <w:spacing w:line="240" w:lineRule="auto"/>
              <w:ind w:firstLine="0" w:firstLineChars="0"/>
              <w:jc w:val="center"/>
              <w:rPr>
                <w:rFonts w:hint="eastAsia" w:ascii="宋体" w:hAnsi="宋体" w:eastAsia="宋体" w:cs="宋体"/>
                <w:sz w:val="22"/>
                <w:szCs w:val="22"/>
              </w:rPr>
            </w:pPr>
          </w:p>
        </w:tc>
      </w:tr>
      <w:tr w14:paraId="618F1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691" w:type="dxa"/>
            <w:vMerge w:val="continue"/>
            <w:noWrap w:val="0"/>
            <w:vAlign w:val="center"/>
          </w:tcPr>
          <w:p w14:paraId="3684C970">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134006E4">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50EB7B7D">
            <w:pPr>
              <w:spacing w:line="240" w:lineRule="auto"/>
              <w:ind w:firstLine="0" w:firstLineChars="0"/>
              <w:jc w:val="center"/>
              <w:rPr>
                <w:rFonts w:hint="eastAsia" w:ascii="宋体" w:hAnsi="宋体" w:eastAsia="宋体" w:cs="宋体"/>
                <w:sz w:val="22"/>
                <w:szCs w:val="22"/>
              </w:rPr>
            </w:pPr>
          </w:p>
        </w:tc>
        <w:tc>
          <w:tcPr>
            <w:tcW w:w="1684" w:type="dxa"/>
            <w:gridSpan w:val="3"/>
            <w:noWrap w:val="0"/>
            <w:vAlign w:val="center"/>
          </w:tcPr>
          <w:p w14:paraId="360BCBE3">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药博会新区馆建设及时性</w:t>
            </w:r>
          </w:p>
        </w:tc>
        <w:tc>
          <w:tcPr>
            <w:tcW w:w="1084" w:type="dxa"/>
            <w:noWrap w:val="0"/>
            <w:vAlign w:val="center"/>
          </w:tcPr>
          <w:p w14:paraId="35747542">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625" w:type="dxa"/>
            <w:noWrap w:val="0"/>
            <w:vAlign w:val="center"/>
          </w:tcPr>
          <w:p w14:paraId="75FCA5DE">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及时性</w:t>
            </w:r>
          </w:p>
        </w:tc>
        <w:tc>
          <w:tcPr>
            <w:tcW w:w="635" w:type="dxa"/>
            <w:noWrap w:val="0"/>
            <w:vAlign w:val="center"/>
          </w:tcPr>
          <w:p w14:paraId="14BAE0A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7DFDC8F2">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23FCBB3D">
            <w:pPr>
              <w:spacing w:line="240" w:lineRule="auto"/>
              <w:ind w:firstLine="0" w:firstLineChars="0"/>
              <w:jc w:val="center"/>
              <w:rPr>
                <w:rFonts w:hint="eastAsia" w:ascii="宋体" w:hAnsi="宋体" w:eastAsia="宋体" w:cs="宋体"/>
                <w:sz w:val="22"/>
                <w:szCs w:val="22"/>
              </w:rPr>
            </w:pPr>
          </w:p>
        </w:tc>
      </w:tr>
      <w:tr w14:paraId="065C9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691" w:type="dxa"/>
            <w:vMerge w:val="continue"/>
            <w:noWrap w:val="0"/>
            <w:vAlign w:val="center"/>
          </w:tcPr>
          <w:p w14:paraId="6545CC0F">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56E2AB92">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07F56E16">
            <w:pPr>
              <w:spacing w:line="240" w:lineRule="auto"/>
              <w:ind w:firstLine="0" w:firstLineChars="0"/>
              <w:jc w:val="center"/>
              <w:rPr>
                <w:rFonts w:hint="eastAsia" w:ascii="宋体" w:hAnsi="宋体" w:eastAsia="宋体" w:cs="宋体"/>
                <w:sz w:val="22"/>
                <w:szCs w:val="22"/>
              </w:rPr>
            </w:pPr>
          </w:p>
        </w:tc>
        <w:tc>
          <w:tcPr>
            <w:tcW w:w="1684" w:type="dxa"/>
            <w:gridSpan w:val="3"/>
            <w:noWrap w:val="0"/>
            <w:vAlign w:val="center"/>
          </w:tcPr>
          <w:p w14:paraId="78291DCB">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对建设及培训工作考核及时性</w:t>
            </w:r>
          </w:p>
        </w:tc>
        <w:tc>
          <w:tcPr>
            <w:tcW w:w="1084" w:type="dxa"/>
            <w:noWrap w:val="0"/>
            <w:vAlign w:val="center"/>
          </w:tcPr>
          <w:p w14:paraId="59851D86">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625" w:type="dxa"/>
            <w:noWrap w:val="0"/>
            <w:vAlign w:val="center"/>
          </w:tcPr>
          <w:p w14:paraId="452E9210">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及时性</w:t>
            </w:r>
          </w:p>
        </w:tc>
        <w:tc>
          <w:tcPr>
            <w:tcW w:w="635" w:type="dxa"/>
            <w:noWrap w:val="0"/>
            <w:vAlign w:val="center"/>
          </w:tcPr>
          <w:p w14:paraId="593FC40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w:t>
            </w:r>
          </w:p>
        </w:tc>
        <w:tc>
          <w:tcPr>
            <w:tcW w:w="745" w:type="dxa"/>
            <w:noWrap w:val="0"/>
            <w:vAlign w:val="center"/>
          </w:tcPr>
          <w:p w14:paraId="15EB856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w:t>
            </w:r>
          </w:p>
        </w:tc>
        <w:tc>
          <w:tcPr>
            <w:tcW w:w="1526" w:type="dxa"/>
            <w:gridSpan w:val="3"/>
            <w:noWrap w:val="0"/>
            <w:vAlign w:val="center"/>
          </w:tcPr>
          <w:p w14:paraId="7A7F56CF">
            <w:pPr>
              <w:spacing w:line="240" w:lineRule="auto"/>
              <w:ind w:firstLine="0" w:firstLineChars="0"/>
              <w:jc w:val="center"/>
              <w:rPr>
                <w:rFonts w:hint="eastAsia" w:ascii="宋体" w:hAnsi="宋体" w:eastAsia="宋体" w:cs="宋体"/>
                <w:sz w:val="22"/>
                <w:szCs w:val="22"/>
              </w:rPr>
            </w:pPr>
          </w:p>
        </w:tc>
      </w:tr>
      <w:tr w14:paraId="096D7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691" w:type="dxa"/>
            <w:vMerge w:val="continue"/>
            <w:noWrap w:val="0"/>
            <w:vAlign w:val="center"/>
          </w:tcPr>
          <w:p w14:paraId="3F5360FA">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6F97FCB3">
            <w:pPr>
              <w:spacing w:line="240" w:lineRule="auto"/>
              <w:ind w:firstLine="0" w:firstLineChars="0"/>
              <w:jc w:val="center"/>
              <w:rPr>
                <w:rFonts w:hint="eastAsia" w:ascii="宋体" w:hAnsi="宋体" w:eastAsia="宋体" w:cs="宋体"/>
                <w:sz w:val="22"/>
                <w:szCs w:val="22"/>
              </w:rPr>
            </w:pPr>
          </w:p>
        </w:tc>
        <w:tc>
          <w:tcPr>
            <w:tcW w:w="826" w:type="dxa"/>
            <w:vMerge w:val="continue"/>
            <w:noWrap w:val="0"/>
            <w:vAlign w:val="center"/>
          </w:tcPr>
          <w:p w14:paraId="6E510283">
            <w:pPr>
              <w:spacing w:line="240" w:lineRule="auto"/>
              <w:ind w:firstLine="0" w:firstLineChars="0"/>
              <w:jc w:val="center"/>
              <w:rPr>
                <w:rFonts w:hint="eastAsia" w:ascii="宋体" w:hAnsi="宋体" w:eastAsia="宋体" w:cs="宋体"/>
                <w:sz w:val="22"/>
                <w:szCs w:val="22"/>
              </w:rPr>
            </w:pPr>
          </w:p>
        </w:tc>
        <w:tc>
          <w:tcPr>
            <w:tcW w:w="1684" w:type="dxa"/>
            <w:gridSpan w:val="3"/>
            <w:noWrap w:val="0"/>
            <w:vAlign w:val="center"/>
          </w:tcPr>
          <w:p w14:paraId="207400F5">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拨付经费及时性</w:t>
            </w:r>
          </w:p>
        </w:tc>
        <w:tc>
          <w:tcPr>
            <w:tcW w:w="1084" w:type="dxa"/>
            <w:noWrap w:val="0"/>
            <w:vAlign w:val="center"/>
          </w:tcPr>
          <w:p w14:paraId="3E94DE87">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及时性</w:t>
            </w:r>
          </w:p>
        </w:tc>
        <w:tc>
          <w:tcPr>
            <w:tcW w:w="625" w:type="dxa"/>
            <w:noWrap w:val="0"/>
            <w:vAlign w:val="center"/>
          </w:tcPr>
          <w:p w14:paraId="7F11E895">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及时性</w:t>
            </w:r>
          </w:p>
        </w:tc>
        <w:tc>
          <w:tcPr>
            <w:tcW w:w="635" w:type="dxa"/>
            <w:noWrap w:val="0"/>
            <w:vAlign w:val="center"/>
          </w:tcPr>
          <w:p w14:paraId="4CCD16F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w:t>
            </w:r>
          </w:p>
        </w:tc>
        <w:tc>
          <w:tcPr>
            <w:tcW w:w="745" w:type="dxa"/>
            <w:noWrap w:val="0"/>
            <w:vAlign w:val="center"/>
          </w:tcPr>
          <w:p w14:paraId="3F70FB7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3</w:t>
            </w:r>
          </w:p>
        </w:tc>
        <w:tc>
          <w:tcPr>
            <w:tcW w:w="1526" w:type="dxa"/>
            <w:gridSpan w:val="3"/>
            <w:noWrap w:val="0"/>
            <w:vAlign w:val="center"/>
          </w:tcPr>
          <w:p w14:paraId="4C4E0874">
            <w:pPr>
              <w:spacing w:line="240" w:lineRule="auto"/>
              <w:ind w:firstLine="0" w:firstLineChars="0"/>
              <w:jc w:val="center"/>
              <w:rPr>
                <w:rFonts w:hint="eastAsia" w:ascii="宋体" w:hAnsi="宋体" w:eastAsia="宋体" w:cs="宋体"/>
                <w:sz w:val="22"/>
                <w:szCs w:val="22"/>
              </w:rPr>
            </w:pPr>
          </w:p>
        </w:tc>
      </w:tr>
      <w:tr w14:paraId="39572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691" w:type="dxa"/>
            <w:vMerge w:val="continue"/>
            <w:noWrap w:val="0"/>
            <w:vAlign w:val="center"/>
          </w:tcPr>
          <w:p w14:paraId="66834A09">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26911D0D">
            <w:pPr>
              <w:spacing w:line="240" w:lineRule="auto"/>
              <w:ind w:firstLine="0" w:firstLineChars="0"/>
              <w:jc w:val="center"/>
              <w:rPr>
                <w:rFonts w:hint="eastAsia" w:ascii="宋体" w:hAnsi="宋体" w:eastAsia="宋体" w:cs="宋体"/>
                <w:sz w:val="22"/>
                <w:szCs w:val="22"/>
              </w:rPr>
            </w:pPr>
          </w:p>
        </w:tc>
        <w:tc>
          <w:tcPr>
            <w:tcW w:w="826" w:type="dxa"/>
            <w:noWrap w:val="0"/>
            <w:vAlign w:val="center"/>
          </w:tcPr>
          <w:p w14:paraId="69B5295A">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成本</w:t>
            </w:r>
          </w:p>
          <w:p w14:paraId="5F89195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84" w:type="dxa"/>
            <w:gridSpan w:val="3"/>
            <w:noWrap w:val="0"/>
            <w:vAlign w:val="center"/>
          </w:tcPr>
          <w:p w14:paraId="11017F11">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成本控制率</w:t>
            </w:r>
          </w:p>
        </w:tc>
        <w:tc>
          <w:tcPr>
            <w:tcW w:w="1084" w:type="dxa"/>
            <w:noWrap w:val="0"/>
            <w:vAlign w:val="center"/>
          </w:tcPr>
          <w:p w14:paraId="752CC614">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≤100%</w:t>
            </w:r>
          </w:p>
        </w:tc>
        <w:tc>
          <w:tcPr>
            <w:tcW w:w="625" w:type="dxa"/>
            <w:noWrap w:val="0"/>
            <w:vAlign w:val="center"/>
          </w:tcPr>
          <w:p w14:paraId="45E8FA4E">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≤100%</w:t>
            </w:r>
          </w:p>
        </w:tc>
        <w:tc>
          <w:tcPr>
            <w:tcW w:w="635" w:type="dxa"/>
            <w:noWrap w:val="0"/>
            <w:vAlign w:val="center"/>
          </w:tcPr>
          <w:p w14:paraId="1808449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586641E8">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0B828966">
            <w:pPr>
              <w:spacing w:line="240" w:lineRule="auto"/>
              <w:ind w:firstLine="0" w:firstLineChars="0"/>
              <w:jc w:val="center"/>
              <w:rPr>
                <w:rFonts w:hint="eastAsia" w:ascii="宋体" w:hAnsi="宋体" w:eastAsia="宋体" w:cs="宋体"/>
                <w:sz w:val="22"/>
                <w:szCs w:val="22"/>
              </w:rPr>
            </w:pPr>
          </w:p>
        </w:tc>
      </w:tr>
      <w:tr w14:paraId="7B66C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691" w:type="dxa"/>
            <w:vMerge w:val="continue"/>
            <w:noWrap w:val="0"/>
            <w:vAlign w:val="center"/>
          </w:tcPr>
          <w:p w14:paraId="3D82ABD5">
            <w:pPr>
              <w:spacing w:line="240" w:lineRule="auto"/>
              <w:ind w:firstLine="0" w:firstLineChars="0"/>
              <w:jc w:val="center"/>
              <w:rPr>
                <w:rFonts w:hint="eastAsia" w:ascii="宋体" w:hAnsi="宋体" w:eastAsia="宋体" w:cs="宋体"/>
                <w:sz w:val="22"/>
                <w:szCs w:val="22"/>
              </w:rPr>
            </w:pPr>
          </w:p>
        </w:tc>
        <w:tc>
          <w:tcPr>
            <w:tcW w:w="723" w:type="dxa"/>
            <w:vMerge w:val="restart"/>
            <w:noWrap w:val="0"/>
            <w:vAlign w:val="center"/>
          </w:tcPr>
          <w:p w14:paraId="4BC65648">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效益指标</w:t>
            </w:r>
          </w:p>
        </w:tc>
        <w:tc>
          <w:tcPr>
            <w:tcW w:w="826" w:type="dxa"/>
            <w:vMerge w:val="restart"/>
            <w:noWrap w:val="0"/>
            <w:vAlign w:val="center"/>
          </w:tcPr>
          <w:p w14:paraId="4051EC52">
            <w:pPr>
              <w:spacing w:line="240" w:lineRule="auto"/>
              <w:ind w:firstLine="0" w:firstLineChars="0"/>
              <w:jc w:val="center"/>
              <w:rPr>
                <w:rFonts w:hint="eastAsia" w:ascii="宋体" w:hAnsi="宋体" w:eastAsia="宋体" w:cs="宋体"/>
                <w:snapToGrid w:val="0"/>
                <w:color w:val="000000"/>
                <w:spacing w:val="-3"/>
                <w:kern w:val="0"/>
                <w:sz w:val="22"/>
                <w:szCs w:val="22"/>
              </w:rPr>
            </w:pPr>
            <w:r>
              <w:rPr>
                <w:rFonts w:hint="eastAsia" w:ascii="宋体" w:hAnsi="宋体" w:eastAsia="宋体" w:cs="宋体"/>
                <w:snapToGrid w:val="0"/>
                <w:color w:val="000000"/>
                <w:spacing w:val="-3"/>
                <w:kern w:val="0"/>
                <w:sz w:val="22"/>
                <w:szCs w:val="22"/>
                <w:lang w:val="en-US" w:eastAsia="zh-CN"/>
              </w:rPr>
              <w:t>经济效益</w:t>
            </w:r>
          </w:p>
        </w:tc>
        <w:tc>
          <w:tcPr>
            <w:tcW w:w="1684" w:type="dxa"/>
            <w:gridSpan w:val="3"/>
            <w:noWrap w:val="0"/>
            <w:vAlign w:val="center"/>
          </w:tcPr>
          <w:p w14:paraId="748119DC">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基层医疗机构中医药收入增加</w:t>
            </w:r>
          </w:p>
        </w:tc>
        <w:tc>
          <w:tcPr>
            <w:tcW w:w="1084" w:type="dxa"/>
            <w:noWrap w:val="0"/>
            <w:vAlign w:val="center"/>
          </w:tcPr>
          <w:p w14:paraId="0734DC0C">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lang w:val="en-US" w:eastAsia="zh-CN"/>
              </w:rPr>
              <w:t>增加</w:t>
            </w:r>
          </w:p>
        </w:tc>
        <w:tc>
          <w:tcPr>
            <w:tcW w:w="625" w:type="dxa"/>
            <w:noWrap w:val="0"/>
            <w:vAlign w:val="center"/>
          </w:tcPr>
          <w:p w14:paraId="63BE8C63">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lang w:val="en-US" w:eastAsia="zh-CN"/>
              </w:rPr>
              <w:t>增加</w:t>
            </w:r>
          </w:p>
        </w:tc>
        <w:tc>
          <w:tcPr>
            <w:tcW w:w="635" w:type="dxa"/>
            <w:noWrap w:val="0"/>
            <w:vAlign w:val="center"/>
          </w:tcPr>
          <w:p w14:paraId="5E489D2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0AAD6FF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59A0AAA1">
            <w:pPr>
              <w:spacing w:line="240" w:lineRule="auto"/>
              <w:ind w:firstLine="0" w:firstLineChars="0"/>
              <w:jc w:val="center"/>
              <w:rPr>
                <w:rFonts w:hint="eastAsia" w:ascii="宋体" w:hAnsi="宋体" w:eastAsia="宋体" w:cs="宋体"/>
                <w:sz w:val="22"/>
                <w:szCs w:val="22"/>
              </w:rPr>
            </w:pPr>
          </w:p>
        </w:tc>
      </w:tr>
      <w:tr w14:paraId="58B4A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trPr>
        <w:tc>
          <w:tcPr>
            <w:tcW w:w="691" w:type="dxa"/>
            <w:vMerge w:val="continue"/>
            <w:noWrap w:val="0"/>
            <w:vAlign w:val="center"/>
          </w:tcPr>
          <w:p w14:paraId="041BD7BC">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2A5A5B19">
            <w:pPr>
              <w:spacing w:line="240" w:lineRule="auto"/>
              <w:ind w:firstLine="0" w:firstLineChars="0"/>
              <w:jc w:val="center"/>
              <w:rPr>
                <w:rFonts w:hint="eastAsia" w:ascii="宋体" w:hAnsi="宋体" w:eastAsia="宋体" w:cs="宋体"/>
                <w:spacing w:val="-3"/>
                <w:sz w:val="22"/>
                <w:szCs w:val="22"/>
              </w:rPr>
            </w:pPr>
          </w:p>
        </w:tc>
        <w:tc>
          <w:tcPr>
            <w:tcW w:w="826" w:type="dxa"/>
            <w:vMerge w:val="continue"/>
            <w:noWrap w:val="0"/>
            <w:vAlign w:val="center"/>
          </w:tcPr>
          <w:p w14:paraId="5846F9D7">
            <w:pPr>
              <w:jc w:val="center"/>
              <w:rPr>
                <w:rFonts w:hint="eastAsia" w:ascii="宋体" w:hAnsi="宋体" w:eastAsia="宋体" w:cs="宋体"/>
                <w:snapToGrid w:val="0"/>
                <w:color w:val="000000"/>
                <w:spacing w:val="-3"/>
                <w:kern w:val="0"/>
                <w:sz w:val="22"/>
                <w:szCs w:val="22"/>
              </w:rPr>
            </w:pPr>
          </w:p>
        </w:tc>
        <w:tc>
          <w:tcPr>
            <w:tcW w:w="1684" w:type="dxa"/>
            <w:gridSpan w:val="3"/>
            <w:noWrap w:val="0"/>
            <w:vAlign w:val="center"/>
          </w:tcPr>
          <w:p w14:paraId="75F7088F">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吸引中医药招商引资</w:t>
            </w:r>
          </w:p>
        </w:tc>
        <w:tc>
          <w:tcPr>
            <w:tcW w:w="1084" w:type="dxa"/>
            <w:noWrap w:val="0"/>
            <w:vAlign w:val="center"/>
          </w:tcPr>
          <w:p w14:paraId="44D72BA3">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lang w:val="en-US" w:eastAsia="zh-CN"/>
              </w:rPr>
              <w:t>吸引</w:t>
            </w:r>
          </w:p>
        </w:tc>
        <w:tc>
          <w:tcPr>
            <w:tcW w:w="625" w:type="dxa"/>
            <w:noWrap w:val="0"/>
            <w:vAlign w:val="center"/>
          </w:tcPr>
          <w:p w14:paraId="66456124">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lang w:val="en-US" w:eastAsia="zh-CN"/>
              </w:rPr>
              <w:t>吸引</w:t>
            </w:r>
          </w:p>
        </w:tc>
        <w:tc>
          <w:tcPr>
            <w:tcW w:w="635" w:type="dxa"/>
            <w:noWrap w:val="0"/>
            <w:vAlign w:val="center"/>
          </w:tcPr>
          <w:p w14:paraId="50A2804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5" w:type="dxa"/>
            <w:noWrap w:val="0"/>
            <w:vAlign w:val="center"/>
          </w:tcPr>
          <w:p w14:paraId="27CABB6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526" w:type="dxa"/>
            <w:gridSpan w:val="3"/>
            <w:noWrap w:val="0"/>
            <w:vAlign w:val="center"/>
          </w:tcPr>
          <w:p w14:paraId="403F6CB2">
            <w:pPr>
              <w:spacing w:line="240" w:lineRule="auto"/>
              <w:ind w:firstLine="0" w:firstLineChars="0"/>
              <w:jc w:val="center"/>
              <w:rPr>
                <w:rFonts w:hint="eastAsia" w:ascii="宋体" w:hAnsi="宋体" w:eastAsia="宋体" w:cs="宋体"/>
                <w:sz w:val="22"/>
                <w:szCs w:val="22"/>
              </w:rPr>
            </w:pPr>
          </w:p>
        </w:tc>
      </w:tr>
      <w:tr w14:paraId="0F90A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8" w:hRule="atLeast"/>
        </w:trPr>
        <w:tc>
          <w:tcPr>
            <w:tcW w:w="691" w:type="dxa"/>
            <w:vMerge w:val="continue"/>
            <w:noWrap w:val="0"/>
            <w:vAlign w:val="center"/>
          </w:tcPr>
          <w:p w14:paraId="6B9C6BFB">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0D4362D8">
            <w:pPr>
              <w:spacing w:line="240" w:lineRule="auto"/>
              <w:ind w:firstLine="0" w:firstLineChars="0"/>
              <w:jc w:val="center"/>
              <w:rPr>
                <w:rFonts w:hint="eastAsia" w:ascii="宋体" w:hAnsi="宋体" w:eastAsia="宋体" w:cs="宋体"/>
                <w:spacing w:val="-3"/>
                <w:sz w:val="22"/>
                <w:szCs w:val="22"/>
              </w:rPr>
            </w:pPr>
          </w:p>
        </w:tc>
        <w:tc>
          <w:tcPr>
            <w:tcW w:w="826" w:type="dxa"/>
            <w:noWrap w:val="0"/>
            <w:vAlign w:val="center"/>
          </w:tcPr>
          <w:p w14:paraId="5F74B58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lang w:val="en-US" w:eastAsia="zh-CN"/>
              </w:rPr>
              <w:t>社会效益</w:t>
            </w:r>
          </w:p>
        </w:tc>
        <w:tc>
          <w:tcPr>
            <w:tcW w:w="1684" w:type="dxa"/>
            <w:gridSpan w:val="3"/>
            <w:noWrap w:val="0"/>
            <w:vAlign w:val="center"/>
          </w:tcPr>
          <w:p w14:paraId="7D90D06D">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提高各医疗机构中医药服务质量和水平</w:t>
            </w:r>
          </w:p>
        </w:tc>
        <w:tc>
          <w:tcPr>
            <w:tcW w:w="1084" w:type="dxa"/>
            <w:noWrap w:val="0"/>
            <w:vAlign w:val="center"/>
          </w:tcPr>
          <w:p w14:paraId="69D75635">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lang w:val="en-US" w:eastAsia="zh-CN"/>
              </w:rPr>
              <w:t>提高</w:t>
            </w:r>
          </w:p>
        </w:tc>
        <w:tc>
          <w:tcPr>
            <w:tcW w:w="625" w:type="dxa"/>
            <w:noWrap w:val="0"/>
            <w:vAlign w:val="center"/>
          </w:tcPr>
          <w:p w14:paraId="00576302">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lang w:val="en-US" w:eastAsia="zh-CN"/>
              </w:rPr>
              <w:t>提高</w:t>
            </w:r>
          </w:p>
        </w:tc>
        <w:tc>
          <w:tcPr>
            <w:tcW w:w="635" w:type="dxa"/>
            <w:noWrap w:val="0"/>
            <w:vAlign w:val="center"/>
          </w:tcPr>
          <w:p w14:paraId="1D80C0E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5" w:type="dxa"/>
            <w:noWrap w:val="0"/>
            <w:vAlign w:val="center"/>
          </w:tcPr>
          <w:p w14:paraId="18DF005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1526" w:type="dxa"/>
            <w:gridSpan w:val="3"/>
            <w:noWrap w:val="0"/>
            <w:vAlign w:val="center"/>
          </w:tcPr>
          <w:p w14:paraId="65299390">
            <w:pPr>
              <w:spacing w:line="240" w:lineRule="auto"/>
              <w:ind w:firstLine="0" w:firstLineChars="0"/>
              <w:jc w:val="center"/>
              <w:rPr>
                <w:rFonts w:hint="eastAsia" w:ascii="宋体" w:hAnsi="宋体" w:eastAsia="宋体" w:cs="宋体"/>
                <w:sz w:val="22"/>
                <w:szCs w:val="22"/>
              </w:rPr>
            </w:pPr>
          </w:p>
        </w:tc>
      </w:tr>
      <w:tr w14:paraId="2C4CB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1" w:hRule="atLeast"/>
        </w:trPr>
        <w:tc>
          <w:tcPr>
            <w:tcW w:w="691" w:type="dxa"/>
            <w:vMerge w:val="continue"/>
            <w:noWrap w:val="0"/>
            <w:vAlign w:val="center"/>
          </w:tcPr>
          <w:p w14:paraId="6E0F6FCA">
            <w:pPr>
              <w:spacing w:line="240" w:lineRule="auto"/>
              <w:ind w:firstLine="0" w:firstLineChars="0"/>
              <w:jc w:val="center"/>
              <w:rPr>
                <w:rFonts w:hint="eastAsia" w:ascii="宋体" w:hAnsi="宋体" w:eastAsia="宋体" w:cs="宋体"/>
                <w:sz w:val="22"/>
                <w:szCs w:val="22"/>
              </w:rPr>
            </w:pPr>
          </w:p>
        </w:tc>
        <w:tc>
          <w:tcPr>
            <w:tcW w:w="723" w:type="dxa"/>
            <w:vMerge w:val="continue"/>
            <w:noWrap w:val="0"/>
            <w:vAlign w:val="center"/>
          </w:tcPr>
          <w:p w14:paraId="3FAA5472">
            <w:pPr>
              <w:spacing w:line="240" w:lineRule="auto"/>
              <w:ind w:firstLine="0" w:firstLineChars="0"/>
              <w:jc w:val="center"/>
              <w:rPr>
                <w:rFonts w:hint="eastAsia" w:ascii="宋体" w:hAnsi="宋体" w:eastAsia="宋体" w:cs="宋体"/>
                <w:spacing w:val="-3"/>
                <w:sz w:val="22"/>
                <w:szCs w:val="22"/>
              </w:rPr>
            </w:pPr>
          </w:p>
        </w:tc>
        <w:tc>
          <w:tcPr>
            <w:tcW w:w="826" w:type="dxa"/>
            <w:noWrap w:val="0"/>
            <w:vAlign w:val="center"/>
          </w:tcPr>
          <w:p w14:paraId="45E713F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lang w:val="en-US" w:eastAsia="zh-CN"/>
              </w:rPr>
              <w:t>可持续影响</w:t>
            </w:r>
          </w:p>
        </w:tc>
        <w:tc>
          <w:tcPr>
            <w:tcW w:w="1684" w:type="dxa"/>
            <w:gridSpan w:val="3"/>
            <w:noWrap w:val="0"/>
            <w:vAlign w:val="center"/>
          </w:tcPr>
          <w:p w14:paraId="18FCB19D">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促进新区卫生事业持续健康发展和中医药服务能力持续提升</w:t>
            </w:r>
          </w:p>
        </w:tc>
        <w:tc>
          <w:tcPr>
            <w:tcW w:w="1084" w:type="dxa"/>
            <w:noWrap w:val="0"/>
            <w:vAlign w:val="center"/>
          </w:tcPr>
          <w:p w14:paraId="0B9350BE">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lang w:val="en-US" w:eastAsia="zh-CN"/>
              </w:rPr>
              <w:t>促进</w:t>
            </w:r>
          </w:p>
        </w:tc>
        <w:tc>
          <w:tcPr>
            <w:tcW w:w="625" w:type="dxa"/>
            <w:noWrap w:val="0"/>
            <w:vAlign w:val="center"/>
          </w:tcPr>
          <w:p w14:paraId="6F2B7595">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lang w:val="en-US" w:eastAsia="zh-CN"/>
              </w:rPr>
              <w:t>促进</w:t>
            </w:r>
          </w:p>
        </w:tc>
        <w:tc>
          <w:tcPr>
            <w:tcW w:w="635" w:type="dxa"/>
            <w:noWrap w:val="0"/>
            <w:vAlign w:val="center"/>
          </w:tcPr>
          <w:p w14:paraId="3B943E8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5" w:type="dxa"/>
            <w:noWrap w:val="0"/>
            <w:vAlign w:val="center"/>
          </w:tcPr>
          <w:p w14:paraId="57BFEBD5">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1526" w:type="dxa"/>
            <w:gridSpan w:val="3"/>
            <w:noWrap w:val="0"/>
            <w:vAlign w:val="center"/>
          </w:tcPr>
          <w:p w14:paraId="6FC37ABF">
            <w:pPr>
              <w:spacing w:line="240" w:lineRule="auto"/>
              <w:ind w:firstLine="0" w:firstLineChars="0"/>
              <w:jc w:val="center"/>
              <w:rPr>
                <w:rFonts w:hint="eastAsia" w:ascii="宋体" w:hAnsi="宋体" w:eastAsia="宋体" w:cs="宋体"/>
                <w:sz w:val="22"/>
                <w:szCs w:val="22"/>
              </w:rPr>
            </w:pPr>
          </w:p>
        </w:tc>
      </w:tr>
      <w:tr w14:paraId="653D4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5" w:hRule="atLeast"/>
        </w:trPr>
        <w:tc>
          <w:tcPr>
            <w:tcW w:w="691" w:type="dxa"/>
            <w:vMerge w:val="continue"/>
            <w:noWrap w:val="0"/>
            <w:vAlign w:val="center"/>
          </w:tcPr>
          <w:p w14:paraId="4159DED1">
            <w:pPr>
              <w:spacing w:line="240" w:lineRule="auto"/>
              <w:ind w:firstLine="0" w:firstLineChars="0"/>
              <w:jc w:val="center"/>
              <w:rPr>
                <w:rFonts w:hint="eastAsia" w:ascii="宋体" w:hAnsi="宋体" w:eastAsia="宋体" w:cs="宋体"/>
                <w:sz w:val="22"/>
                <w:szCs w:val="22"/>
              </w:rPr>
            </w:pPr>
          </w:p>
        </w:tc>
        <w:tc>
          <w:tcPr>
            <w:tcW w:w="723" w:type="dxa"/>
            <w:noWrap w:val="0"/>
            <w:vAlign w:val="center"/>
          </w:tcPr>
          <w:p w14:paraId="16D30B5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26" w:type="dxa"/>
            <w:noWrap w:val="0"/>
            <w:vAlign w:val="center"/>
          </w:tcPr>
          <w:p w14:paraId="4B755EB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服务对象满意度指</w:t>
            </w:r>
            <w:r>
              <w:rPr>
                <w:rFonts w:hint="eastAsia" w:ascii="宋体" w:hAnsi="宋体" w:eastAsia="宋体" w:cs="宋体"/>
                <w:sz w:val="22"/>
                <w:szCs w:val="22"/>
              </w:rPr>
              <w:t>标</w:t>
            </w:r>
          </w:p>
        </w:tc>
        <w:tc>
          <w:tcPr>
            <w:tcW w:w="1684" w:type="dxa"/>
            <w:gridSpan w:val="3"/>
            <w:noWrap w:val="0"/>
            <w:vAlign w:val="center"/>
          </w:tcPr>
          <w:p w14:paraId="4CD26CAE">
            <w:pPr>
              <w:spacing w:line="240" w:lineRule="auto"/>
              <w:ind w:firstLine="0" w:firstLineChars="0"/>
              <w:jc w:val="left"/>
              <w:rPr>
                <w:rFonts w:hint="eastAsia" w:ascii="Arial" w:hAnsi="Arial"/>
                <w:sz w:val="21"/>
                <w:szCs w:val="21"/>
                <w:lang w:val="en-US" w:eastAsia="zh-CN"/>
              </w:rPr>
            </w:pPr>
            <w:r>
              <w:rPr>
                <w:rFonts w:hint="eastAsia" w:ascii="Arial" w:hAnsi="Arial"/>
                <w:sz w:val="21"/>
                <w:szCs w:val="21"/>
                <w:lang w:val="en-US" w:eastAsia="zh-CN"/>
              </w:rPr>
              <w:t>各医疗机构满意度</w:t>
            </w:r>
          </w:p>
        </w:tc>
        <w:tc>
          <w:tcPr>
            <w:tcW w:w="1084" w:type="dxa"/>
            <w:noWrap w:val="0"/>
            <w:vAlign w:val="center"/>
          </w:tcPr>
          <w:p w14:paraId="42307308">
            <w:pPr>
              <w:spacing w:line="240" w:lineRule="auto"/>
              <w:ind w:firstLine="0" w:firstLineChars="0"/>
              <w:jc w:val="center"/>
              <w:rPr>
                <w:rFonts w:hint="eastAsia" w:ascii="仿宋_GB2312" w:hAnsi="仿宋_GB2312" w:eastAsia="仿宋_GB2312" w:cs="仿宋_GB2312"/>
                <w:sz w:val="16"/>
                <w:szCs w:val="16"/>
              </w:rPr>
            </w:pPr>
            <w:r>
              <w:rPr>
                <w:rFonts w:hint="eastAsia" w:ascii="仿宋_GB2312" w:hAnsi="仿宋_GB2312" w:eastAsia="仿宋_GB2312" w:cs="仿宋_GB2312"/>
                <w:sz w:val="16"/>
                <w:szCs w:val="16"/>
              </w:rPr>
              <w:t>≥95%</w:t>
            </w:r>
          </w:p>
        </w:tc>
        <w:tc>
          <w:tcPr>
            <w:tcW w:w="625" w:type="dxa"/>
            <w:noWrap w:val="0"/>
            <w:vAlign w:val="center"/>
          </w:tcPr>
          <w:p w14:paraId="4A168E0D">
            <w:pPr>
              <w:spacing w:line="240" w:lineRule="auto"/>
              <w:ind w:firstLine="0" w:firstLineChars="0"/>
              <w:jc w:val="center"/>
              <w:rPr>
                <w:rFonts w:hint="eastAsia" w:ascii="仿宋_GB2312" w:hAnsi="仿宋_GB2312" w:eastAsia="仿宋_GB2312" w:cs="仿宋_GB2312"/>
                <w:snapToGrid w:val="0"/>
                <w:color w:val="000000"/>
                <w:kern w:val="0"/>
                <w:sz w:val="16"/>
                <w:szCs w:val="16"/>
              </w:rPr>
            </w:pPr>
            <w:r>
              <w:rPr>
                <w:rFonts w:hint="eastAsia" w:ascii="仿宋_GB2312" w:hAnsi="仿宋_GB2312" w:eastAsia="仿宋_GB2312" w:cs="仿宋_GB2312"/>
                <w:sz w:val="16"/>
                <w:szCs w:val="16"/>
              </w:rPr>
              <w:t>≥95%</w:t>
            </w:r>
          </w:p>
        </w:tc>
        <w:tc>
          <w:tcPr>
            <w:tcW w:w="635" w:type="dxa"/>
            <w:noWrap w:val="0"/>
            <w:vAlign w:val="center"/>
          </w:tcPr>
          <w:p w14:paraId="775725C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5" w:type="dxa"/>
            <w:noWrap w:val="0"/>
            <w:vAlign w:val="center"/>
          </w:tcPr>
          <w:p w14:paraId="79AB1811">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1526" w:type="dxa"/>
            <w:gridSpan w:val="3"/>
            <w:noWrap w:val="0"/>
            <w:vAlign w:val="center"/>
          </w:tcPr>
          <w:p w14:paraId="34AB2325">
            <w:pPr>
              <w:spacing w:line="240" w:lineRule="auto"/>
              <w:ind w:firstLine="0" w:firstLineChars="0"/>
              <w:jc w:val="center"/>
              <w:rPr>
                <w:rFonts w:hint="eastAsia" w:ascii="宋体" w:hAnsi="宋体" w:eastAsia="宋体" w:cs="宋体"/>
                <w:sz w:val="22"/>
                <w:szCs w:val="22"/>
              </w:rPr>
            </w:pPr>
          </w:p>
        </w:tc>
      </w:tr>
      <w:tr w14:paraId="3CFCC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5633" w:type="dxa"/>
            <w:gridSpan w:val="8"/>
            <w:noWrap w:val="0"/>
            <w:vAlign w:val="center"/>
          </w:tcPr>
          <w:p w14:paraId="4F4A561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35" w:type="dxa"/>
            <w:noWrap w:val="0"/>
            <w:vAlign w:val="center"/>
          </w:tcPr>
          <w:p w14:paraId="47AA115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pacing w:val="-5"/>
                <w:sz w:val="22"/>
                <w:szCs w:val="22"/>
                <w:lang w:val="en-US" w:eastAsia="zh-CN"/>
              </w:rPr>
              <w:t>90</w:t>
            </w:r>
          </w:p>
        </w:tc>
        <w:tc>
          <w:tcPr>
            <w:tcW w:w="745" w:type="dxa"/>
            <w:noWrap w:val="0"/>
            <w:vAlign w:val="center"/>
          </w:tcPr>
          <w:p w14:paraId="6F33478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90</w:t>
            </w:r>
          </w:p>
        </w:tc>
        <w:tc>
          <w:tcPr>
            <w:tcW w:w="1526" w:type="dxa"/>
            <w:gridSpan w:val="3"/>
            <w:noWrap w:val="0"/>
            <w:vAlign w:val="center"/>
          </w:tcPr>
          <w:p w14:paraId="28A68DC0">
            <w:pPr>
              <w:spacing w:line="240" w:lineRule="auto"/>
              <w:ind w:firstLine="0" w:firstLineChars="0"/>
              <w:jc w:val="center"/>
              <w:rPr>
                <w:rFonts w:hint="eastAsia" w:ascii="宋体" w:hAnsi="宋体" w:eastAsia="宋体" w:cs="宋体"/>
                <w:sz w:val="22"/>
                <w:szCs w:val="22"/>
              </w:rPr>
            </w:pPr>
          </w:p>
        </w:tc>
      </w:tr>
      <w:tr w14:paraId="361E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8" w:hRule="atLeast"/>
        </w:trPr>
        <w:tc>
          <w:tcPr>
            <w:tcW w:w="691" w:type="dxa"/>
            <w:noWrap w:val="0"/>
            <w:vAlign w:val="center"/>
          </w:tcPr>
          <w:p w14:paraId="16C830D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848" w:type="dxa"/>
            <w:gridSpan w:val="12"/>
            <w:noWrap w:val="0"/>
            <w:vAlign w:val="center"/>
          </w:tcPr>
          <w:p w14:paraId="6F275D69">
            <w:pPr>
              <w:spacing w:line="240" w:lineRule="auto"/>
              <w:ind w:firstLine="0" w:firstLineChars="0"/>
              <w:jc w:val="left"/>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086A33C0">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35BBBABF">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7356BAAC">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6EA269E4">
      <w:pPr>
        <w:keepNext w:val="0"/>
        <w:keepLines w:val="0"/>
        <w:pageBreakBefore w:val="0"/>
        <w:wordWrap/>
        <w:overflowPunct/>
        <w:topLinePunct w:val="0"/>
        <w:bidi w:val="0"/>
        <w:adjustRightInd w:val="0"/>
        <w:snapToGrid w:val="0"/>
        <w:spacing w:before="111" w:line="560" w:lineRule="exact"/>
        <w:ind w:left="0" w:leftChars="0" w:firstLine="0" w:firstLineChars="0"/>
        <w:jc w:val="both"/>
        <w:outlineLvl w:val="1"/>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附件6</w:t>
      </w:r>
    </w:p>
    <w:p w14:paraId="191DF67B">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4"/>
          <w:szCs w:val="34"/>
        </w:rPr>
      </w:pPr>
      <w:r>
        <w:rPr>
          <w:rFonts w:hint="eastAsia" w:ascii="宋体" w:hAnsi="宋体" w:eastAsia="宋体" w:cs="宋体"/>
          <w:b/>
          <w:bCs/>
          <w:sz w:val="32"/>
          <w:szCs w:val="32"/>
        </w:rPr>
        <w:t>妇女“两癌”检查</w:t>
      </w:r>
      <w:r>
        <w:rPr>
          <w:rFonts w:ascii="宋体" w:hAnsi="宋体" w:eastAsia="宋体" w:cs="宋体"/>
          <w:b/>
          <w:bCs/>
          <w:sz w:val="32"/>
          <w:szCs w:val="32"/>
        </w:rPr>
        <w:t>转移支付（项目）绩效目标自评表</w:t>
      </w:r>
    </w:p>
    <w:p w14:paraId="3AA332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23</w:t>
      </w:r>
      <w:r>
        <w:rPr>
          <w:rFonts w:hint="eastAsia" w:ascii="宋体" w:hAnsi="宋体" w:eastAsia="宋体" w:cs="宋体"/>
          <w:spacing w:val="-11"/>
          <w:sz w:val="24"/>
          <w:szCs w:val="24"/>
        </w:rPr>
        <w:t>年度）</w:t>
      </w:r>
    </w:p>
    <w:tbl>
      <w:tblPr>
        <w:tblStyle w:val="39"/>
        <w:tblW w:w="829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6"/>
        <w:gridCol w:w="713"/>
        <w:gridCol w:w="574"/>
        <w:gridCol w:w="718"/>
        <w:gridCol w:w="921"/>
        <w:gridCol w:w="501"/>
        <w:gridCol w:w="872"/>
        <w:gridCol w:w="792"/>
        <w:gridCol w:w="369"/>
        <w:gridCol w:w="255"/>
        <w:gridCol w:w="499"/>
        <w:gridCol w:w="75"/>
        <w:gridCol w:w="673"/>
        <w:gridCol w:w="921"/>
      </w:tblGrid>
      <w:tr w14:paraId="6FA9D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1129" w:type="dxa"/>
            <w:gridSpan w:val="2"/>
            <w:noWrap w:val="0"/>
            <w:vAlign w:val="center"/>
          </w:tcPr>
          <w:p w14:paraId="2659A3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70" w:type="dxa"/>
            <w:gridSpan w:val="12"/>
            <w:noWrap w:val="0"/>
            <w:vAlign w:val="center"/>
          </w:tcPr>
          <w:p w14:paraId="34AFEA0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妇女“两癌”检查</w:t>
            </w:r>
          </w:p>
        </w:tc>
      </w:tr>
      <w:tr w14:paraId="126BAA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1129" w:type="dxa"/>
            <w:gridSpan w:val="2"/>
            <w:noWrap w:val="0"/>
            <w:vAlign w:val="center"/>
          </w:tcPr>
          <w:p w14:paraId="6AEDCF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86" w:type="dxa"/>
            <w:gridSpan w:val="5"/>
            <w:noWrap w:val="0"/>
            <w:vAlign w:val="center"/>
          </w:tcPr>
          <w:p w14:paraId="33C462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新区卫生健康委</w:t>
            </w:r>
          </w:p>
        </w:tc>
        <w:tc>
          <w:tcPr>
            <w:tcW w:w="1161" w:type="dxa"/>
            <w:gridSpan w:val="2"/>
            <w:noWrap w:val="0"/>
            <w:vAlign w:val="center"/>
          </w:tcPr>
          <w:p w14:paraId="34A66D7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23" w:type="dxa"/>
            <w:gridSpan w:val="5"/>
            <w:noWrap w:val="0"/>
            <w:vAlign w:val="center"/>
          </w:tcPr>
          <w:p w14:paraId="021CA9F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新区第一人民医院</w:t>
            </w:r>
          </w:p>
        </w:tc>
      </w:tr>
      <w:tr w14:paraId="48147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0" w:hRule="atLeast"/>
        </w:trPr>
        <w:tc>
          <w:tcPr>
            <w:tcW w:w="1129" w:type="dxa"/>
            <w:gridSpan w:val="2"/>
            <w:vMerge w:val="restart"/>
            <w:tcBorders>
              <w:bottom w:val="nil"/>
            </w:tcBorders>
            <w:noWrap w:val="0"/>
            <w:vAlign w:val="center"/>
          </w:tcPr>
          <w:p w14:paraId="2AF44D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92" w:type="dxa"/>
            <w:gridSpan w:val="2"/>
            <w:noWrap w:val="0"/>
            <w:vAlign w:val="center"/>
          </w:tcPr>
          <w:p w14:paraId="4C6543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1" w:type="dxa"/>
            <w:noWrap w:val="0"/>
            <w:vAlign w:val="center"/>
          </w:tcPr>
          <w:p w14:paraId="075E92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73" w:type="dxa"/>
            <w:gridSpan w:val="2"/>
            <w:noWrap w:val="0"/>
            <w:vAlign w:val="center"/>
          </w:tcPr>
          <w:p w14:paraId="20FE1C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61" w:type="dxa"/>
            <w:gridSpan w:val="2"/>
            <w:noWrap w:val="0"/>
            <w:vAlign w:val="center"/>
          </w:tcPr>
          <w:p w14:paraId="3AA1C2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4" w:type="dxa"/>
            <w:gridSpan w:val="2"/>
            <w:noWrap w:val="0"/>
            <w:vAlign w:val="center"/>
          </w:tcPr>
          <w:p w14:paraId="63AA7B0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8" w:type="dxa"/>
            <w:gridSpan w:val="2"/>
            <w:noWrap w:val="0"/>
            <w:vAlign w:val="center"/>
          </w:tcPr>
          <w:p w14:paraId="669A09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21" w:type="dxa"/>
            <w:noWrap w:val="0"/>
            <w:vAlign w:val="center"/>
          </w:tcPr>
          <w:p w14:paraId="2FC0FB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14:paraId="34122D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1129" w:type="dxa"/>
            <w:gridSpan w:val="2"/>
            <w:vMerge w:val="continue"/>
            <w:tcBorders>
              <w:top w:val="nil"/>
              <w:bottom w:val="nil"/>
            </w:tcBorders>
            <w:noWrap w:val="0"/>
            <w:vAlign w:val="center"/>
          </w:tcPr>
          <w:p w14:paraId="4A04D9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2" w:type="dxa"/>
            <w:gridSpan w:val="2"/>
            <w:noWrap w:val="0"/>
            <w:vAlign w:val="center"/>
          </w:tcPr>
          <w:p w14:paraId="3EBB0C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21" w:type="dxa"/>
            <w:noWrap w:val="0"/>
            <w:vAlign w:val="center"/>
          </w:tcPr>
          <w:p w14:paraId="17E599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18.7</w:t>
            </w:r>
          </w:p>
        </w:tc>
        <w:tc>
          <w:tcPr>
            <w:tcW w:w="1373" w:type="dxa"/>
            <w:gridSpan w:val="2"/>
            <w:noWrap w:val="0"/>
            <w:vAlign w:val="center"/>
          </w:tcPr>
          <w:p w14:paraId="6A85ACA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18.7</w:t>
            </w:r>
          </w:p>
        </w:tc>
        <w:tc>
          <w:tcPr>
            <w:tcW w:w="1161" w:type="dxa"/>
            <w:gridSpan w:val="2"/>
            <w:noWrap w:val="0"/>
            <w:vAlign w:val="center"/>
          </w:tcPr>
          <w:p w14:paraId="4424CF2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18.7</w:t>
            </w:r>
          </w:p>
        </w:tc>
        <w:tc>
          <w:tcPr>
            <w:tcW w:w="754" w:type="dxa"/>
            <w:gridSpan w:val="2"/>
            <w:noWrap w:val="0"/>
            <w:vAlign w:val="center"/>
          </w:tcPr>
          <w:p w14:paraId="31C038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8" w:type="dxa"/>
            <w:gridSpan w:val="2"/>
            <w:noWrap w:val="0"/>
            <w:vAlign w:val="center"/>
          </w:tcPr>
          <w:p w14:paraId="401FE3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21" w:type="dxa"/>
            <w:noWrap w:val="0"/>
            <w:vAlign w:val="center"/>
          </w:tcPr>
          <w:p w14:paraId="41A880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14:paraId="0D796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1129" w:type="dxa"/>
            <w:gridSpan w:val="2"/>
            <w:vMerge w:val="continue"/>
            <w:tcBorders>
              <w:top w:val="nil"/>
              <w:bottom w:val="nil"/>
            </w:tcBorders>
            <w:noWrap w:val="0"/>
            <w:vAlign w:val="center"/>
          </w:tcPr>
          <w:p w14:paraId="5CC7C1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2" w:type="dxa"/>
            <w:gridSpan w:val="2"/>
            <w:noWrap w:val="0"/>
            <w:vAlign w:val="center"/>
          </w:tcPr>
          <w:p w14:paraId="302AE0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21" w:type="dxa"/>
            <w:noWrap w:val="0"/>
            <w:vAlign w:val="center"/>
          </w:tcPr>
          <w:p w14:paraId="55C99E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73" w:type="dxa"/>
            <w:gridSpan w:val="2"/>
            <w:noWrap w:val="0"/>
            <w:vAlign w:val="center"/>
          </w:tcPr>
          <w:p w14:paraId="4BCDC06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0</w:t>
            </w:r>
          </w:p>
        </w:tc>
        <w:tc>
          <w:tcPr>
            <w:tcW w:w="1161" w:type="dxa"/>
            <w:gridSpan w:val="2"/>
            <w:noWrap w:val="0"/>
            <w:vAlign w:val="center"/>
          </w:tcPr>
          <w:p w14:paraId="2876033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0</w:t>
            </w:r>
          </w:p>
        </w:tc>
        <w:tc>
          <w:tcPr>
            <w:tcW w:w="754" w:type="dxa"/>
            <w:gridSpan w:val="2"/>
            <w:noWrap w:val="0"/>
            <w:vAlign w:val="center"/>
          </w:tcPr>
          <w:p w14:paraId="3BDE31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8" w:type="dxa"/>
            <w:gridSpan w:val="2"/>
            <w:noWrap w:val="0"/>
            <w:vAlign w:val="center"/>
          </w:tcPr>
          <w:p w14:paraId="091731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1" w:type="dxa"/>
            <w:noWrap w:val="0"/>
            <w:vAlign w:val="center"/>
          </w:tcPr>
          <w:p w14:paraId="2FD308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5089A3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1129" w:type="dxa"/>
            <w:gridSpan w:val="2"/>
            <w:vMerge w:val="continue"/>
            <w:tcBorders>
              <w:top w:val="nil"/>
              <w:bottom w:val="nil"/>
            </w:tcBorders>
            <w:noWrap w:val="0"/>
            <w:vAlign w:val="center"/>
          </w:tcPr>
          <w:p w14:paraId="26A82B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2" w:type="dxa"/>
            <w:gridSpan w:val="2"/>
            <w:noWrap w:val="0"/>
            <w:vAlign w:val="center"/>
          </w:tcPr>
          <w:p w14:paraId="265B5B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21" w:type="dxa"/>
            <w:noWrap w:val="0"/>
            <w:vAlign w:val="center"/>
          </w:tcPr>
          <w:p w14:paraId="035F1E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6.6</w:t>
            </w:r>
          </w:p>
        </w:tc>
        <w:tc>
          <w:tcPr>
            <w:tcW w:w="1373" w:type="dxa"/>
            <w:gridSpan w:val="2"/>
            <w:noWrap w:val="0"/>
            <w:vAlign w:val="center"/>
          </w:tcPr>
          <w:p w14:paraId="190BB3A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6.6</w:t>
            </w:r>
          </w:p>
        </w:tc>
        <w:tc>
          <w:tcPr>
            <w:tcW w:w="1161" w:type="dxa"/>
            <w:gridSpan w:val="2"/>
            <w:noWrap w:val="0"/>
            <w:vAlign w:val="center"/>
          </w:tcPr>
          <w:p w14:paraId="5D21B6F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6.6</w:t>
            </w:r>
          </w:p>
        </w:tc>
        <w:tc>
          <w:tcPr>
            <w:tcW w:w="754" w:type="dxa"/>
            <w:gridSpan w:val="2"/>
            <w:noWrap w:val="0"/>
            <w:vAlign w:val="center"/>
          </w:tcPr>
          <w:p w14:paraId="368B70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8" w:type="dxa"/>
            <w:gridSpan w:val="2"/>
            <w:noWrap w:val="0"/>
            <w:vAlign w:val="center"/>
          </w:tcPr>
          <w:p w14:paraId="01490E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21" w:type="dxa"/>
            <w:noWrap w:val="0"/>
            <w:vAlign w:val="center"/>
          </w:tcPr>
          <w:p w14:paraId="67CBED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79DD57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6" w:hRule="atLeast"/>
        </w:trPr>
        <w:tc>
          <w:tcPr>
            <w:tcW w:w="1129" w:type="dxa"/>
            <w:gridSpan w:val="2"/>
            <w:vMerge w:val="continue"/>
            <w:tcBorders>
              <w:top w:val="nil"/>
              <w:bottom w:val="nil"/>
            </w:tcBorders>
            <w:noWrap w:val="0"/>
            <w:vAlign w:val="center"/>
          </w:tcPr>
          <w:p w14:paraId="42F2C9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2" w:type="dxa"/>
            <w:gridSpan w:val="2"/>
            <w:noWrap w:val="0"/>
            <w:vAlign w:val="center"/>
          </w:tcPr>
          <w:p w14:paraId="2FF092F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21" w:type="dxa"/>
            <w:noWrap w:val="0"/>
            <w:vAlign w:val="center"/>
          </w:tcPr>
          <w:p w14:paraId="765302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12.1</w:t>
            </w:r>
          </w:p>
        </w:tc>
        <w:tc>
          <w:tcPr>
            <w:tcW w:w="1373" w:type="dxa"/>
            <w:gridSpan w:val="2"/>
            <w:noWrap w:val="0"/>
            <w:vAlign w:val="center"/>
          </w:tcPr>
          <w:p w14:paraId="3281008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12.1</w:t>
            </w:r>
          </w:p>
        </w:tc>
        <w:tc>
          <w:tcPr>
            <w:tcW w:w="1161" w:type="dxa"/>
            <w:gridSpan w:val="2"/>
            <w:noWrap w:val="0"/>
            <w:vAlign w:val="center"/>
          </w:tcPr>
          <w:p w14:paraId="637A893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12.1</w:t>
            </w:r>
          </w:p>
        </w:tc>
        <w:tc>
          <w:tcPr>
            <w:tcW w:w="754" w:type="dxa"/>
            <w:gridSpan w:val="2"/>
            <w:noWrap w:val="0"/>
            <w:vAlign w:val="center"/>
          </w:tcPr>
          <w:p w14:paraId="3DA105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8" w:type="dxa"/>
            <w:gridSpan w:val="2"/>
            <w:noWrap w:val="0"/>
            <w:vAlign w:val="center"/>
          </w:tcPr>
          <w:p w14:paraId="1F6649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21" w:type="dxa"/>
            <w:noWrap w:val="0"/>
            <w:vAlign w:val="center"/>
          </w:tcPr>
          <w:p w14:paraId="6BE6F1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4B987A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1129" w:type="dxa"/>
            <w:gridSpan w:val="2"/>
            <w:vMerge w:val="continue"/>
            <w:tcBorders>
              <w:top w:val="nil"/>
            </w:tcBorders>
            <w:noWrap w:val="0"/>
            <w:vAlign w:val="center"/>
          </w:tcPr>
          <w:p w14:paraId="4EBC42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2" w:type="dxa"/>
            <w:gridSpan w:val="2"/>
            <w:noWrap w:val="0"/>
            <w:vAlign w:val="center"/>
          </w:tcPr>
          <w:p w14:paraId="603039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21" w:type="dxa"/>
            <w:noWrap w:val="0"/>
            <w:vAlign w:val="center"/>
          </w:tcPr>
          <w:p w14:paraId="6FC4E0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73" w:type="dxa"/>
            <w:gridSpan w:val="2"/>
            <w:noWrap w:val="0"/>
            <w:vAlign w:val="center"/>
          </w:tcPr>
          <w:p w14:paraId="1EDA014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0</w:t>
            </w:r>
          </w:p>
        </w:tc>
        <w:tc>
          <w:tcPr>
            <w:tcW w:w="1161" w:type="dxa"/>
            <w:gridSpan w:val="2"/>
            <w:noWrap w:val="0"/>
            <w:vAlign w:val="center"/>
          </w:tcPr>
          <w:p w14:paraId="28CD62E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0</w:t>
            </w:r>
          </w:p>
        </w:tc>
        <w:tc>
          <w:tcPr>
            <w:tcW w:w="754" w:type="dxa"/>
            <w:gridSpan w:val="2"/>
            <w:noWrap w:val="0"/>
            <w:vAlign w:val="center"/>
          </w:tcPr>
          <w:p w14:paraId="026596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8" w:type="dxa"/>
            <w:gridSpan w:val="2"/>
            <w:noWrap w:val="0"/>
            <w:vAlign w:val="center"/>
          </w:tcPr>
          <w:p w14:paraId="470F4FD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1" w:type="dxa"/>
            <w:noWrap w:val="0"/>
            <w:vAlign w:val="center"/>
          </w:tcPr>
          <w:p w14:paraId="0BB20D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0E30BB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416" w:type="dxa"/>
            <w:vMerge w:val="restart"/>
            <w:noWrap w:val="0"/>
            <w:vAlign w:val="center"/>
          </w:tcPr>
          <w:p w14:paraId="7379EB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99" w:type="dxa"/>
            <w:gridSpan w:val="6"/>
            <w:noWrap w:val="0"/>
            <w:vAlign w:val="center"/>
          </w:tcPr>
          <w:p w14:paraId="47F1BD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84" w:type="dxa"/>
            <w:gridSpan w:val="7"/>
            <w:noWrap w:val="0"/>
            <w:vAlign w:val="center"/>
          </w:tcPr>
          <w:p w14:paraId="0AE2E1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14:paraId="569CB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2" w:hRule="atLeast"/>
        </w:trPr>
        <w:tc>
          <w:tcPr>
            <w:tcW w:w="416" w:type="dxa"/>
            <w:vMerge w:val="continue"/>
            <w:noWrap w:val="0"/>
            <w:vAlign w:val="center"/>
          </w:tcPr>
          <w:p w14:paraId="0BBC045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99" w:type="dxa"/>
            <w:gridSpan w:val="6"/>
            <w:noWrap w:val="0"/>
            <w:vAlign w:val="center"/>
          </w:tcPr>
          <w:p w14:paraId="244ADA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w:t>
            </w:r>
            <w:r>
              <w:rPr>
                <w:rFonts w:hint="eastAsia" w:ascii="宋体" w:hAnsi="宋体" w:eastAsia="宋体" w:cs="宋体"/>
                <w:sz w:val="16"/>
                <w:szCs w:val="16"/>
                <w:lang w:val="en-US" w:eastAsia="zh-CN"/>
              </w:rPr>
              <w:t>3</w:t>
            </w:r>
            <w:r>
              <w:rPr>
                <w:rFonts w:hint="eastAsia" w:ascii="宋体" w:hAnsi="宋体" w:eastAsia="宋体" w:cs="宋体"/>
                <w:sz w:val="16"/>
                <w:szCs w:val="16"/>
              </w:rPr>
              <w:t>年为新区范围内1</w:t>
            </w:r>
            <w:r>
              <w:rPr>
                <w:rFonts w:hint="eastAsia" w:ascii="宋体" w:hAnsi="宋体" w:eastAsia="宋体" w:cs="宋体"/>
                <w:sz w:val="16"/>
                <w:szCs w:val="16"/>
                <w:lang w:val="en-US" w:eastAsia="zh-CN"/>
              </w:rPr>
              <w:t>1</w:t>
            </w:r>
            <w:r>
              <w:rPr>
                <w:rFonts w:hint="eastAsia" w:ascii="宋体" w:hAnsi="宋体" w:eastAsia="宋体" w:cs="宋体"/>
                <w:sz w:val="16"/>
                <w:szCs w:val="16"/>
              </w:rPr>
              <w:t>00名33-64岁妇女免费开展宫颈癌、乳腺癌检查</w:t>
            </w:r>
          </w:p>
        </w:tc>
        <w:tc>
          <w:tcPr>
            <w:tcW w:w="3584" w:type="dxa"/>
            <w:gridSpan w:val="7"/>
            <w:noWrap w:val="0"/>
            <w:vAlign w:val="center"/>
          </w:tcPr>
          <w:p w14:paraId="5C46D7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w:t>
            </w:r>
            <w:r>
              <w:rPr>
                <w:rFonts w:hint="eastAsia" w:ascii="宋体" w:hAnsi="宋体" w:eastAsia="宋体" w:cs="宋体"/>
                <w:sz w:val="16"/>
                <w:szCs w:val="16"/>
                <w:lang w:val="en-US" w:eastAsia="zh-CN"/>
              </w:rPr>
              <w:t>3</w:t>
            </w:r>
            <w:r>
              <w:rPr>
                <w:rFonts w:hint="eastAsia" w:ascii="宋体" w:hAnsi="宋体" w:eastAsia="宋体" w:cs="宋体"/>
                <w:sz w:val="16"/>
                <w:szCs w:val="16"/>
              </w:rPr>
              <w:t>年为新区范围内1</w:t>
            </w:r>
            <w:r>
              <w:rPr>
                <w:rFonts w:hint="eastAsia" w:ascii="宋体" w:hAnsi="宋体" w:eastAsia="宋体" w:cs="宋体"/>
                <w:sz w:val="16"/>
                <w:szCs w:val="16"/>
                <w:lang w:val="en-US" w:eastAsia="zh-CN"/>
              </w:rPr>
              <w:t>1</w:t>
            </w:r>
            <w:r>
              <w:rPr>
                <w:rFonts w:hint="eastAsia" w:ascii="宋体" w:hAnsi="宋体" w:eastAsia="宋体" w:cs="宋体"/>
                <w:sz w:val="16"/>
                <w:szCs w:val="16"/>
              </w:rPr>
              <w:t>00名33-64岁妇女免费开展宫颈癌、乳腺癌检查</w:t>
            </w:r>
          </w:p>
        </w:tc>
      </w:tr>
      <w:tr w14:paraId="5A9EEE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0" w:hRule="atLeast"/>
        </w:trPr>
        <w:tc>
          <w:tcPr>
            <w:tcW w:w="416" w:type="dxa"/>
            <w:vMerge w:val="restart"/>
            <w:noWrap w:val="0"/>
            <w:textDirection w:val="tbLrV"/>
            <w:vAlign w:val="center"/>
          </w:tcPr>
          <w:p w14:paraId="486CC980">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13" w:type="dxa"/>
            <w:noWrap w:val="0"/>
            <w:vAlign w:val="center"/>
          </w:tcPr>
          <w:p w14:paraId="5F9478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574" w:type="dxa"/>
            <w:noWrap w:val="0"/>
            <w:vAlign w:val="center"/>
          </w:tcPr>
          <w:p w14:paraId="035257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140" w:type="dxa"/>
            <w:gridSpan w:val="3"/>
            <w:noWrap w:val="0"/>
            <w:vAlign w:val="center"/>
          </w:tcPr>
          <w:p w14:paraId="08F388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72" w:type="dxa"/>
            <w:noWrap w:val="0"/>
            <w:vAlign w:val="center"/>
          </w:tcPr>
          <w:p w14:paraId="6B4A47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792" w:type="dxa"/>
            <w:noWrap w:val="0"/>
            <w:vAlign w:val="center"/>
          </w:tcPr>
          <w:p w14:paraId="7B302E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4" w:type="dxa"/>
            <w:gridSpan w:val="2"/>
            <w:noWrap w:val="0"/>
            <w:vAlign w:val="center"/>
          </w:tcPr>
          <w:p w14:paraId="7609B0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4" w:type="dxa"/>
            <w:gridSpan w:val="2"/>
            <w:noWrap w:val="0"/>
            <w:vAlign w:val="center"/>
          </w:tcPr>
          <w:p w14:paraId="6CC1F6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94" w:type="dxa"/>
            <w:gridSpan w:val="2"/>
            <w:noWrap w:val="0"/>
            <w:vAlign w:val="center"/>
          </w:tcPr>
          <w:p w14:paraId="3EE239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14:paraId="370785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2" w:hRule="atLeast"/>
        </w:trPr>
        <w:tc>
          <w:tcPr>
            <w:tcW w:w="416" w:type="dxa"/>
            <w:vMerge w:val="continue"/>
            <w:noWrap w:val="0"/>
            <w:vAlign w:val="center"/>
          </w:tcPr>
          <w:p w14:paraId="46D545A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3" w:type="dxa"/>
            <w:vMerge w:val="restart"/>
            <w:tcBorders>
              <w:bottom w:val="nil"/>
            </w:tcBorders>
            <w:noWrap w:val="0"/>
            <w:vAlign w:val="center"/>
          </w:tcPr>
          <w:p w14:paraId="6199B7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574" w:type="dxa"/>
            <w:tcBorders>
              <w:bottom w:val="nil"/>
            </w:tcBorders>
            <w:noWrap w:val="0"/>
            <w:vAlign w:val="center"/>
          </w:tcPr>
          <w:p w14:paraId="2AD8320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140" w:type="dxa"/>
            <w:gridSpan w:val="3"/>
            <w:noWrap w:val="0"/>
            <w:vAlign w:val="top"/>
          </w:tcPr>
          <w:p w14:paraId="47A25D72">
            <w:pPr>
              <w:keepNext w:val="0"/>
              <w:keepLines w:val="0"/>
              <w:widowControl/>
              <w:suppressLineNumbers w:val="0"/>
              <w:ind w:left="0" w:leftChars="0" w:firstLine="0" w:firstLineChars="0"/>
              <w:jc w:val="both"/>
              <w:textAlignment w:val="top"/>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“两癌”检查人数</w:t>
            </w:r>
          </w:p>
        </w:tc>
        <w:tc>
          <w:tcPr>
            <w:tcW w:w="872" w:type="dxa"/>
            <w:noWrap w:val="0"/>
            <w:vAlign w:val="center"/>
          </w:tcPr>
          <w:p w14:paraId="0FB671B1">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1100</w:t>
            </w:r>
          </w:p>
        </w:tc>
        <w:tc>
          <w:tcPr>
            <w:tcW w:w="792" w:type="dxa"/>
            <w:noWrap w:val="0"/>
            <w:vAlign w:val="center"/>
          </w:tcPr>
          <w:p w14:paraId="2A4B4ED2">
            <w:pPr>
              <w:keepNext w:val="0"/>
              <w:keepLines w:val="0"/>
              <w:widowControl/>
              <w:suppressLineNumbers w:val="0"/>
              <w:ind w:left="0" w:leftChars="0" w:firstLine="0" w:firstLineChars="0"/>
              <w:jc w:val="both"/>
              <w:textAlignment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2539</w:t>
            </w:r>
          </w:p>
        </w:tc>
        <w:tc>
          <w:tcPr>
            <w:tcW w:w="624" w:type="dxa"/>
            <w:gridSpan w:val="2"/>
            <w:noWrap w:val="0"/>
            <w:vAlign w:val="center"/>
          </w:tcPr>
          <w:p w14:paraId="169AA3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4" w:type="dxa"/>
            <w:gridSpan w:val="2"/>
            <w:noWrap w:val="0"/>
            <w:vAlign w:val="center"/>
          </w:tcPr>
          <w:p w14:paraId="0F2EB73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20</w:t>
            </w:r>
          </w:p>
        </w:tc>
        <w:tc>
          <w:tcPr>
            <w:tcW w:w="1594" w:type="dxa"/>
            <w:gridSpan w:val="2"/>
            <w:noWrap w:val="0"/>
            <w:vAlign w:val="center"/>
          </w:tcPr>
          <w:p w14:paraId="1D9AF5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79E6BE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2" w:hRule="atLeast"/>
        </w:trPr>
        <w:tc>
          <w:tcPr>
            <w:tcW w:w="416" w:type="dxa"/>
            <w:vMerge w:val="continue"/>
            <w:noWrap w:val="0"/>
            <w:vAlign w:val="center"/>
          </w:tcPr>
          <w:p w14:paraId="41967C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3" w:type="dxa"/>
            <w:vMerge w:val="continue"/>
            <w:tcBorders>
              <w:top w:val="nil"/>
              <w:bottom w:val="nil"/>
            </w:tcBorders>
            <w:noWrap w:val="0"/>
            <w:vAlign w:val="center"/>
          </w:tcPr>
          <w:p w14:paraId="323E7D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4" w:type="dxa"/>
            <w:tcBorders>
              <w:bottom w:val="nil"/>
            </w:tcBorders>
            <w:noWrap w:val="0"/>
            <w:vAlign w:val="center"/>
          </w:tcPr>
          <w:p w14:paraId="5F7016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2140" w:type="dxa"/>
            <w:gridSpan w:val="3"/>
            <w:noWrap w:val="0"/>
            <w:vAlign w:val="top"/>
          </w:tcPr>
          <w:p w14:paraId="43CF84AE">
            <w:pPr>
              <w:keepNext w:val="0"/>
              <w:keepLines w:val="0"/>
              <w:widowControl/>
              <w:suppressLineNumbers w:val="0"/>
              <w:ind w:left="0" w:leftChars="0" w:firstLine="0" w:firstLineChars="0"/>
              <w:jc w:val="both"/>
              <w:textAlignment w:val="top"/>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两癌检查完成率</w:t>
            </w:r>
          </w:p>
        </w:tc>
        <w:tc>
          <w:tcPr>
            <w:tcW w:w="872" w:type="dxa"/>
            <w:noWrap w:val="0"/>
            <w:vAlign w:val="center"/>
          </w:tcPr>
          <w:p w14:paraId="30270B07">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100%</w:t>
            </w:r>
          </w:p>
        </w:tc>
        <w:tc>
          <w:tcPr>
            <w:tcW w:w="792" w:type="dxa"/>
            <w:noWrap w:val="0"/>
            <w:vAlign w:val="center"/>
          </w:tcPr>
          <w:p w14:paraId="4E8FB449">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100%</w:t>
            </w:r>
          </w:p>
        </w:tc>
        <w:tc>
          <w:tcPr>
            <w:tcW w:w="624" w:type="dxa"/>
            <w:gridSpan w:val="2"/>
            <w:noWrap w:val="0"/>
            <w:vAlign w:val="center"/>
          </w:tcPr>
          <w:p w14:paraId="7A3178E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4" w:type="dxa"/>
            <w:gridSpan w:val="2"/>
            <w:noWrap w:val="0"/>
            <w:vAlign w:val="center"/>
          </w:tcPr>
          <w:p w14:paraId="055B9C2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15</w:t>
            </w:r>
          </w:p>
        </w:tc>
        <w:tc>
          <w:tcPr>
            <w:tcW w:w="1594" w:type="dxa"/>
            <w:gridSpan w:val="2"/>
            <w:noWrap w:val="0"/>
            <w:vAlign w:val="center"/>
          </w:tcPr>
          <w:p w14:paraId="2BDE84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504AD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2" w:hRule="atLeast"/>
        </w:trPr>
        <w:tc>
          <w:tcPr>
            <w:tcW w:w="416" w:type="dxa"/>
            <w:vMerge w:val="continue"/>
            <w:noWrap w:val="0"/>
            <w:vAlign w:val="center"/>
          </w:tcPr>
          <w:p w14:paraId="6FB02BF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3" w:type="dxa"/>
            <w:vMerge w:val="continue"/>
            <w:tcBorders>
              <w:top w:val="nil"/>
              <w:bottom w:val="nil"/>
            </w:tcBorders>
            <w:noWrap w:val="0"/>
            <w:vAlign w:val="center"/>
          </w:tcPr>
          <w:p w14:paraId="6184A6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4" w:type="dxa"/>
            <w:tcBorders>
              <w:bottom w:val="nil"/>
            </w:tcBorders>
            <w:noWrap w:val="0"/>
            <w:vAlign w:val="center"/>
          </w:tcPr>
          <w:p w14:paraId="2C3453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2140" w:type="dxa"/>
            <w:gridSpan w:val="3"/>
            <w:noWrap w:val="0"/>
            <w:vAlign w:val="top"/>
          </w:tcPr>
          <w:p w14:paraId="1A08331C">
            <w:pPr>
              <w:keepNext w:val="0"/>
              <w:keepLines w:val="0"/>
              <w:widowControl/>
              <w:suppressLineNumbers w:val="0"/>
              <w:ind w:left="0" w:leftChars="0" w:firstLine="0" w:firstLineChars="0"/>
              <w:jc w:val="both"/>
              <w:textAlignment w:val="top"/>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资金到位率</w:t>
            </w:r>
          </w:p>
        </w:tc>
        <w:tc>
          <w:tcPr>
            <w:tcW w:w="872" w:type="dxa"/>
            <w:noWrap w:val="0"/>
            <w:vAlign w:val="center"/>
          </w:tcPr>
          <w:p w14:paraId="1A51BB56">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100%</w:t>
            </w:r>
          </w:p>
        </w:tc>
        <w:tc>
          <w:tcPr>
            <w:tcW w:w="792" w:type="dxa"/>
            <w:noWrap w:val="0"/>
            <w:vAlign w:val="center"/>
          </w:tcPr>
          <w:p w14:paraId="1245CD89">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100%</w:t>
            </w:r>
          </w:p>
        </w:tc>
        <w:tc>
          <w:tcPr>
            <w:tcW w:w="624" w:type="dxa"/>
            <w:gridSpan w:val="2"/>
            <w:noWrap w:val="0"/>
            <w:vAlign w:val="center"/>
          </w:tcPr>
          <w:p w14:paraId="710E86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4" w:type="dxa"/>
            <w:gridSpan w:val="2"/>
            <w:noWrap w:val="0"/>
            <w:vAlign w:val="center"/>
          </w:tcPr>
          <w:p w14:paraId="01DFB62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94" w:type="dxa"/>
            <w:gridSpan w:val="2"/>
            <w:noWrap w:val="0"/>
            <w:vAlign w:val="center"/>
          </w:tcPr>
          <w:p w14:paraId="5B5B7D6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7B88B6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3" w:hRule="atLeast"/>
        </w:trPr>
        <w:tc>
          <w:tcPr>
            <w:tcW w:w="416" w:type="dxa"/>
            <w:vMerge w:val="continue"/>
            <w:noWrap w:val="0"/>
            <w:textDirection w:val="tbRlV"/>
            <w:vAlign w:val="center"/>
          </w:tcPr>
          <w:p w14:paraId="2818EA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3" w:type="dxa"/>
            <w:vMerge w:val="restart"/>
            <w:tcBorders>
              <w:bottom w:val="nil"/>
            </w:tcBorders>
            <w:noWrap w:val="0"/>
            <w:vAlign w:val="center"/>
          </w:tcPr>
          <w:p w14:paraId="675434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574" w:type="dxa"/>
            <w:vMerge w:val="restart"/>
            <w:tcBorders>
              <w:bottom w:val="nil"/>
            </w:tcBorders>
            <w:noWrap w:val="0"/>
            <w:vAlign w:val="center"/>
          </w:tcPr>
          <w:p w14:paraId="7509CA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14:paraId="44D972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2140" w:type="dxa"/>
            <w:gridSpan w:val="3"/>
            <w:noWrap w:val="0"/>
            <w:vAlign w:val="center"/>
          </w:tcPr>
          <w:p w14:paraId="02CE40CF">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解决群众“看病难看病贵”问题</w:t>
            </w:r>
          </w:p>
        </w:tc>
        <w:tc>
          <w:tcPr>
            <w:tcW w:w="872" w:type="dxa"/>
            <w:noWrap w:val="0"/>
            <w:vAlign w:val="center"/>
          </w:tcPr>
          <w:p w14:paraId="2226E235">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792" w:type="dxa"/>
            <w:noWrap w:val="0"/>
            <w:vAlign w:val="center"/>
          </w:tcPr>
          <w:p w14:paraId="6F131220">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624" w:type="dxa"/>
            <w:gridSpan w:val="2"/>
            <w:noWrap w:val="0"/>
            <w:vAlign w:val="center"/>
          </w:tcPr>
          <w:p w14:paraId="217BBA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4" w:type="dxa"/>
            <w:gridSpan w:val="2"/>
            <w:noWrap w:val="0"/>
            <w:vAlign w:val="center"/>
          </w:tcPr>
          <w:p w14:paraId="232B1FD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94" w:type="dxa"/>
            <w:gridSpan w:val="2"/>
            <w:noWrap w:val="0"/>
            <w:vAlign w:val="center"/>
          </w:tcPr>
          <w:p w14:paraId="7969AD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41728A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3" w:hRule="atLeast"/>
        </w:trPr>
        <w:tc>
          <w:tcPr>
            <w:tcW w:w="416" w:type="dxa"/>
            <w:vMerge w:val="continue"/>
            <w:noWrap w:val="0"/>
            <w:textDirection w:val="tbRlV"/>
            <w:vAlign w:val="center"/>
          </w:tcPr>
          <w:p w14:paraId="686EF3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3" w:type="dxa"/>
            <w:vMerge w:val="continue"/>
            <w:tcBorders>
              <w:top w:val="nil"/>
              <w:bottom w:val="nil"/>
            </w:tcBorders>
            <w:noWrap w:val="0"/>
            <w:vAlign w:val="center"/>
          </w:tcPr>
          <w:p w14:paraId="2B6CB4C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4" w:type="dxa"/>
            <w:vMerge w:val="continue"/>
            <w:tcBorders>
              <w:top w:val="nil"/>
              <w:bottom w:val="nil"/>
            </w:tcBorders>
            <w:noWrap w:val="0"/>
            <w:vAlign w:val="center"/>
          </w:tcPr>
          <w:p w14:paraId="79BAC50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0" w:type="dxa"/>
            <w:gridSpan w:val="3"/>
            <w:noWrap w:val="0"/>
            <w:vAlign w:val="center"/>
          </w:tcPr>
          <w:p w14:paraId="32C5A53E">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增加慢病患者就医便利</w:t>
            </w:r>
          </w:p>
        </w:tc>
        <w:tc>
          <w:tcPr>
            <w:tcW w:w="872" w:type="dxa"/>
            <w:noWrap w:val="0"/>
            <w:vAlign w:val="center"/>
          </w:tcPr>
          <w:p w14:paraId="606CDAB4">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792" w:type="dxa"/>
            <w:noWrap w:val="0"/>
            <w:vAlign w:val="center"/>
          </w:tcPr>
          <w:p w14:paraId="784AA77F">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624" w:type="dxa"/>
            <w:gridSpan w:val="2"/>
            <w:noWrap w:val="0"/>
            <w:vAlign w:val="center"/>
          </w:tcPr>
          <w:p w14:paraId="12CF54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4" w:type="dxa"/>
            <w:gridSpan w:val="2"/>
            <w:noWrap w:val="0"/>
            <w:vAlign w:val="center"/>
          </w:tcPr>
          <w:p w14:paraId="5FF29A9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94" w:type="dxa"/>
            <w:gridSpan w:val="2"/>
            <w:noWrap w:val="0"/>
            <w:vAlign w:val="center"/>
          </w:tcPr>
          <w:p w14:paraId="09A207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218CA5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3" w:hRule="atLeast"/>
        </w:trPr>
        <w:tc>
          <w:tcPr>
            <w:tcW w:w="416" w:type="dxa"/>
            <w:vMerge w:val="continue"/>
            <w:noWrap w:val="0"/>
            <w:textDirection w:val="tbRlV"/>
            <w:vAlign w:val="center"/>
          </w:tcPr>
          <w:p w14:paraId="2299B29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3" w:type="dxa"/>
            <w:vMerge w:val="continue"/>
            <w:tcBorders>
              <w:top w:val="nil"/>
              <w:bottom w:val="nil"/>
            </w:tcBorders>
            <w:noWrap w:val="0"/>
            <w:vAlign w:val="center"/>
          </w:tcPr>
          <w:p w14:paraId="2FA0CD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4" w:type="dxa"/>
            <w:tcBorders>
              <w:bottom w:val="nil"/>
            </w:tcBorders>
            <w:noWrap w:val="0"/>
            <w:vAlign w:val="center"/>
          </w:tcPr>
          <w:p w14:paraId="561800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14:paraId="5601905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2140" w:type="dxa"/>
            <w:gridSpan w:val="3"/>
            <w:noWrap w:val="0"/>
            <w:vAlign w:val="center"/>
          </w:tcPr>
          <w:p w14:paraId="5E3E293D">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妇女“两癌”防治知晓率和自我保健意识</w:t>
            </w:r>
          </w:p>
        </w:tc>
        <w:tc>
          <w:tcPr>
            <w:tcW w:w="872" w:type="dxa"/>
            <w:noWrap w:val="0"/>
            <w:vAlign w:val="center"/>
          </w:tcPr>
          <w:p w14:paraId="404EFC15">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792" w:type="dxa"/>
            <w:noWrap w:val="0"/>
            <w:vAlign w:val="center"/>
          </w:tcPr>
          <w:p w14:paraId="3C7FB17F">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624" w:type="dxa"/>
            <w:gridSpan w:val="2"/>
            <w:noWrap w:val="0"/>
            <w:vAlign w:val="center"/>
          </w:tcPr>
          <w:p w14:paraId="479B38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4" w:type="dxa"/>
            <w:gridSpan w:val="2"/>
            <w:noWrap w:val="0"/>
            <w:vAlign w:val="center"/>
          </w:tcPr>
          <w:p w14:paraId="2EF4A3B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15</w:t>
            </w:r>
          </w:p>
        </w:tc>
        <w:tc>
          <w:tcPr>
            <w:tcW w:w="1594" w:type="dxa"/>
            <w:gridSpan w:val="2"/>
            <w:noWrap w:val="0"/>
            <w:vAlign w:val="center"/>
          </w:tcPr>
          <w:p w14:paraId="453711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1F2F5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5" w:hRule="atLeast"/>
        </w:trPr>
        <w:tc>
          <w:tcPr>
            <w:tcW w:w="416" w:type="dxa"/>
            <w:vMerge w:val="continue"/>
            <w:noWrap w:val="0"/>
            <w:vAlign w:val="center"/>
          </w:tcPr>
          <w:p w14:paraId="1F673B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3" w:type="dxa"/>
            <w:tcBorders>
              <w:bottom w:val="nil"/>
            </w:tcBorders>
            <w:noWrap w:val="0"/>
            <w:vAlign w:val="center"/>
          </w:tcPr>
          <w:p w14:paraId="0DD51D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574" w:type="dxa"/>
            <w:tcBorders>
              <w:bottom w:val="nil"/>
            </w:tcBorders>
            <w:noWrap w:val="0"/>
            <w:vAlign w:val="center"/>
          </w:tcPr>
          <w:p w14:paraId="3B4E57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p>
          <w:p w14:paraId="24A5DC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2140" w:type="dxa"/>
            <w:gridSpan w:val="3"/>
            <w:noWrap w:val="0"/>
            <w:vAlign w:val="center"/>
          </w:tcPr>
          <w:p w14:paraId="1EFB0715">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重点服务对象满意度</w:t>
            </w:r>
          </w:p>
        </w:tc>
        <w:tc>
          <w:tcPr>
            <w:tcW w:w="872" w:type="dxa"/>
            <w:noWrap w:val="0"/>
            <w:vAlign w:val="center"/>
          </w:tcPr>
          <w:p w14:paraId="4EB8C940">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≥80%</w:t>
            </w:r>
          </w:p>
        </w:tc>
        <w:tc>
          <w:tcPr>
            <w:tcW w:w="792" w:type="dxa"/>
            <w:noWrap w:val="0"/>
            <w:vAlign w:val="center"/>
          </w:tcPr>
          <w:p w14:paraId="0A870FF2">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≥80%</w:t>
            </w:r>
          </w:p>
        </w:tc>
        <w:tc>
          <w:tcPr>
            <w:tcW w:w="624" w:type="dxa"/>
            <w:gridSpan w:val="2"/>
            <w:noWrap w:val="0"/>
            <w:vAlign w:val="center"/>
          </w:tcPr>
          <w:p w14:paraId="3F0709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4" w:type="dxa"/>
            <w:gridSpan w:val="2"/>
            <w:noWrap w:val="0"/>
            <w:vAlign w:val="center"/>
          </w:tcPr>
          <w:p w14:paraId="532AFBA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94" w:type="dxa"/>
            <w:gridSpan w:val="2"/>
            <w:noWrap w:val="0"/>
            <w:vAlign w:val="center"/>
          </w:tcPr>
          <w:p w14:paraId="08B61F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5814F0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6" w:hRule="atLeast"/>
        </w:trPr>
        <w:tc>
          <w:tcPr>
            <w:tcW w:w="5507" w:type="dxa"/>
            <w:gridSpan w:val="8"/>
            <w:noWrap w:val="0"/>
            <w:vAlign w:val="center"/>
          </w:tcPr>
          <w:p w14:paraId="1327B1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4" w:type="dxa"/>
            <w:gridSpan w:val="2"/>
            <w:noWrap w:val="0"/>
            <w:vAlign w:val="center"/>
          </w:tcPr>
          <w:p w14:paraId="05CBA8F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4" w:type="dxa"/>
            <w:gridSpan w:val="2"/>
            <w:noWrap w:val="0"/>
            <w:vAlign w:val="center"/>
          </w:tcPr>
          <w:p w14:paraId="3FB627A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1594" w:type="dxa"/>
            <w:gridSpan w:val="2"/>
            <w:noWrap w:val="0"/>
            <w:vAlign w:val="center"/>
          </w:tcPr>
          <w:p w14:paraId="506FCA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6676AF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3" w:hRule="atLeast"/>
        </w:trPr>
        <w:tc>
          <w:tcPr>
            <w:tcW w:w="416" w:type="dxa"/>
            <w:noWrap w:val="0"/>
            <w:vAlign w:val="center"/>
          </w:tcPr>
          <w:p w14:paraId="2726E3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83" w:type="dxa"/>
            <w:gridSpan w:val="13"/>
            <w:noWrap w:val="0"/>
            <w:vAlign w:val="center"/>
          </w:tcPr>
          <w:p w14:paraId="1A98A4C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14:paraId="2F7EAA4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firstLineChars="0"/>
        <w:jc w:val="left"/>
        <w:textAlignment w:val="baseline"/>
        <w:rPr>
          <w:rFonts w:hint="eastAsia" w:ascii="宋体" w:hAnsi="宋体" w:eastAsia="宋体" w:cs="宋体"/>
          <w:sz w:val="20"/>
          <w:szCs w:val="20"/>
        </w:rPr>
      </w:pPr>
    </w:p>
    <w:p w14:paraId="6531D99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firstLineChars="0"/>
        <w:jc w:val="left"/>
        <w:textAlignment w:val="baseline"/>
        <w:rPr>
          <w:rFonts w:hint="eastAsia" w:ascii="宋体" w:hAnsi="宋体" w:eastAsia="宋体" w:cs="宋体"/>
          <w:sz w:val="20"/>
          <w:szCs w:val="20"/>
        </w:rPr>
      </w:pPr>
      <w:r>
        <w:rPr>
          <w:rFonts w:hint="eastAsia" w:ascii="宋体" w:hAnsi="宋体" w:eastAsia="宋体" w:cs="宋体"/>
          <w:sz w:val="20"/>
          <w:szCs w:val="20"/>
        </w:rPr>
        <w:t>注：1.其他资金包括和各级财政资金共同投入到同一项目的自有资金、社会资金等。</w:t>
      </w:r>
    </w:p>
    <w:p w14:paraId="0B2FAF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00" w:firstLineChars="200"/>
        <w:jc w:val="left"/>
        <w:textAlignment w:val="baseline"/>
        <w:rPr>
          <w:rFonts w:hint="eastAsia" w:ascii="宋体" w:hAnsi="宋体" w:eastAsia="宋体" w:cs="宋体"/>
          <w:sz w:val="20"/>
          <w:szCs w:val="20"/>
        </w:rPr>
      </w:pPr>
      <w:r>
        <w:rPr>
          <w:rFonts w:hint="eastAsia" w:ascii="宋体" w:hAnsi="宋体" w:eastAsia="宋体" w:cs="宋体"/>
          <w:sz w:val="20"/>
          <w:szCs w:val="20"/>
        </w:rPr>
        <w:t>2.绩效自评采取打分评价形式，满分为100分，主管部门可根据指标的重要程度自主确定各项二、三级指标的权重分值，各项指标得分加总得出该项目绩效自评的总分（中央和省委巡视、各级审计和财政监督中发现问题的酌情扣分</w:t>
      </w:r>
      <w:r>
        <w:rPr>
          <w:rFonts w:hint="eastAsia" w:ascii="宋体" w:hAnsi="宋体" w:eastAsia="宋体" w:cs="宋体"/>
          <w:spacing w:val="19"/>
          <w:sz w:val="20"/>
          <w:szCs w:val="20"/>
        </w:rPr>
        <w:t>），</w:t>
      </w:r>
      <w:r>
        <w:rPr>
          <w:rFonts w:hint="eastAsia" w:ascii="宋体" w:hAnsi="宋体" w:eastAsia="宋体" w:cs="宋体"/>
          <w:sz w:val="20"/>
          <w:szCs w:val="20"/>
        </w:rPr>
        <w:t>各项指标得分最高不能超过该指标分值上限，原则上一级指标分值统一设置为：产出指标50分、效益指标30分、满意度指标10分、预算资金执行率10分。</w:t>
      </w:r>
    </w:p>
    <w:p w14:paraId="01B09C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00" w:firstLineChars="200"/>
        <w:jc w:val="left"/>
        <w:textAlignment w:val="baseline"/>
        <w:rPr>
          <w:rFonts w:hint="eastAsia" w:ascii="宋体" w:hAnsi="宋体" w:eastAsia="宋体" w:cs="宋体"/>
          <w:sz w:val="20"/>
          <w:szCs w:val="20"/>
        </w:rPr>
      </w:pPr>
      <w:r>
        <w:rPr>
          <w:rFonts w:hint="eastAsia" w:ascii="宋体" w:hAnsi="宋体" w:eastAsia="宋体" w:cs="宋体"/>
          <w:sz w:val="20"/>
          <w:szCs w:val="20"/>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汇总时以资金额度为权重，对分值加权平均计算。</w:t>
      </w:r>
    </w:p>
    <w:p w14:paraId="437F3C26">
      <w:pPr>
        <w:ind w:firstLine="432"/>
        <w:rPr>
          <w:rFonts w:ascii="宋体" w:hAnsi="宋体" w:eastAsia="宋体" w:cs="宋体"/>
          <w:spacing w:val="-2"/>
          <w:sz w:val="22"/>
          <w:szCs w:val="22"/>
        </w:rPr>
      </w:pPr>
    </w:p>
    <w:p w14:paraId="67CC199F">
      <w:pPr>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附件7</w:t>
      </w:r>
    </w:p>
    <w:p w14:paraId="6D288692">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6E5B8819">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3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4"/>
        <w:gridCol w:w="752"/>
        <w:gridCol w:w="832"/>
        <w:gridCol w:w="260"/>
        <w:gridCol w:w="1004"/>
        <w:gridCol w:w="193"/>
        <w:gridCol w:w="887"/>
        <w:gridCol w:w="819"/>
        <w:gridCol w:w="561"/>
        <w:gridCol w:w="71"/>
        <w:gridCol w:w="651"/>
        <w:gridCol w:w="79"/>
        <w:gridCol w:w="561"/>
        <w:gridCol w:w="1055"/>
      </w:tblGrid>
      <w:tr w14:paraId="34B70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6" w:hRule="atLeast"/>
        </w:trPr>
        <w:tc>
          <w:tcPr>
            <w:tcW w:w="1386" w:type="dxa"/>
            <w:gridSpan w:val="2"/>
            <w:noWrap w:val="0"/>
            <w:vAlign w:val="center"/>
          </w:tcPr>
          <w:p w14:paraId="3E3F963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6973" w:type="dxa"/>
            <w:gridSpan w:val="12"/>
            <w:noWrap w:val="0"/>
            <w:vAlign w:val="center"/>
          </w:tcPr>
          <w:p w14:paraId="311FD66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村卫生室运行补助经费</w:t>
            </w:r>
          </w:p>
        </w:tc>
      </w:tr>
      <w:tr w14:paraId="18FED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6" w:hRule="atLeast"/>
        </w:trPr>
        <w:tc>
          <w:tcPr>
            <w:tcW w:w="1386" w:type="dxa"/>
            <w:gridSpan w:val="2"/>
            <w:noWrap w:val="0"/>
            <w:vAlign w:val="center"/>
          </w:tcPr>
          <w:p w14:paraId="37870B7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176" w:type="dxa"/>
            <w:gridSpan w:val="5"/>
            <w:noWrap w:val="0"/>
            <w:vAlign w:val="center"/>
          </w:tcPr>
          <w:p w14:paraId="7C0B7FF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380" w:type="dxa"/>
            <w:gridSpan w:val="2"/>
            <w:noWrap w:val="0"/>
            <w:vAlign w:val="center"/>
          </w:tcPr>
          <w:p w14:paraId="5A7C3F7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17" w:type="dxa"/>
            <w:gridSpan w:val="5"/>
            <w:noWrap w:val="0"/>
            <w:vAlign w:val="center"/>
          </w:tcPr>
          <w:p w14:paraId="2A244A31">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各医疗机构</w:t>
            </w:r>
          </w:p>
        </w:tc>
      </w:tr>
      <w:tr w14:paraId="74919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1" w:hRule="atLeast"/>
        </w:trPr>
        <w:tc>
          <w:tcPr>
            <w:tcW w:w="1386" w:type="dxa"/>
            <w:gridSpan w:val="2"/>
            <w:vMerge w:val="restart"/>
            <w:noWrap w:val="0"/>
            <w:vAlign w:val="center"/>
          </w:tcPr>
          <w:p w14:paraId="55C3BB7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092" w:type="dxa"/>
            <w:gridSpan w:val="2"/>
            <w:noWrap w:val="0"/>
            <w:vAlign w:val="center"/>
          </w:tcPr>
          <w:p w14:paraId="50B63FFA">
            <w:pPr>
              <w:spacing w:line="240" w:lineRule="auto"/>
              <w:ind w:firstLine="0" w:firstLineChars="0"/>
              <w:jc w:val="center"/>
              <w:rPr>
                <w:rFonts w:hint="eastAsia" w:ascii="宋体" w:hAnsi="宋体" w:eastAsia="宋体" w:cs="宋体"/>
                <w:sz w:val="22"/>
                <w:szCs w:val="22"/>
              </w:rPr>
            </w:pPr>
          </w:p>
        </w:tc>
        <w:tc>
          <w:tcPr>
            <w:tcW w:w="1004" w:type="dxa"/>
            <w:noWrap w:val="0"/>
            <w:vAlign w:val="center"/>
          </w:tcPr>
          <w:p w14:paraId="725B926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80" w:type="dxa"/>
            <w:gridSpan w:val="2"/>
            <w:noWrap w:val="0"/>
            <w:vAlign w:val="center"/>
          </w:tcPr>
          <w:p w14:paraId="5450A89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380" w:type="dxa"/>
            <w:gridSpan w:val="2"/>
            <w:noWrap w:val="0"/>
            <w:vAlign w:val="center"/>
          </w:tcPr>
          <w:p w14:paraId="0A75A0F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22" w:type="dxa"/>
            <w:gridSpan w:val="2"/>
            <w:noWrap w:val="0"/>
            <w:vAlign w:val="center"/>
          </w:tcPr>
          <w:p w14:paraId="44D8AB0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40" w:type="dxa"/>
            <w:gridSpan w:val="2"/>
            <w:noWrap w:val="0"/>
            <w:vAlign w:val="center"/>
          </w:tcPr>
          <w:p w14:paraId="2FE8830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55" w:type="dxa"/>
            <w:noWrap w:val="0"/>
            <w:vAlign w:val="center"/>
          </w:tcPr>
          <w:p w14:paraId="555A9B9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5F0D0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4" w:hRule="atLeast"/>
        </w:trPr>
        <w:tc>
          <w:tcPr>
            <w:tcW w:w="1386" w:type="dxa"/>
            <w:gridSpan w:val="2"/>
            <w:vMerge w:val="continue"/>
            <w:noWrap w:val="0"/>
            <w:vAlign w:val="center"/>
          </w:tcPr>
          <w:p w14:paraId="46C85E8B">
            <w:pPr>
              <w:spacing w:line="240" w:lineRule="auto"/>
              <w:ind w:firstLine="0" w:firstLineChars="0"/>
              <w:jc w:val="center"/>
              <w:rPr>
                <w:rFonts w:hint="eastAsia" w:ascii="宋体" w:hAnsi="宋体" w:eastAsia="宋体" w:cs="宋体"/>
                <w:sz w:val="22"/>
                <w:szCs w:val="22"/>
              </w:rPr>
            </w:pPr>
          </w:p>
        </w:tc>
        <w:tc>
          <w:tcPr>
            <w:tcW w:w="1092" w:type="dxa"/>
            <w:gridSpan w:val="2"/>
            <w:noWrap w:val="0"/>
            <w:vAlign w:val="center"/>
          </w:tcPr>
          <w:p w14:paraId="48F91DE8">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1164A46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04" w:type="dxa"/>
            <w:noWrap w:val="0"/>
            <w:vAlign w:val="center"/>
          </w:tcPr>
          <w:p w14:paraId="117DA61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5.7</w:t>
            </w:r>
          </w:p>
        </w:tc>
        <w:tc>
          <w:tcPr>
            <w:tcW w:w="1080" w:type="dxa"/>
            <w:gridSpan w:val="2"/>
            <w:noWrap w:val="0"/>
            <w:vAlign w:val="center"/>
          </w:tcPr>
          <w:p w14:paraId="01447DFA">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5.7</w:t>
            </w:r>
          </w:p>
        </w:tc>
        <w:tc>
          <w:tcPr>
            <w:tcW w:w="1380" w:type="dxa"/>
            <w:gridSpan w:val="2"/>
            <w:noWrap w:val="0"/>
            <w:vAlign w:val="center"/>
          </w:tcPr>
          <w:p w14:paraId="559A79E9">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5.7</w:t>
            </w:r>
          </w:p>
        </w:tc>
        <w:tc>
          <w:tcPr>
            <w:tcW w:w="722" w:type="dxa"/>
            <w:gridSpan w:val="2"/>
            <w:noWrap w:val="0"/>
            <w:vAlign w:val="center"/>
          </w:tcPr>
          <w:p w14:paraId="358DEC7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40" w:type="dxa"/>
            <w:gridSpan w:val="2"/>
            <w:noWrap w:val="0"/>
            <w:vAlign w:val="center"/>
          </w:tcPr>
          <w:p w14:paraId="611EFDC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55" w:type="dxa"/>
            <w:noWrap w:val="0"/>
            <w:vAlign w:val="center"/>
          </w:tcPr>
          <w:p w14:paraId="5F0887B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7C1BC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4" w:hRule="atLeast"/>
        </w:trPr>
        <w:tc>
          <w:tcPr>
            <w:tcW w:w="1386" w:type="dxa"/>
            <w:gridSpan w:val="2"/>
            <w:vMerge w:val="continue"/>
            <w:noWrap w:val="0"/>
            <w:vAlign w:val="center"/>
          </w:tcPr>
          <w:p w14:paraId="7F519B05">
            <w:pPr>
              <w:spacing w:line="240" w:lineRule="auto"/>
              <w:ind w:firstLine="0" w:firstLineChars="0"/>
              <w:jc w:val="center"/>
              <w:rPr>
                <w:rFonts w:hint="eastAsia" w:ascii="宋体" w:hAnsi="宋体" w:eastAsia="宋体" w:cs="宋体"/>
                <w:sz w:val="22"/>
                <w:szCs w:val="22"/>
              </w:rPr>
            </w:pPr>
          </w:p>
        </w:tc>
        <w:tc>
          <w:tcPr>
            <w:tcW w:w="1092" w:type="dxa"/>
            <w:gridSpan w:val="2"/>
            <w:noWrap w:val="0"/>
            <w:vAlign w:val="center"/>
          </w:tcPr>
          <w:p w14:paraId="29B6825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04" w:type="dxa"/>
            <w:noWrap w:val="0"/>
            <w:vAlign w:val="center"/>
          </w:tcPr>
          <w:p w14:paraId="70F7DF6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5.7</w:t>
            </w:r>
          </w:p>
        </w:tc>
        <w:tc>
          <w:tcPr>
            <w:tcW w:w="1080" w:type="dxa"/>
            <w:gridSpan w:val="2"/>
            <w:noWrap w:val="0"/>
            <w:vAlign w:val="center"/>
          </w:tcPr>
          <w:p w14:paraId="01E76DC6">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5.7</w:t>
            </w:r>
          </w:p>
        </w:tc>
        <w:tc>
          <w:tcPr>
            <w:tcW w:w="1380" w:type="dxa"/>
            <w:gridSpan w:val="2"/>
            <w:noWrap w:val="0"/>
            <w:vAlign w:val="center"/>
          </w:tcPr>
          <w:p w14:paraId="5C07E0ED">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5.7</w:t>
            </w:r>
          </w:p>
        </w:tc>
        <w:tc>
          <w:tcPr>
            <w:tcW w:w="722" w:type="dxa"/>
            <w:gridSpan w:val="2"/>
            <w:noWrap w:val="0"/>
            <w:vAlign w:val="center"/>
          </w:tcPr>
          <w:p w14:paraId="1BBC900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0" w:type="dxa"/>
            <w:gridSpan w:val="2"/>
            <w:noWrap w:val="0"/>
            <w:vAlign w:val="center"/>
          </w:tcPr>
          <w:p w14:paraId="74FAB4C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55" w:type="dxa"/>
            <w:noWrap w:val="0"/>
            <w:vAlign w:val="center"/>
          </w:tcPr>
          <w:p w14:paraId="2FE64C5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0487E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4" w:hRule="atLeast"/>
        </w:trPr>
        <w:tc>
          <w:tcPr>
            <w:tcW w:w="1386" w:type="dxa"/>
            <w:gridSpan w:val="2"/>
            <w:vMerge w:val="continue"/>
            <w:noWrap w:val="0"/>
            <w:vAlign w:val="center"/>
          </w:tcPr>
          <w:p w14:paraId="741912DE">
            <w:pPr>
              <w:spacing w:line="240" w:lineRule="auto"/>
              <w:ind w:firstLine="0" w:firstLineChars="0"/>
              <w:jc w:val="center"/>
              <w:rPr>
                <w:rFonts w:hint="eastAsia" w:ascii="宋体" w:hAnsi="宋体" w:eastAsia="宋体" w:cs="宋体"/>
                <w:sz w:val="22"/>
                <w:szCs w:val="22"/>
              </w:rPr>
            </w:pPr>
          </w:p>
        </w:tc>
        <w:tc>
          <w:tcPr>
            <w:tcW w:w="1092" w:type="dxa"/>
            <w:gridSpan w:val="2"/>
            <w:noWrap w:val="0"/>
            <w:vAlign w:val="center"/>
          </w:tcPr>
          <w:p w14:paraId="2979CF2D">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66C6330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04" w:type="dxa"/>
            <w:noWrap w:val="0"/>
            <w:vAlign w:val="center"/>
          </w:tcPr>
          <w:p w14:paraId="6A9F141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0" w:type="dxa"/>
            <w:gridSpan w:val="2"/>
            <w:noWrap w:val="0"/>
            <w:vAlign w:val="center"/>
          </w:tcPr>
          <w:p w14:paraId="134C2179">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380" w:type="dxa"/>
            <w:gridSpan w:val="2"/>
            <w:noWrap w:val="0"/>
            <w:vAlign w:val="center"/>
          </w:tcPr>
          <w:p w14:paraId="65184E36">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22" w:type="dxa"/>
            <w:gridSpan w:val="2"/>
            <w:noWrap w:val="0"/>
            <w:vAlign w:val="center"/>
          </w:tcPr>
          <w:p w14:paraId="2D4CC18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0" w:type="dxa"/>
            <w:gridSpan w:val="2"/>
            <w:noWrap w:val="0"/>
            <w:vAlign w:val="center"/>
          </w:tcPr>
          <w:p w14:paraId="46653A42">
            <w:pPr>
              <w:spacing w:line="240" w:lineRule="auto"/>
              <w:ind w:firstLine="0" w:firstLineChars="0"/>
              <w:jc w:val="center"/>
              <w:rPr>
                <w:rFonts w:hint="eastAsia" w:ascii="宋体" w:hAnsi="宋体" w:eastAsia="宋体" w:cs="宋体"/>
                <w:sz w:val="22"/>
                <w:szCs w:val="22"/>
              </w:rPr>
            </w:pPr>
          </w:p>
        </w:tc>
        <w:tc>
          <w:tcPr>
            <w:tcW w:w="1055" w:type="dxa"/>
            <w:noWrap w:val="0"/>
            <w:vAlign w:val="center"/>
          </w:tcPr>
          <w:p w14:paraId="035B6D3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47EA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6" w:hRule="atLeast"/>
        </w:trPr>
        <w:tc>
          <w:tcPr>
            <w:tcW w:w="1386" w:type="dxa"/>
            <w:gridSpan w:val="2"/>
            <w:vMerge w:val="continue"/>
            <w:noWrap w:val="0"/>
            <w:vAlign w:val="center"/>
          </w:tcPr>
          <w:p w14:paraId="5F7E4FFF">
            <w:pPr>
              <w:spacing w:line="240" w:lineRule="auto"/>
              <w:ind w:firstLine="0" w:firstLineChars="0"/>
              <w:jc w:val="center"/>
              <w:rPr>
                <w:rFonts w:hint="eastAsia" w:ascii="宋体" w:hAnsi="宋体" w:eastAsia="宋体" w:cs="宋体"/>
                <w:sz w:val="22"/>
                <w:szCs w:val="22"/>
              </w:rPr>
            </w:pPr>
          </w:p>
        </w:tc>
        <w:tc>
          <w:tcPr>
            <w:tcW w:w="1092" w:type="dxa"/>
            <w:gridSpan w:val="2"/>
            <w:noWrap w:val="0"/>
            <w:vAlign w:val="center"/>
          </w:tcPr>
          <w:p w14:paraId="0DFEC45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04" w:type="dxa"/>
            <w:noWrap w:val="0"/>
            <w:vAlign w:val="center"/>
          </w:tcPr>
          <w:p w14:paraId="4EA88CC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0" w:type="dxa"/>
            <w:gridSpan w:val="2"/>
            <w:noWrap w:val="0"/>
            <w:vAlign w:val="center"/>
          </w:tcPr>
          <w:p w14:paraId="67C599B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380" w:type="dxa"/>
            <w:gridSpan w:val="2"/>
            <w:noWrap w:val="0"/>
            <w:vAlign w:val="center"/>
          </w:tcPr>
          <w:p w14:paraId="582FABA5">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22" w:type="dxa"/>
            <w:gridSpan w:val="2"/>
            <w:noWrap w:val="0"/>
            <w:vAlign w:val="center"/>
          </w:tcPr>
          <w:p w14:paraId="38371AB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0" w:type="dxa"/>
            <w:gridSpan w:val="2"/>
            <w:noWrap w:val="0"/>
            <w:vAlign w:val="center"/>
          </w:tcPr>
          <w:p w14:paraId="79BA31D1">
            <w:pPr>
              <w:spacing w:line="240" w:lineRule="auto"/>
              <w:ind w:firstLine="0" w:firstLineChars="0"/>
              <w:jc w:val="center"/>
              <w:rPr>
                <w:rFonts w:hint="eastAsia" w:ascii="宋体" w:hAnsi="宋体" w:eastAsia="宋体" w:cs="宋体"/>
                <w:sz w:val="22"/>
                <w:szCs w:val="22"/>
              </w:rPr>
            </w:pPr>
          </w:p>
        </w:tc>
        <w:tc>
          <w:tcPr>
            <w:tcW w:w="1055" w:type="dxa"/>
            <w:noWrap w:val="0"/>
            <w:vAlign w:val="center"/>
          </w:tcPr>
          <w:p w14:paraId="01F54C8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755AB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6" w:hRule="atLeast"/>
        </w:trPr>
        <w:tc>
          <w:tcPr>
            <w:tcW w:w="634" w:type="dxa"/>
            <w:vMerge w:val="restart"/>
            <w:noWrap w:val="0"/>
            <w:vAlign w:val="center"/>
          </w:tcPr>
          <w:p w14:paraId="44345BE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3928" w:type="dxa"/>
            <w:gridSpan w:val="6"/>
            <w:noWrap w:val="0"/>
            <w:vAlign w:val="center"/>
          </w:tcPr>
          <w:p w14:paraId="4FDD5B4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797" w:type="dxa"/>
            <w:gridSpan w:val="7"/>
            <w:noWrap w:val="0"/>
            <w:vAlign w:val="center"/>
          </w:tcPr>
          <w:p w14:paraId="6624700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6F08C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88" w:hRule="atLeast"/>
        </w:trPr>
        <w:tc>
          <w:tcPr>
            <w:tcW w:w="634" w:type="dxa"/>
            <w:vMerge w:val="continue"/>
            <w:noWrap w:val="0"/>
            <w:vAlign w:val="center"/>
          </w:tcPr>
          <w:p w14:paraId="0387A1BB">
            <w:pPr>
              <w:spacing w:line="240" w:lineRule="auto"/>
              <w:ind w:firstLine="0" w:firstLineChars="0"/>
              <w:jc w:val="center"/>
              <w:rPr>
                <w:rFonts w:hint="eastAsia" w:ascii="宋体" w:hAnsi="宋体" w:eastAsia="宋体" w:cs="宋体"/>
                <w:sz w:val="22"/>
                <w:szCs w:val="22"/>
              </w:rPr>
            </w:pPr>
          </w:p>
        </w:tc>
        <w:tc>
          <w:tcPr>
            <w:tcW w:w="3928" w:type="dxa"/>
            <w:gridSpan w:val="6"/>
            <w:noWrap w:val="0"/>
            <w:vAlign w:val="center"/>
          </w:tcPr>
          <w:p w14:paraId="2001807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稳定村医队伍，为离岗村医解决后顾之忧，提高基层医疗机构服务能力</w:t>
            </w:r>
          </w:p>
        </w:tc>
        <w:tc>
          <w:tcPr>
            <w:tcW w:w="3797" w:type="dxa"/>
            <w:gridSpan w:val="7"/>
            <w:noWrap w:val="0"/>
            <w:vAlign w:val="center"/>
          </w:tcPr>
          <w:p w14:paraId="58AEE52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每年为每个村卫生室提供不低于1000元的运行补助，解决村医取暖等实际问题。稳定村医队伍，为村医解决后顾之忧，提高基层医疗机构服务能力</w:t>
            </w:r>
          </w:p>
        </w:tc>
      </w:tr>
      <w:tr w14:paraId="1136D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4" w:hRule="atLeast"/>
        </w:trPr>
        <w:tc>
          <w:tcPr>
            <w:tcW w:w="634" w:type="dxa"/>
            <w:vMerge w:val="restart"/>
            <w:noWrap w:val="0"/>
            <w:vAlign w:val="center"/>
          </w:tcPr>
          <w:p w14:paraId="55E11541">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52" w:type="dxa"/>
            <w:noWrap w:val="0"/>
            <w:vAlign w:val="center"/>
          </w:tcPr>
          <w:p w14:paraId="6FF960BC">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360430C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2" w:type="dxa"/>
            <w:noWrap w:val="0"/>
            <w:vAlign w:val="center"/>
          </w:tcPr>
          <w:p w14:paraId="2F68AF1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700D917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7" w:type="dxa"/>
            <w:gridSpan w:val="3"/>
            <w:noWrap w:val="0"/>
            <w:vAlign w:val="center"/>
          </w:tcPr>
          <w:p w14:paraId="1B73C08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887" w:type="dxa"/>
            <w:noWrap w:val="0"/>
            <w:vAlign w:val="center"/>
          </w:tcPr>
          <w:p w14:paraId="294DB80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19" w:type="dxa"/>
            <w:noWrap w:val="0"/>
            <w:vAlign w:val="center"/>
          </w:tcPr>
          <w:p w14:paraId="38D93DB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32" w:type="dxa"/>
            <w:gridSpan w:val="2"/>
            <w:noWrap w:val="0"/>
            <w:vAlign w:val="center"/>
          </w:tcPr>
          <w:p w14:paraId="2857642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30" w:type="dxa"/>
            <w:gridSpan w:val="2"/>
            <w:noWrap w:val="0"/>
            <w:vAlign w:val="center"/>
          </w:tcPr>
          <w:p w14:paraId="07ECA75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16" w:type="dxa"/>
            <w:gridSpan w:val="2"/>
            <w:noWrap w:val="0"/>
            <w:vAlign w:val="center"/>
          </w:tcPr>
          <w:p w14:paraId="24C84C2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4DE55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9" w:hRule="atLeast"/>
        </w:trPr>
        <w:tc>
          <w:tcPr>
            <w:tcW w:w="634" w:type="dxa"/>
            <w:vMerge w:val="continue"/>
            <w:noWrap w:val="0"/>
            <w:textDirection w:val="tbRlV"/>
            <w:vAlign w:val="center"/>
          </w:tcPr>
          <w:p w14:paraId="63EC9562">
            <w:pPr>
              <w:spacing w:line="240" w:lineRule="auto"/>
              <w:ind w:left="113" w:right="113" w:firstLine="0" w:firstLineChars="0"/>
              <w:jc w:val="center"/>
              <w:rPr>
                <w:rFonts w:hint="eastAsia" w:ascii="宋体" w:hAnsi="宋体" w:eastAsia="宋体" w:cs="宋体"/>
                <w:sz w:val="22"/>
                <w:szCs w:val="22"/>
              </w:rPr>
            </w:pPr>
          </w:p>
        </w:tc>
        <w:tc>
          <w:tcPr>
            <w:tcW w:w="752" w:type="dxa"/>
            <w:vMerge w:val="restart"/>
            <w:noWrap w:val="0"/>
            <w:vAlign w:val="center"/>
          </w:tcPr>
          <w:p w14:paraId="484F7B1F">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059502D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2" w:type="dxa"/>
            <w:noWrap w:val="0"/>
            <w:vAlign w:val="center"/>
          </w:tcPr>
          <w:p w14:paraId="55785DF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5FE7171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7" w:type="dxa"/>
            <w:gridSpan w:val="3"/>
            <w:noWrap w:val="0"/>
            <w:vAlign w:val="center"/>
          </w:tcPr>
          <w:p w14:paraId="2BA4F922">
            <w:pPr>
              <w:keepNext w:val="0"/>
              <w:keepLines w:val="0"/>
              <w:widowControl/>
              <w:suppressLineNumbers w:val="0"/>
              <w:ind w:left="0" w:leftChars="0" w:firstLine="0" w:firstLineChars="0"/>
              <w:jc w:val="left"/>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为村卫生室提供运行补助</w:t>
            </w:r>
          </w:p>
        </w:tc>
        <w:tc>
          <w:tcPr>
            <w:tcW w:w="887" w:type="dxa"/>
            <w:noWrap w:val="0"/>
            <w:vAlign w:val="center"/>
          </w:tcPr>
          <w:p w14:paraId="584F1DAE">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≥57</w:t>
            </w:r>
          </w:p>
        </w:tc>
        <w:tc>
          <w:tcPr>
            <w:tcW w:w="819" w:type="dxa"/>
            <w:noWrap w:val="0"/>
            <w:vAlign w:val="center"/>
          </w:tcPr>
          <w:p w14:paraId="08299126">
            <w:pPr>
              <w:keepNext w:val="0"/>
              <w:keepLines w:val="0"/>
              <w:widowControl/>
              <w:suppressLineNumbers w:val="0"/>
              <w:ind w:firstLine="400" w:firstLineChars="200"/>
              <w:jc w:val="center"/>
              <w:textAlignment w:val="center"/>
              <w:rPr>
                <w:rFonts w:hint="default" w:ascii="宋体" w:hAnsi="宋体" w:eastAsia="宋体" w:cs="宋体"/>
                <w:sz w:val="22"/>
                <w:szCs w:val="22"/>
                <w:lang w:val="en-US" w:eastAsia="zh-CN"/>
              </w:rPr>
            </w:pPr>
            <w:r>
              <w:rPr>
                <w:rFonts w:hint="eastAsia" w:ascii="宋体" w:hAnsi="宋体" w:eastAsia="宋体" w:cs="宋体"/>
                <w:i w:val="0"/>
                <w:snapToGrid w:val="0"/>
                <w:color w:val="000000"/>
                <w:kern w:val="0"/>
                <w:sz w:val="20"/>
                <w:szCs w:val="20"/>
                <w:u w:val="none"/>
                <w:lang w:val="en-US" w:eastAsia="zh-CN" w:bidi="ar"/>
              </w:rPr>
              <w:t>57</w:t>
            </w:r>
          </w:p>
        </w:tc>
        <w:tc>
          <w:tcPr>
            <w:tcW w:w="632" w:type="dxa"/>
            <w:gridSpan w:val="2"/>
            <w:noWrap w:val="0"/>
            <w:vAlign w:val="center"/>
          </w:tcPr>
          <w:p w14:paraId="2F9AD02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0" w:type="dxa"/>
            <w:gridSpan w:val="2"/>
            <w:noWrap w:val="0"/>
            <w:vAlign w:val="center"/>
          </w:tcPr>
          <w:p w14:paraId="22AE7164">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16" w:type="dxa"/>
            <w:gridSpan w:val="2"/>
            <w:noWrap w:val="0"/>
            <w:vAlign w:val="center"/>
          </w:tcPr>
          <w:p w14:paraId="39C108D5">
            <w:pPr>
              <w:spacing w:line="240" w:lineRule="auto"/>
              <w:ind w:firstLine="0" w:firstLineChars="0"/>
              <w:jc w:val="center"/>
              <w:rPr>
                <w:rFonts w:hint="eastAsia" w:ascii="宋体" w:hAnsi="宋体" w:eastAsia="宋体" w:cs="宋体"/>
                <w:sz w:val="22"/>
                <w:szCs w:val="22"/>
              </w:rPr>
            </w:pPr>
          </w:p>
        </w:tc>
      </w:tr>
      <w:tr w14:paraId="201A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9" w:hRule="atLeast"/>
        </w:trPr>
        <w:tc>
          <w:tcPr>
            <w:tcW w:w="634" w:type="dxa"/>
            <w:vMerge w:val="continue"/>
            <w:noWrap w:val="0"/>
            <w:vAlign w:val="center"/>
          </w:tcPr>
          <w:p w14:paraId="05674C1D">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247AD993">
            <w:pPr>
              <w:spacing w:line="240" w:lineRule="auto"/>
              <w:ind w:firstLine="0" w:firstLineChars="0"/>
              <w:jc w:val="center"/>
              <w:rPr>
                <w:rFonts w:hint="eastAsia" w:ascii="宋体" w:hAnsi="宋体" w:eastAsia="宋体" w:cs="宋体"/>
                <w:sz w:val="22"/>
                <w:szCs w:val="22"/>
              </w:rPr>
            </w:pPr>
          </w:p>
        </w:tc>
        <w:tc>
          <w:tcPr>
            <w:tcW w:w="832" w:type="dxa"/>
            <w:noWrap w:val="0"/>
            <w:vAlign w:val="center"/>
          </w:tcPr>
          <w:p w14:paraId="531AEDAF">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68697F3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7" w:type="dxa"/>
            <w:gridSpan w:val="3"/>
            <w:noWrap w:val="0"/>
            <w:vAlign w:val="center"/>
          </w:tcPr>
          <w:p w14:paraId="713692D4">
            <w:pPr>
              <w:keepNext w:val="0"/>
              <w:keepLines w:val="0"/>
              <w:widowControl/>
              <w:suppressLineNumbers w:val="0"/>
              <w:ind w:left="0" w:leftChars="0" w:firstLine="0" w:firstLineChars="0"/>
              <w:jc w:val="left"/>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保证村卫生室冬季取暖</w:t>
            </w:r>
          </w:p>
        </w:tc>
        <w:tc>
          <w:tcPr>
            <w:tcW w:w="887" w:type="dxa"/>
            <w:noWrap w:val="0"/>
            <w:vAlign w:val="center"/>
          </w:tcPr>
          <w:p w14:paraId="0149B90B">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100%</w:t>
            </w:r>
          </w:p>
        </w:tc>
        <w:tc>
          <w:tcPr>
            <w:tcW w:w="819" w:type="dxa"/>
            <w:noWrap w:val="0"/>
            <w:vAlign w:val="center"/>
          </w:tcPr>
          <w:p w14:paraId="1DEC2225">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100%</w:t>
            </w:r>
          </w:p>
        </w:tc>
        <w:tc>
          <w:tcPr>
            <w:tcW w:w="632" w:type="dxa"/>
            <w:gridSpan w:val="2"/>
            <w:noWrap w:val="0"/>
            <w:vAlign w:val="center"/>
          </w:tcPr>
          <w:p w14:paraId="12F69C9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0" w:type="dxa"/>
            <w:gridSpan w:val="2"/>
            <w:noWrap w:val="0"/>
            <w:vAlign w:val="center"/>
          </w:tcPr>
          <w:p w14:paraId="6BBEA9EB">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16" w:type="dxa"/>
            <w:gridSpan w:val="2"/>
            <w:noWrap w:val="0"/>
            <w:vAlign w:val="center"/>
          </w:tcPr>
          <w:p w14:paraId="611A98A1">
            <w:pPr>
              <w:spacing w:line="240" w:lineRule="auto"/>
              <w:ind w:firstLine="0" w:firstLineChars="0"/>
              <w:jc w:val="center"/>
              <w:rPr>
                <w:rFonts w:hint="eastAsia" w:ascii="宋体" w:hAnsi="宋体" w:eastAsia="宋体" w:cs="宋体"/>
                <w:sz w:val="22"/>
                <w:szCs w:val="22"/>
              </w:rPr>
            </w:pPr>
          </w:p>
        </w:tc>
      </w:tr>
      <w:tr w14:paraId="58368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9" w:hRule="atLeast"/>
        </w:trPr>
        <w:tc>
          <w:tcPr>
            <w:tcW w:w="634" w:type="dxa"/>
            <w:vMerge w:val="continue"/>
            <w:noWrap w:val="0"/>
            <w:vAlign w:val="center"/>
          </w:tcPr>
          <w:p w14:paraId="33540F37">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4F5EAB8D">
            <w:pPr>
              <w:spacing w:line="240" w:lineRule="auto"/>
              <w:ind w:firstLine="0" w:firstLineChars="0"/>
              <w:jc w:val="center"/>
              <w:rPr>
                <w:rFonts w:hint="eastAsia" w:ascii="宋体" w:hAnsi="宋体" w:eastAsia="宋体" w:cs="宋体"/>
                <w:sz w:val="22"/>
                <w:szCs w:val="22"/>
              </w:rPr>
            </w:pPr>
          </w:p>
        </w:tc>
        <w:tc>
          <w:tcPr>
            <w:tcW w:w="832" w:type="dxa"/>
            <w:noWrap w:val="0"/>
            <w:vAlign w:val="center"/>
          </w:tcPr>
          <w:p w14:paraId="6898DC23">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2844E71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457" w:type="dxa"/>
            <w:gridSpan w:val="3"/>
            <w:noWrap w:val="0"/>
            <w:vAlign w:val="center"/>
          </w:tcPr>
          <w:p w14:paraId="43E14817">
            <w:pPr>
              <w:keepNext w:val="0"/>
              <w:keepLines w:val="0"/>
              <w:widowControl/>
              <w:suppressLineNumbers w:val="0"/>
              <w:ind w:left="0" w:leftChars="0" w:firstLine="0" w:firstLineChars="0"/>
              <w:jc w:val="left"/>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运行补助到位及时率</w:t>
            </w:r>
          </w:p>
        </w:tc>
        <w:tc>
          <w:tcPr>
            <w:tcW w:w="887" w:type="dxa"/>
            <w:noWrap w:val="0"/>
            <w:vAlign w:val="center"/>
          </w:tcPr>
          <w:p w14:paraId="1FE52612">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100%</w:t>
            </w:r>
          </w:p>
        </w:tc>
        <w:tc>
          <w:tcPr>
            <w:tcW w:w="819" w:type="dxa"/>
            <w:noWrap w:val="0"/>
            <w:vAlign w:val="center"/>
          </w:tcPr>
          <w:p w14:paraId="5F0CF81E">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100%</w:t>
            </w:r>
          </w:p>
        </w:tc>
        <w:tc>
          <w:tcPr>
            <w:tcW w:w="632" w:type="dxa"/>
            <w:gridSpan w:val="2"/>
            <w:noWrap w:val="0"/>
            <w:vAlign w:val="center"/>
          </w:tcPr>
          <w:p w14:paraId="7DC633B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0" w:type="dxa"/>
            <w:gridSpan w:val="2"/>
            <w:noWrap w:val="0"/>
            <w:vAlign w:val="center"/>
          </w:tcPr>
          <w:p w14:paraId="76249AB2">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16" w:type="dxa"/>
            <w:gridSpan w:val="2"/>
            <w:noWrap w:val="0"/>
            <w:vAlign w:val="center"/>
          </w:tcPr>
          <w:p w14:paraId="08FCCE34">
            <w:pPr>
              <w:spacing w:line="240" w:lineRule="auto"/>
              <w:ind w:firstLine="0" w:firstLineChars="0"/>
              <w:jc w:val="center"/>
              <w:rPr>
                <w:rFonts w:hint="eastAsia" w:ascii="宋体" w:hAnsi="宋体" w:eastAsia="宋体" w:cs="宋体"/>
                <w:sz w:val="22"/>
                <w:szCs w:val="22"/>
              </w:rPr>
            </w:pPr>
          </w:p>
        </w:tc>
      </w:tr>
      <w:tr w14:paraId="7644A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1" w:hRule="atLeast"/>
        </w:trPr>
        <w:tc>
          <w:tcPr>
            <w:tcW w:w="634" w:type="dxa"/>
            <w:vMerge w:val="continue"/>
            <w:noWrap w:val="0"/>
            <w:textDirection w:val="tbRlV"/>
            <w:vAlign w:val="center"/>
          </w:tcPr>
          <w:p w14:paraId="704A0522">
            <w:pPr>
              <w:spacing w:line="240" w:lineRule="auto"/>
              <w:ind w:firstLine="0" w:firstLineChars="0"/>
              <w:jc w:val="center"/>
              <w:rPr>
                <w:rFonts w:hint="eastAsia" w:ascii="宋体" w:hAnsi="宋体" w:eastAsia="宋体" w:cs="宋体"/>
                <w:sz w:val="22"/>
                <w:szCs w:val="22"/>
              </w:rPr>
            </w:pPr>
          </w:p>
        </w:tc>
        <w:tc>
          <w:tcPr>
            <w:tcW w:w="752" w:type="dxa"/>
            <w:vMerge w:val="restart"/>
            <w:noWrap w:val="0"/>
            <w:vAlign w:val="center"/>
          </w:tcPr>
          <w:p w14:paraId="1FC6C60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19FC4E4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2" w:type="dxa"/>
            <w:noWrap w:val="0"/>
            <w:vAlign w:val="center"/>
          </w:tcPr>
          <w:p w14:paraId="38CFA15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457" w:type="dxa"/>
            <w:gridSpan w:val="3"/>
            <w:noWrap w:val="0"/>
            <w:vAlign w:val="center"/>
          </w:tcPr>
          <w:p w14:paraId="2856AF5D">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保障基层医疗服务</w:t>
            </w:r>
          </w:p>
        </w:tc>
        <w:tc>
          <w:tcPr>
            <w:tcW w:w="887" w:type="dxa"/>
            <w:noWrap w:val="0"/>
            <w:vAlign w:val="center"/>
          </w:tcPr>
          <w:p w14:paraId="67B9F49A">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中长期</w:t>
            </w:r>
          </w:p>
        </w:tc>
        <w:tc>
          <w:tcPr>
            <w:tcW w:w="819" w:type="dxa"/>
            <w:noWrap w:val="0"/>
            <w:vAlign w:val="center"/>
          </w:tcPr>
          <w:p w14:paraId="0DC023CE">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中长期</w:t>
            </w:r>
          </w:p>
        </w:tc>
        <w:tc>
          <w:tcPr>
            <w:tcW w:w="632" w:type="dxa"/>
            <w:gridSpan w:val="2"/>
            <w:noWrap w:val="0"/>
            <w:vAlign w:val="center"/>
          </w:tcPr>
          <w:p w14:paraId="6CD2ADD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0" w:type="dxa"/>
            <w:gridSpan w:val="2"/>
            <w:noWrap w:val="0"/>
            <w:vAlign w:val="center"/>
          </w:tcPr>
          <w:p w14:paraId="1C841423">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16" w:type="dxa"/>
            <w:gridSpan w:val="2"/>
            <w:noWrap w:val="0"/>
            <w:vAlign w:val="center"/>
          </w:tcPr>
          <w:p w14:paraId="440C4AFF">
            <w:pPr>
              <w:spacing w:line="240" w:lineRule="auto"/>
              <w:ind w:firstLine="0" w:firstLineChars="0"/>
              <w:jc w:val="center"/>
              <w:rPr>
                <w:rFonts w:hint="eastAsia" w:ascii="宋体" w:hAnsi="宋体" w:eastAsia="宋体" w:cs="宋体"/>
                <w:sz w:val="22"/>
                <w:szCs w:val="22"/>
              </w:rPr>
            </w:pPr>
          </w:p>
        </w:tc>
      </w:tr>
      <w:tr w14:paraId="12E6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9" w:hRule="atLeast"/>
        </w:trPr>
        <w:tc>
          <w:tcPr>
            <w:tcW w:w="634" w:type="dxa"/>
            <w:vMerge w:val="continue"/>
            <w:noWrap w:val="0"/>
            <w:textDirection w:val="tbRlV"/>
            <w:vAlign w:val="center"/>
          </w:tcPr>
          <w:p w14:paraId="377BF563">
            <w:pPr>
              <w:spacing w:line="240" w:lineRule="auto"/>
              <w:ind w:firstLine="0" w:firstLineChars="0"/>
              <w:jc w:val="center"/>
              <w:rPr>
                <w:rFonts w:hint="eastAsia" w:ascii="宋体" w:hAnsi="宋体" w:eastAsia="宋体" w:cs="宋体"/>
                <w:sz w:val="22"/>
                <w:szCs w:val="22"/>
              </w:rPr>
            </w:pPr>
          </w:p>
        </w:tc>
        <w:tc>
          <w:tcPr>
            <w:tcW w:w="752" w:type="dxa"/>
            <w:vMerge w:val="continue"/>
            <w:noWrap w:val="0"/>
            <w:vAlign w:val="center"/>
          </w:tcPr>
          <w:p w14:paraId="5DC7BEBD">
            <w:pPr>
              <w:spacing w:line="240" w:lineRule="auto"/>
              <w:ind w:firstLine="0" w:firstLineChars="0"/>
              <w:jc w:val="center"/>
              <w:rPr>
                <w:rFonts w:hint="eastAsia" w:ascii="宋体" w:hAnsi="宋体" w:eastAsia="宋体" w:cs="宋体"/>
                <w:sz w:val="22"/>
                <w:szCs w:val="22"/>
              </w:rPr>
            </w:pPr>
          </w:p>
        </w:tc>
        <w:tc>
          <w:tcPr>
            <w:tcW w:w="832" w:type="dxa"/>
            <w:noWrap w:val="0"/>
            <w:vAlign w:val="center"/>
          </w:tcPr>
          <w:p w14:paraId="6FF5FCD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457" w:type="dxa"/>
            <w:gridSpan w:val="3"/>
            <w:noWrap w:val="0"/>
            <w:vAlign w:val="center"/>
          </w:tcPr>
          <w:p w14:paraId="03892CE5">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村医队伍稳定、服务能力的提升</w:t>
            </w:r>
          </w:p>
        </w:tc>
        <w:tc>
          <w:tcPr>
            <w:tcW w:w="887" w:type="dxa"/>
            <w:noWrap w:val="0"/>
            <w:vAlign w:val="center"/>
          </w:tcPr>
          <w:p w14:paraId="20D29FB8">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中长期</w:t>
            </w:r>
          </w:p>
        </w:tc>
        <w:tc>
          <w:tcPr>
            <w:tcW w:w="819" w:type="dxa"/>
            <w:noWrap w:val="0"/>
            <w:vAlign w:val="center"/>
          </w:tcPr>
          <w:p w14:paraId="7D84C327">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中长期</w:t>
            </w:r>
          </w:p>
        </w:tc>
        <w:tc>
          <w:tcPr>
            <w:tcW w:w="632" w:type="dxa"/>
            <w:gridSpan w:val="2"/>
            <w:noWrap w:val="0"/>
            <w:vAlign w:val="center"/>
          </w:tcPr>
          <w:p w14:paraId="0E6483B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0" w:type="dxa"/>
            <w:gridSpan w:val="2"/>
            <w:noWrap w:val="0"/>
            <w:vAlign w:val="center"/>
          </w:tcPr>
          <w:p w14:paraId="5B7D2B2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1616" w:type="dxa"/>
            <w:gridSpan w:val="2"/>
            <w:noWrap w:val="0"/>
            <w:vAlign w:val="center"/>
          </w:tcPr>
          <w:p w14:paraId="2CC4CB5D">
            <w:pPr>
              <w:spacing w:line="240" w:lineRule="auto"/>
              <w:ind w:firstLine="0" w:firstLineChars="0"/>
              <w:jc w:val="center"/>
              <w:rPr>
                <w:rFonts w:hint="eastAsia" w:ascii="宋体" w:hAnsi="宋体" w:eastAsia="宋体" w:cs="宋体"/>
                <w:sz w:val="22"/>
                <w:szCs w:val="22"/>
              </w:rPr>
            </w:pPr>
          </w:p>
        </w:tc>
      </w:tr>
      <w:tr w14:paraId="4DDDA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2" w:hRule="atLeast"/>
        </w:trPr>
        <w:tc>
          <w:tcPr>
            <w:tcW w:w="634" w:type="dxa"/>
            <w:vMerge w:val="continue"/>
            <w:noWrap w:val="0"/>
            <w:vAlign w:val="center"/>
          </w:tcPr>
          <w:p w14:paraId="5F9238EE">
            <w:pPr>
              <w:spacing w:line="240" w:lineRule="auto"/>
              <w:ind w:firstLine="0" w:firstLineChars="0"/>
              <w:jc w:val="center"/>
              <w:rPr>
                <w:rFonts w:hint="eastAsia" w:ascii="宋体" w:hAnsi="宋体" w:eastAsia="宋体" w:cs="宋体"/>
                <w:sz w:val="22"/>
                <w:szCs w:val="22"/>
              </w:rPr>
            </w:pPr>
          </w:p>
        </w:tc>
        <w:tc>
          <w:tcPr>
            <w:tcW w:w="752" w:type="dxa"/>
            <w:noWrap w:val="0"/>
            <w:vAlign w:val="center"/>
          </w:tcPr>
          <w:p w14:paraId="2FD3B59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32" w:type="dxa"/>
            <w:noWrap w:val="0"/>
            <w:vAlign w:val="center"/>
          </w:tcPr>
          <w:p w14:paraId="7A65669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457" w:type="dxa"/>
            <w:gridSpan w:val="3"/>
            <w:noWrap w:val="0"/>
            <w:vAlign w:val="center"/>
          </w:tcPr>
          <w:p w14:paraId="7323228E">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村医满意度</w:t>
            </w:r>
          </w:p>
        </w:tc>
        <w:tc>
          <w:tcPr>
            <w:tcW w:w="887" w:type="dxa"/>
            <w:noWrap w:val="0"/>
            <w:vAlign w:val="center"/>
          </w:tcPr>
          <w:p w14:paraId="0FA4850B">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≥90%</w:t>
            </w:r>
          </w:p>
        </w:tc>
        <w:tc>
          <w:tcPr>
            <w:tcW w:w="819" w:type="dxa"/>
            <w:noWrap w:val="0"/>
            <w:vAlign w:val="center"/>
          </w:tcPr>
          <w:p w14:paraId="0488582D">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≥90%</w:t>
            </w:r>
          </w:p>
        </w:tc>
        <w:tc>
          <w:tcPr>
            <w:tcW w:w="632" w:type="dxa"/>
            <w:gridSpan w:val="2"/>
            <w:noWrap w:val="0"/>
            <w:vAlign w:val="center"/>
          </w:tcPr>
          <w:p w14:paraId="69D9320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0" w:type="dxa"/>
            <w:gridSpan w:val="2"/>
            <w:noWrap w:val="0"/>
            <w:vAlign w:val="center"/>
          </w:tcPr>
          <w:p w14:paraId="3E73098C">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16" w:type="dxa"/>
            <w:gridSpan w:val="2"/>
            <w:noWrap w:val="0"/>
            <w:vAlign w:val="center"/>
          </w:tcPr>
          <w:p w14:paraId="0842B783">
            <w:pPr>
              <w:spacing w:line="240" w:lineRule="auto"/>
              <w:ind w:firstLine="0" w:firstLineChars="0"/>
              <w:jc w:val="center"/>
              <w:rPr>
                <w:rFonts w:hint="eastAsia" w:ascii="宋体" w:hAnsi="宋体" w:eastAsia="宋体" w:cs="宋体"/>
                <w:sz w:val="22"/>
                <w:szCs w:val="22"/>
              </w:rPr>
            </w:pPr>
          </w:p>
        </w:tc>
      </w:tr>
      <w:tr w14:paraId="088D9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6" w:hRule="atLeast"/>
        </w:trPr>
        <w:tc>
          <w:tcPr>
            <w:tcW w:w="5381" w:type="dxa"/>
            <w:gridSpan w:val="8"/>
            <w:noWrap w:val="0"/>
            <w:vAlign w:val="center"/>
          </w:tcPr>
          <w:p w14:paraId="0EFED84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32" w:type="dxa"/>
            <w:gridSpan w:val="2"/>
            <w:noWrap w:val="0"/>
            <w:vAlign w:val="center"/>
          </w:tcPr>
          <w:p w14:paraId="4B9705D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30" w:type="dxa"/>
            <w:gridSpan w:val="2"/>
            <w:noWrap w:val="0"/>
            <w:vAlign w:val="center"/>
          </w:tcPr>
          <w:p w14:paraId="391A9D7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616" w:type="dxa"/>
            <w:gridSpan w:val="2"/>
            <w:noWrap w:val="0"/>
            <w:vAlign w:val="center"/>
          </w:tcPr>
          <w:p w14:paraId="45A999DD">
            <w:pPr>
              <w:spacing w:line="240" w:lineRule="auto"/>
              <w:ind w:firstLine="0" w:firstLineChars="0"/>
              <w:jc w:val="center"/>
              <w:rPr>
                <w:rFonts w:hint="eastAsia" w:ascii="宋体" w:hAnsi="宋体" w:eastAsia="宋体" w:cs="宋体"/>
                <w:sz w:val="22"/>
                <w:szCs w:val="22"/>
              </w:rPr>
            </w:pPr>
          </w:p>
        </w:tc>
      </w:tr>
      <w:tr w14:paraId="62CA6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1" w:hRule="atLeast"/>
        </w:trPr>
        <w:tc>
          <w:tcPr>
            <w:tcW w:w="634" w:type="dxa"/>
            <w:noWrap w:val="0"/>
            <w:vAlign w:val="center"/>
          </w:tcPr>
          <w:p w14:paraId="2C21B10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725" w:type="dxa"/>
            <w:gridSpan w:val="13"/>
            <w:noWrap w:val="0"/>
            <w:vAlign w:val="center"/>
          </w:tcPr>
          <w:p w14:paraId="2019C84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无。</w:t>
            </w:r>
          </w:p>
        </w:tc>
      </w:tr>
    </w:tbl>
    <w:p w14:paraId="5E5B4DD9">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2E67A772">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223C86C3">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09E74673">
      <w:pPr>
        <w:spacing w:before="111" w:line="560" w:lineRule="exact"/>
        <w:ind w:firstLine="0" w:firstLineChars="0"/>
        <w:outlineLvl w:val="1"/>
        <w:rPr>
          <w:rFonts w:ascii="宋体" w:hAnsi="宋体" w:eastAsia="宋体" w:cs="宋体"/>
          <w:b/>
          <w:bCs/>
          <w:lang w:val="en-US" w:eastAsia="zh-CN"/>
        </w:rPr>
      </w:pPr>
      <w:r>
        <w:rPr>
          <w:rFonts w:hint="eastAsia" w:ascii="宋体" w:hAnsi="宋体" w:eastAsia="宋体" w:cs="宋体"/>
          <w:b/>
          <w:bCs/>
          <w:lang w:val="en-US" w:eastAsia="zh-CN"/>
        </w:rPr>
        <w:t>附件8</w:t>
      </w:r>
    </w:p>
    <w:p w14:paraId="46A9B90F">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7688F134">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4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2"/>
        <w:gridCol w:w="761"/>
        <w:gridCol w:w="842"/>
        <w:gridCol w:w="264"/>
        <w:gridCol w:w="1016"/>
        <w:gridCol w:w="195"/>
        <w:gridCol w:w="897"/>
        <w:gridCol w:w="829"/>
        <w:gridCol w:w="569"/>
        <w:gridCol w:w="71"/>
        <w:gridCol w:w="660"/>
        <w:gridCol w:w="79"/>
        <w:gridCol w:w="569"/>
        <w:gridCol w:w="1065"/>
      </w:tblGrid>
      <w:tr w14:paraId="0A59C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1403" w:type="dxa"/>
            <w:gridSpan w:val="2"/>
            <w:noWrap w:val="0"/>
            <w:vAlign w:val="center"/>
          </w:tcPr>
          <w:p w14:paraId="02556D9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056" w:type="dxa"/>
            <w:gridSpan w:val="12"/>
            <w:noWrap w:val="0"/>
            <w:vAlign w:val="center"/>
          </w:tcPr>
          <w:p w14:paraId="141FC9F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村医养老保险补助及离岗村医养老补助</w:t>
            </w:r>
          </w:p>
        </w:tc>
      </w:tr>
      <w:tr w14:paraId="30D8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1403" w:type="dxa"/>
            <w:gridSpan w:val="2"/>
            <w:noWrap w:val="0"/>
            <w:vAlign w:val="center"/>
          </w:tcPr>
          <w:p w14:paraId="3CA6720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214" w:type="dxa"/>
            <w:gridSpan w:val="5"/>
            <w:noWrap w:val="0"/>
            <w:vAlign w:val="center"/>
          </w:tcPr>
          <w:p w14:paraId="0AE149C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398" w:type="dxa"/>
            <w:gridSpan w:val="2"/>
            <w:noWrap w:val="0"/>
            <w:vAlign w:val="center"/>
          </w:tcPr>
          <w:p w14:paraId="075BFB4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44" w:type="dxa"/>
            <w:gridSpan w:val="5"/>
            <w:noWrap w:val="0"/>
            <w:vAlign w:val="center"/>
          </w:tcPr>
          <w:p w14:paraId="6ED86435">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各医疗机构</w:t>
            </w:r>
          </w:p>
        </w:tc>
      </w:tr>
      <w:tr w14:paraId="54C6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6" w:hRule="atLeast"/>
        </w:trPr>
        <w:tc>
          <w:tcPr>
            <w:tcW w:w="1403" w:type="dxa"/>
            <w:gridSpan w:val="2"/>
            <w:vMerge w:val="restart"/>
            <w:noWrap w:val="0"/>
            <w:vAlign w:val="center"/>
          </w:tcPr>
          <w:p w14:paraId="7FA710E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06" w:type="dxa"/>
            <w:gridSpan w:val="2"/>
            <w:noWrap w:val="0"/>
            <w:vAlign w:val="center"/>
          </w:tcPr>
          <w:p w14:paraId="7EB6D0D6">
            <w:pPr>
              <w:spacing w:line="240" w:lineRule="auto"/>
              <w:ind w:firstLine="0" w:firstLineChars="0"/>
              <w:jc w:val="center"/>
              <w:rPr>
                <w:rFonts w:hint="eastAsia" w:ascii="宋体" w:hAnsi="宋体" w:eastAsia="宋体" w:cs="宋体"/>
                <w:sz w:val="22"/>
                <w:szCs w:val="22"/>
              </w:rPr>
            </w:pPr>
          </w:p>
        </w:tc>
        <w:tc>
          <w:tcPr>
            <w:tcW w:w="1016" w:type="dxa"/>
            <w:noWrap w:val="0"/>
            <w:vAlign w:val="center"/>
          </w:tcPr>
          <w:p w14:paraId="5C91C04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92" w:type="dxa"/>
            <w:gridSpan w:val="2"/>
            <w:noWrap w:val="0"/>
            <w:vAlign w:val="center"/>
          </w:tcPr>
          <w:p w14:paraId="3AED763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398" w:type="dxa"/>
            <w:gridSpan w:val="2"/>
            <w:noWrap w:val="0"/>
            <w:vAlign w:val="center"/>
          </w:tcPr>
          <w:p w14:paraId="087FC7A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31" w:type="dxa"/>
            <w:gridSpan w:val="2"/>
            <w:noWrap w:val="0"/>
            <w:vAlign w:val="center"/>
          </w:tcPr>
          <w:p w14:paraId="6F9940E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48" w:type="dxa"/>
            <w:gridSpan w:val="2"/>
            <w:noWrap w:val="0"/>
            <w:vAlign w:val="center"/>
          </w:tcPr>
          <w:p w14:paraId="5304299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65" w:type="dxa"/>
            <w:noWrap w:val="0"/>
            <w:vAlign w:val="center"/>
          </w:tcPr>
          <w:p w14:paraId="7AE7D25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45A39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trPr>
        <w:tc>
          <w:tcPr>
            <w:tcW w:w="1403" w:type="dxa"/>
            <w:gridSpan w:val="2"/>
            <w:vMerge w:val="continue"/>
            <w:noWrap w:val="0"/>
            <w:vAlign w:val="center"/>
          </w:tcPr>
          <w:p w14:paraId="78B32E5B">
            <w:pPr>
              <w:spacing w:line="240" w:lineRule="auto"/>
              <w:ind w:firstLine="0" w:firstLineChars="0"/>
              <w:jc w:val="center"/>
              <w:rPr>
                <w:rFonts w:hint="eastAsia" w:ascii="宋体" w:hAnsi="宋体" w:eastAsia="宋体" w:cs="宋体"/>
                <w:sz w:val="22"/>
                <w:szCs w:val="22"/>
              </w:rPr>
            </w:pPr>
          </w:p>
        </w:tc>
        <w:tc>
          <w:tcPr>
            <w:tcW w:w="1106" w:type="dxa"/>
            <w:gridSpan w:val="2"/>
            <w:noWrap w:val="0"/>
            <w:vAlign w:val="center"/>
          </w:tcPr>
          <w:p w14:paraId="21824050">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2567568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16" w:type="dxa"/>
            <w:noWrap w:val="0"/>
            <w:vAlign w:val="center"/>
          </w:tcPr>
          <w:p w14:paraId="771C4E3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140</w:t>
            </w:r>
          </w:p>
        </w:tc>
        <w:tc>
          <w:tcPr>
            <w:tcW w:w="1092" w:type="dxa"/>
            <w:gridSpan w:val="2"/>
            <w:noWrap w:val="0"/>
            <w:vAlign w:val="center"/>
          </w:tcPr>
          <w:p w14:paraId="37D55AAA">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117</w:t>
            </w:r>
          </w:p>
        </w:tc>
        <w:tc>
          <w:tcPr>
            <w:tcW w:w="1398" w:type="dxa"/>
            <w:gridSpan w:val="2"/>
            <w:noWrap w:val="0"/>
            <w:vAlign w:val="center"/>
          </w:tcPr>
          <w:p w14:paraId="529B34D2">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116.7789</w:t>
            </w:r>
          </w:p>
        </w:tc>
        <w:tc>
          <w:tcPr>
            <w:tcW w:w="731" w:type="dxa"/>
            <w:gridSpan w:val="2"/>
            <w:noWrap w:val="0"/>
            <w:vAlign w:val="center"/>
          </w:tcPr>
          <w:p w14:paraId="7E9408C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48" w:type="dxa"/>
            <w:gridSpan w:val="2"/>
            <w:noWrap w:val="0"/>
            <w:vAlign w:val="center"/>
          </w:tcPr>
          <w:p w14:paraId="13D7A90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65" w:type="dxa"/>
            <w:noWrap w:val="0"/>
            <w:vAlign w:val="center"/>
          </w:tcPr>
          <w:p w14:paraId="133F1BC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32AD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trPr>
        <w:tc>
          <w:tcPr>
            <w:tcW w:w="1403" w:type="dxa"/>
            <w:gridSpan w:val="2"/>
            <w:vMerge w:val="continue"/>
            <w:noWrap w:val="0"/>
            <w:vAlign w:val="center"/>
          </w:tcPr>
          <w:p w14:paraId="3F7F6264">
            <w:pPr>
              <w:spacing w:line="240" w:lineRule="auto"/>
              <w:ind w:firstLine="0" w:firstLineChars="0"/>
              <w:jc w:val="center"/>
              <w:rPr>
                <w:rFonts w:hint="eastAsia" w:ascii="宋体" w:hAnsi="宋体" w:eastAsia="宋体" w:cs="宋体"/>
                <w:sz w:val="22"/>
                <w:szCs w:val="22"/>
              </w:rPr>
            </w:pPr>
          </w:p>
        </w:tc>
        <w:tc>
          <w:tcPr>
            <w:tcW w:w="1106" w:type="dxa"/>
            <w:gridSpan w:val="2"/>
            <w:noWrap w:val="0"/>
            <w:vAlign w:val="center"/>
          </w:tcPr>
          <w:p w14:paraId="50BC363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16" w:type="dxa"/>
            <w:noWrap w:val="0"/>
            <w:vAlign w:val="center"/>
          </w:tcPr>
          <w:p w14:paraId="1A4E4D4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140</w:t>
            </w:r>
          </w:p>
        </w:tc>
        <w:tc>
          <w:tcPr>
            <w:tcW w:w="1092" w:type="dxa"/>
            <w:gridSpan w:val="2"/>
            <w:noWrap w:val="0"/>
            <w:vAlign w:val="center"/>
          </w:tcPr>
          <w:p w14:paraId="4E2933AE">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117</w:t>
            </w:r>
          </w:p>
        </w:tc>
        <w:tc>
          <w:tcPr>
            <w:tcW w:w="1398" w:type="dxa"/>
            <w:gridSpan w:val="2"/>
            <w:noWrap w:val="0"/>
            <w:vAlign w:val="center"/>
          </w:tcPr>
          <w:p w14:paraId="4F422790">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116.7789</w:t>
            </w:r>
          </w:p>
        </w:tc>
        <w:tc>
          <w:tcPr>
            <w:tcW w:w="731" w:type="dxa"/>
            <w:gridSpan w:val="2"/>
            <w:noWrap w:val="0"/>
            <w:vAlign w:val="center"/>
          </w:tcPr>
          <w:p w14:paraId="162FBA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8" w:type="dxa"/>
            <w:gridSpan w:val="2"/>
            <w:noWrap w:val="0"/>
            <w:vAlign w:val="center"/>
          </w:tcPr>
          <w:p w14:paraId="633AB4A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65" w:type="dxa"/>
            <w:noWrap w:val="0"/>
            <w:vAlign w:val="center"/>
          </w:tcPr>
          <w:p w14:paraId="0601E35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8FBE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trPr>
        <w:tc>
          <w:tcPr>
            <w:tcW w:w="1403" w:type="dxa"/>
            <w:gridSpan w:val="2"/>
            <w:vMerge w:val="continue"/>
            <w:noWrap w:val="0"/>
            <w:vAlign w:val="center"/>
          </w:tcPr>
          <w:p w14:paraId="1F7527D1">
            <w:pPr>
              <w:spacing w:line="240" w:lineRule="auto"/>
              <w:ind w:firstLine="0" w:firstLineChars="0"/>
              <w:jc w:val="center"/>
              <w:rPr>
                <w:rFonts w:hint="eastAsia" w:ascii="宋体" w:hAnsi="宋体" w:eastAsia="宋体" w:cs="宋体"/>
                <w:sz w:val="22"/>
                <w:szCs w:val="22"/>
              </w:rPr>
            </w:pPr>
          </w:p>
        </w:tc>
        <w:tc>
          <w:tcPr>
            <w:tcW w:w="1106" w:type="dxa"/>
            <w:gridSpan w:val="2"/>
            <w:noWrap w:val="0"/>
            <w:vAlign w:val="center"/>
          </w:tcPr>
          <w:p w14:paraId="54EE7F44">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301AB1B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16" w:type="dxa"/>
            <w:noWrap w:val="0"/>
            <w:vAlign w:val="center"/>
          </w:tcPr>
          <w:p w14:paraId="6B5DC24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92" w:type="dxa"/>
            <w:gridSpan w:val="2"/>
            <w:noWrap w:val="0"/>
            <w:vAlign w:val="center"/>
          </w:tcPr>
          <w:p w14:paraId="0A0D31A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398" w:type="dxa"/>
            <w:gridSpan w:val="2"/>
            <w:noWrap w:val="0"/>
            <w:vAlign w:val="center"/>
          </w:tcPr>
          <w:p w14:paraId="0A6809D2">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31" w:type="dxa"/>
            <w:gridSpan w:val="2"/>
            <w:noWrap w:val="0"/>
            <w:vAlign w:val="center"/>
          </w:tcPr>
          <w:p w14:paraId="31C73D9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8" w:type="dxa"/>
            <w:gridSpan w:val="2"/>
            <w:noWrap w:val="0"/>
            <w:vAlign w:val="center"/>
          </w:tcPr>
          <w:p w14:paraId="14EA1887">
            <w:pPr>
              <w:spacing w:line="240" w:lineRule="auto"/>
              <w:ind w:firstLine="0" w:firstLineChars="0"/>
              <w:jc w:val="center"/>
              <w:rPr>
                <w:rFonts w:hint="eastAsia" w:ascii="宋体" w:hAnsi="宋体" w:eastAsia="宋体" w:cs="宋体"/>
                <w:sz w:val="22"/>
                <w:szCs w:val="22"/>
              </w:rPr>
            </w:pPr>
          </w:p>
        </w:tc>
        <w:tc>
          <w:tcPr>
            <w:tcW w:w="1065" w:type="dxa"/>
            <w:noWrap w:val="0"/>
            <w:vAlign w:val="center"/>
          </w:tcPr>
          <w:p w14:paraId="79CB108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5868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1403" w:type="dxa"/>
            <w:gridSpan w:val="2"/>
            <w:vMerge w:val="continue"/>
            <w:noWrap w:val="0"/>
            <w:vAlign w:val="center"/>
          </w:tcPr>
          <w:p w14:paraId="1C17C7A0">
            <w:pPr>
              <w:spacing w:line="240" w:lineRule="auto"/>
              <w:ind w:firstLine="0" w:firstLineChars="0"/>
              <w:jc w:val="center"/>
              <w:rPr>
                <w:rFonts w:hint="eastAsia" w:ascii="宋体" w:hAnsi="宋体" w:eastAsia="宋体" w:cs="宋体"/>
                <w:sz w:val="22"/>
                <w:szCs w:val="22"/>
              </w:rPr>
            </w:pPr>
          </w:p>
        </w:tc>
        <w:tc>
          <w:tcPr>
            <w:tcW w:w="1106" w:type="dxa"/>
            <w:gridSpan w:val="2"/>
            <w:noWrap w:val="0"/>
            <w:vAlign w:val="center"/>
          </w:tcPr>
          <w:p w14:paraId="4F2C5EC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16" w:type="dxa"/>
            <w:noWrap w:val="0"/>
            <w:vAlign w:val="center"/>
          </w:tcPr>
          <w:p w14:paraId="6B471BB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92" w:type="dxa"/>
            <w:gridSpan w:val="2"/>
            <w:noWrap w:val="0"/>
            <w:vAlign w:val="center"/>
          </w:tcPr>
          <w:p w14:paraId="1089FE9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398" w:type="dxa"/>
            <w:gridSpan w:val="2"/>
            <w:noWrap w:val="0"/>
            <w:vAlign w:val="center"/>
          </w:tcPr>
          <w:p w14:paraId="77D3BA0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31" w:type="dxa"/>
            <w:gridSpan w:val="2"/>
            <w:noWrap w:val="0"/>
            <w:vAlign w:val="center"/>
          </w:tcPr>
          <w:p w14:paraId="6B621CB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8" w:type="dxa"/>
            <w:gridSpan w:val="2"/>
            <w:noWrap w:val="0"/>
            <w:vAlign w:val="center"/>
          </w:tcPr>
          <w:p w14:paraId="46437878">
            <w:pPr>
              <w:spacing w:line="240" w:lineRule="auto"/>
              <w:ind w:firstLine="0" w:firstLineChars="0"/>
              <w:jc w:val="center"/>
              <w:rPr>
                <w:rFonts w:hint="eastAsia" w:ascii="宋体" w:hAnsi="宋体" w:eastAsia="宋体" w:cs="宋体"/>
                <w:sz w:val="22"/>
                <w:szCs w:val="22"/>
              </w:rPr>
            </w:pPr>
          </w:p>
        </w:tc>
        <w:tc>
          <w:tcPr>
            <w:tcW w:w="1065" w:type="dxa"/>
            <w:noWrap w:val="0"/>
            <w:vAlign w:val="center"/>
          </w:tcPr>
          <w:p w14:paraId="19CA0D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60101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642" w:type="dxa"/>
            <w:vMerge w:val="restart"/>
            <w:noWrap w:val="0"/>
            <w:vAlign w:val="center"/>
          </w:tcPr>
          <w:p w14:paraId="3BCEE7F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3975" w:type="dxa"/>
            <w:gridSpan w:val="6"/>
            <w:noWrap w:val="0"/>
            <w:vAlign w:val="center"/>
          </w:tcPr>
          <w:p w14:paraId="7973523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842" w:type="dxa"/>
            <w:gridSpan w:val="7"/>
            <w:noWrap w:val="0"/>
            <w:vAlign w:val="center"/>
          </w:tcPr>
          <w:p w14:paraId="76B3A8F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6653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3" w:hRule="atLeast"/>
        </w:trPr>
        <w:tc>
          <w:tcPr>
            <w:tcW w:w="642" w:type="dxa"/>
            <w:vMerge w:val="continue"/>
            <w:noWrap w:val="0"/>
            <w:vAlign w:val="center"/>
          </w:tcPr>
          <w:p w14:paraId="04B4F23B">
            <w:pPr>
              <w:spacing w:line="240" w:lineRule="auto"/>
              <w:ind w:firstLine="0" w:firstLineChars="0"/>
              <w:jc w:val="center"/>
              <w:rPr>
                <w:rFonts w:hint="eastAsia" w:ascii="宋体" w:hAnsi="宋体" w:eastAsia="宋体" w:cs="宋体"/>
                <w:sz w:val="22"/>
                <w:szCs w:val="22"/>
              </w:rPr>
            </w:pPr>
          </w:p>
        </w:tc>
        <w:tc>
          <w:tcPr>
            <w:tcW w:w="3975" w:type="dxa"/>
            <w:gridSpan w:val="6"/>
            <w:noWrap w:val="0"/>
            <w:vAlign w:val="center"/>
          </w:tcPr>
          <w:p w14:paraId="2E5568D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稳定村医队伍，为离岗村医解决后顾之忧，提高基层医疗机构服务能力</w:t>
            </w:r>
          </w:p>
        </w:tc>
        <w:tc>
          <w:tcPr>
            <w:tcW w:w="3842" w:type="dxa"/>
            <w:gridSpan w:val="7"/>
            <w:noWrap w:val="0"/>
            <w:vAlign w:val="center"/>
          </w:tcPr>
          <w:p w14:paraId="76C0766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规范村卫生室基本医疗服务行为，提高乡村医生的技术水平和整体素质，增强村卫生室服务功能，提高村医收入，稳定村医队伍，努力满足广大人民群众基本医疗服务需要，确保广大农民享受安全、有效、方便、价廉的公共卫生和基本医疗服务。</w:t>
            </w:r>
          </w:p>
        </w:tc>
      </w:tr>
      <w:tr w14:paraId="44F7F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trPr>
        <w:tc>
          <w:tcPr>
            <w:tcW w:w="642" w:type="dxa"/>
            <w:vMerge w:val="restart"/>
            <w:noWrap w:val="0"/>
            <w:vAlign w:val="center"/>
          </w:tcPr>
          <w:p w14:paraId="3519FB86">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61" w:type="dxa"/>
            <w:noWrap w:val="0"/>
            <w:vAlign w:val="center"/>
          </w:tcPr>
          <w:p w14:paraId="292CA61E">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4272896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2" w:type="dxa"/>
            <w:noWrap w:val="0"/>
            <w:vAlign w:val="center"/>
          </w:tcPr>
          <w:p w14:paraId="0065B0A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18CAF56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75" w:type="dxa"/>
            <w:gridSpan w:val="3"/>
            <w:noWrap w:val="0"/>
            <w:vAlign w:val="center"/>
          </w:tcPr>
          <w:p w14:paraId="498125B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897" w:type="dxa"/>
            <w:noWrap w:val="0"/>
            <w:vAlign w:val="center"/>
          </w:tcPr>
          <w:p w14:paraId="02D9446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29" w:type="dxa"/>
            <w:noWrap w:val="0"/>
            <w:vAlign w:val="center"/>
          </w:tcPr>
          <w:p w14:paraId="2BE4935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40" w:type="dxa"/>
            <w:gridSpan w:val="2"/>
            <w:noWrap w:val="0"/>
            <w:vAlign w:val="center"/>
          </w:tcPr>
          <w:p w14:paraId="64E9076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39" w:type="dxa"/>
            <w:gridSpan w:val="2"/>
            <w:noWrap w:val="0"/>
            <w:vAlign w:val="center"/>
          </w:tcPr>
          <w:p w14:paraId="67918EB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34" w:type="dxa"/>
            <w:gridSpan w:val="2"/>
            <w:noWrap w:val="0"/>
            <w:vAlign w:val="center"/>
          </w:tcPr>
          <w:p w14:paraId="1104211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03003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atLeast"/>
        </w:trPr>
        <w:tc>
          <w:tcPr>
            <w:tcW w:w="642" w:type="dxa"/>
            <w:vMerge w:val="continue"/>
            <w:noWrap w:val="0"/>
            <w:textDirection w:val="tbRlV"/>
            <w:vAlign w:val="center"/>
          </w:tcPr>
          <w:p w14:paraId="0B3C6556">
            <w:pPr>
              <w:spacing w:line="240" w:lineRule="auto"/>
              <w:ind w:left="113" w:right="113" w:firstLine="0" w:firstLineChars="0"/>
              <w:jc w:val="center"/>
              <w:rPr>
                <w:rFonts w:hint="eastAsia" w:ascii="宋体" w:hAnsi="宋体" w:eastAsia="宋体" w:cs="宋体"/>
                <w:sz w:val="22"/>
                <w:szCs w:val="22"/>
              </w:rPr>
            </w:pPr>
          </w:p>
        </w:tc>
        <w:tc>
          <w:tcPr>
            <w:tcW w:w="761" w:type="dxa"/>
            <w:vMerge w:val="restart"/>
            <w:noWrap w:val="0"/>
            <w:vAlign w:val="center"/>
          </w:tcPr>
          <w:p w14:paraId="18D4EF3F">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4CB8848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2" w:type="dxa"/>
            <w:vMerge w:val="restart"/>
            <w:noWrap w:val="0"/>
            <w:vAlign w:val="center"/>
          </w:tcPr>
          <w:p w14:paraId="09BDB336">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037C0E1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75" w:type="dxa"/>
            <w:gridSpan w:val="3"/>
            <w:noWrap w:val="0"/>
            <w:vAlign w:val="center"/>
          </w:tcPr>
          <w:p w14:paraId="14B4DF85">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发放村医养老保险补助经费</w:t>
            </w:r>
          </w:p>
        </w:tc>
        <w:tc>
          <w:tcPr>
            <w:tcW w:w="897" w:type="dxa"/>
            <w:noWrap w:val="0"/>
            <w:vAlign w:val="center"/>
          </w:tcPr>
          <w:p w14:paraId="6B0E59AB">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≥90</w:t>
            </w:r>
          </w:p>
        </w:tc>
        <w:tc>
          <w:tcPr>
            <w:tcW w:w="829" w:type="dxa"/>
            <w:noWrap w:val="0"/>
            <w:vAlign w:val="center"/>
          </w:tcPr>
          <w:p w14:paraId="0AE03FFB">
            <w:pPr>
              <w:keepNext w:val="0"/>
              <w:keepLines w:val="0"/>
              <w:widowControl/>
              <w:suppressLineNumbers w:val="0"/>
              <w:ind w:left="0" w:leftChars="0" w:firstLine="0" w:firstLineChars="0"/>
              <w:jc w:val="center"/>
              <w:textAlignment w:val="center"/>
              <w:rPr>
                <w:rFonts w:hint="default" w:ascii="宋体" w:hAnsi="宋体" w:eastAsia="宋体" w:cs="宋体"/>
                <w:sz w:val="22"/>
                <w:szCs w:val="22"/>
                <w:lang w:val="en-US" w:eastAsia="zh-CN"/>
              </w:rPr>
            </w:pPr>
            <w:r>
              <w:rPr>
                <w:rFonts w:hint="eastAsia" w:ascii="宋体" w:hAnsi="宋体" w:eastAsia="宋体" w:cs="宋体"/>
                <w:i w:val="0"/>
                <w:iCs w:val="0"/>
                <w:snapToGrid w:val="0"/>
                <w:color w:val="000000"/>
                <w:kern w:val="0"/>
                <w:sz w:val="20"/>
                <w:szCs w:val="20"/>
                <w:u w:val="none"/>
                <w:lang w:val="en-US" w:eastAsia="zh-CN" w:bidi="ar"/>
              </w:rPr>
              <w:t>137</w:t>
            </w:r>
          </w:p>
        </w:tc>
        <w:tc>
          <w:tcPr>
            <w:tcW w:w="640" w:type="dxa"/>
            <w:gridSpan w:val="2"/>
            <w:noWrap w:val="0"/>
            <w:vAlign w:val="center"/>
          </w:tcPr>
          <w:p w14:paraId="6BFCCB6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38E751C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34" w:type="dxa"/>
            <w:gridSpan w:val="2"/>
            <w:noWrap w:val="0"/>
            <w:vAlign w:val="center"/>
          </w:tcPr>
          <w:p w14:paraId="282E507E">
            <w:pPr>
              <w:spacing w:line="240" w:lineRule="auto"/>
              <w:ind w:firstLine="0" w:firstLineChars="0"/>
              <w:jc w:val="center"/>
              <w:rPr>
                <w:rFonts w:hint="eastAsia" w:ascii="宋体" w:hAnsi="宋体" w:eastAsia="宋体" w:cs="宋体"/>
                <w:sz w:val="22"/>
                <w:szCs w:val="22"/>
              </w:rPr>
            </w:pPr>
          </w:p>
        </w:tc>
      </w:tr>
      <w:tr w14:paraId="76C0F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5" w:hRule="atLeast"/>
        </w:trPr>
        <w:tc>
          <w:tcPr>
            <w:tcW w:w="642" w:type="dxa"/>
            <w:vMerge w:val="continue"/>
            <w:noWrap w:val="0"/>
            <w:vAlign w:val="center"/>
          </w:tcPr>
          <w:p w14:paraId="2487C394">
            <w:pPr>
              <w:spacing w:line="240" w:lineRule="auto"/>
              <w:ind w:firstLine="0" w:firstLineChars="0"/>
              <w:jc w:val="center"/>
              <w:rPr>
                <w:rFonts w:hint="eastAsia" w:ascii="宋体" w:hAnsi="宋体" w:eastAsia="宋体" w:cs="宋体"/>
                <w:sz w:val="22"/>
                <w:szCs w:val="22"/>
              </w:rPr>
            </w:pPr>
          </w:p>
        </w:tc>
        <w:tc>
          <w:tcPr>
            <w:tcW w:w="761" w:type="dxa"/>
            <w:vMerge w:val="continue"/>
            <w:noWrap w:val="0"/>
            <w:vAlign w:val="center"/>
          </w:tcPr>
          <w:p w14:paraId="7AB0031C">
            <w:pPr>
              <w:spacing w:line="240" w:lineRule="auto"/>
              <w:ind w:firstLine="0" w:firstLineChars="0"/>
              <w:jc w:val="center"/>
              <w:rPr>
                <w:rFonts w:hint="eastAsia" w:ascii="宋体" w:hAnsi="宋体" w:eastAsia="宋体" w:cs="宋体"/>
                <w:sz w:val="22"/>
                <w:szCs w:val="22"/>
              </w:rPr>
            </w:pPr>
          </w:p>
        </w:tc>
        <w:tc>
          <w:tcPr>
            <w:tcW w:w="842" w:type="dxa"/>
            <w:vMerge w:val="continue"/>
            <w:noWrap w:val="0"/>
            <w:vAlign w:val="center"/>
          </w:tcPr>
          <w:p w14:paraId="6806AE76">
            <w:pPr>
              <w:spacing w:line="240" w:lineRule="auto"/>
              <w:ind w:firstLine="0" w:firstLineChars="0"/>
              <w:jc w:val="center"/>
              <w:rPr>
                <w:rFonts w:hint="eastAsia" w:ascii="宋体" w:hAnsi="宋体" w:eastAsia="宋体" w:cs="宋体"/>
                <w:sz w:val="22"/>
                <w:szCs w:val="22"/>
              </w:rPr>
            </w:pPr>
          </w:p>
        </w:tc>
        <w:tc>
          <w:tcPr>
            <w:tcW w:w="1475" w:type="dxa"/>
            <w:gridSpan w:val="3"/>
            <w:noWrap w:val="0"/>
            <w:vAlign w:val="center"/>
          </w:tcPr>
          <w:p w14:paraId="609FA263">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发放离岗村医养老（工龄）补助经费</w:t>
            </w:r>
          </w:p>
        </w:tc>
        <w:tc>
          <w:tcPr>
            <w:tcW w:w="897" w:type="dxa"/>
            <w:noWrap w:val="0"/>
            <w:vAlign w:val="center"/>
          </w:tcPr>
          <w:p w14:paraId="5738D951">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≥125</w:t>
            </w:r>
          </w:p>
        </w:tc>
        <w:tc>
          <w:tcPr>
            <w:tcW w:w="829" w:type="dxa"/>
            <w:noWrap w:val="0"/>
            <w:vAlign w:val="center"/>
          </w:tcPr>
          <w:p w14:paraId="1C0CA657">
            <w:pPr>
              <w:keepNext w:val="0"/>
              <w:keepLines w:val="0"/>
              <w:widowControl/>
              <w:suppressLineNumbers w:val="0"/>
              <w:ind w:left="0" w:leftChars="0" w:firstLine="0" w:firstLineChars="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147</w:t>
            </w:r>
          </w:p>
        </w:tc>
        <w:tc>
          <w:tcPr>
            <w:tcW w:w="640" w:type="dxa"/>
            <w:gridSpan w:val="2"/>
            <w:noWrap w:val="0"/>
            <w:vAlign w:val="center"/>
          </w:tcPr>
          <w:p w14:paraId="07B6837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531CFA33">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634" w:type="dxa"/>
            <w:gridSpan w:val="2"/>
            <w:noWrap w:val="0"/>
            <w:vAlign w:val="center"/>
          </w:tcPr>
          <w:p w14:paraId="077F41AB">
            <w:pPr>
              <w:spacing w:line="240" w:lineRule="auto"/>
              <w:ind w:firstLine="0" w:firstLineChars="0"/>
              <w:jc w:val="center"/>
              <w:rPr>
                <w:rFonts w:hint="eastAsia" w:ascii="宋体" w:hAnsi="宋体" w:eastAsia="宋体" w:cs="宋体"/>
                <w:sz w:val="22"/>
                <w:szCs w:val="22"/>
              </w:rPr>
            </w:pPr>
          </w:p>
        </w:tc>
      </w:tr>
      <w:tr w14:paraId="0C113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1" w:hRule="atLeast"/>
        </w:trPr>
        <w:tc>
          <w:tcPr>
            <w:tcW w:w="642" w:type="dxa"/>
            <w:vMerge w:val="continue"/>
            <w:noWrap w:val="0"/>
            <w:vAlign w:val="center"/>
          </w:tcPr>
          <w:p w14:paraId="417D2491">
            <w:pPr>
              <w:spacing w:line="240" w:lineRule="auto"/>
              <w:ind w:firstLine="0" w:firstLineChars="0"/>
              <w:jc w:val="center"/>
              <w:rPr>
                <w:rFonts w:hint="eastAsia" w:ascii="宋体" w:hAnsi="宋体" w:eastAsia="宋体" w:cs="宋体"/>
                <w:sz w:val="22"/>
                <w:szCs w:val="22"/>
              </w:rPr>
            </w:pPr>
          </w:p>
        </w:tc>
        <w:tc>
          <w:tcPr>
            <w:tcW w:w="761" w:type="dxa"/>
            <w:vMerge w:val="continue"/>
            <w:noWrap w:val="0"/>
            <w:vAlign w:val="center"/>
          </w:tcPr>
          <w:p w14:paraId="487BD97C">
            <w:pPr>
              <w:spacing w:line="240" w:lineRule="auto"/>
              <w:ind w:firstLine="0" w:firstLineChars="0"/>
              <w:jc w:val="center"/>
              <w:rPr>
                <w:rFonts w:hint="eastAsia" w:ascii="宋体" w:hAnsi="宋体" w:eastAsia="宋体" w:cs="宋体"/>
                <w:sz w:val="22"/>
                <w:szCs w:val="22"/>
              </w:rPr>
            </w:pPr>
          </w:p>
        </w:tc>
        <w:tc>
          <w:tcPr>
            <w:tcW w:w="842" w:type="dxa"/>
            <w:vMerge w:val="restart"/>
            <w:noWrap w:val="0"/>
            <w:vAlign w:val="center"/>
          </w:tcPr>
          <w:p w14:paraId="566B1ECE">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34FC008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75" w:type="dxa"/>
            <w:gridSpan w:val="3"/>
            <w:noWrap w:val="0"/>
            <w:vAlign w:val="center"/>
          </w:tcPr>
          <w:p w14:paraId="5A74A464">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保证在岗村医按时足额缴纳城镇职工养老保险</w:t>
            </w:r>
          </w:p>
        </w:tc>
        <w:tc>
          <w:tcPr>
            <w:tcW w:w="897" w:type="dxa"/>
            <w:noWrap w:val="0"/>
            <w:vAlign w:val="center"/>
          </w:tcPr>
          <w:p w14:paraId="5175B08D">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829" w:type="dxa"/>
            <w:noWrap w:val="0"/>
            <w:vAlign w:val="center"/>
          </w:tcPr>
          <w:p w14:paraId="74F549F5">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640" w:type="dxa"/>
            <w:gridSpan w:val="2"/>
            <w:noWrap w:val="0"/>
            <w:vAlign w:val="center"/>
          </w:tcPr>
          <w:p w14:paraId="6F497F5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6BE65B6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34" w:type="dxa"/>
            <w:gridSpan w:val="2"/>
            <w:noWrap w:val="0"/>
            <w:vAlign w:val="center"/>
          </w:tcPr>
          <w:p w14:paraId="3631F6EF">
            <w:pPr>
              <w:spacing w:line="240" w:lineRule="auto"/>
              <w:ind w:firstLine="0" w:firstLineChars="0"/>
              <w:jc w:val="center"/>
              <w:rPr>
                <w:rFonts w:hint="eastAsia" w:ascii="宋体" w:hAnsi="宋体" w:eastAsia="宋体" w:cs="宋体"/>
                <w:sz w:val="22"/>
                <w:szCs w:val="22"/>
              </w:rPr>
            </w:pPr>
          </w:p>
        </w:tc>
      </w:tr>
      <w:tr w14:paraId="73B4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atLeast"/>
        </w:trPr>
        <w:tc>
          <w:tcPr>
            <w:tcW w:w="642" w:type="dxa"/>
            <w:vMerge w:val="continue"/>
            <w:noWrap w:val="0"/>
            <w:vAlign w:val="center"/>
          </w:tcPr>
          <w:p w14:paraId="571E6869">
            <w:pPr>
              <w:spacing w:line="240" w:lineRule="auto"/>
              <w:ind w:firstLine="0" w:firstLineChars="0"/>
              <w:jc w:val="center"/>
              <w:rPr>
                <w:rFonts w:hint="eastAsia" w:ascii="宋体" w:hAnsi="宋体" w:eastAsia="宋体" w:cs="宋体"/>
                <w:sz w:val="22"/>
                <w:szCs w:val="22"/>
              </w:rPr>
            </w:pPr>
          </w:p>
        </w:tc>
        <w:tc>
          <w:tcPr>
            <w:tcW w:w="761" w:type="dxa"/>
            <w:vMerge w:val="continue"/>
            <w:noWrap w:val="0"/>
            <w:vAlign w:val="center"/>
          </w:tcPr>
          <w:p w14:paraId="7FFA9F41">
            <w:pPr>
              <w:spacing w:line="240" w:lineRule="auto"/>
              <w:ind w:firstLine="0" w:firstLineChars="0"/>
              <w:jc w:val="center"/>
              <w:rPr>
                <w:rFonts w:hint="eastAsia" w:ascii="宋体" w:hAnsi="宋体" w:eastAsia="宋体" w:cs="宋体"/>
                <w:sz w:val="22"/>
                <w:szCs w:val="22"/>
              </w:rPr>
            </w:pPr>
          </w:p>
        </w:tc>
        <w:tc>
          <w:tcPr>
            <w:tcW w:w="842" w:type="dxa"/>
            <w:vMerge w:val="continue"/>
            <w:noWrap w:val="0"/>
            <w:vAlign w:val="center"/>
          </w:tcPr>
          <w:p w14:paraId="095E35BC">
            <w:pPr>
              <w:spacing w:line="240" w:lineRule="auto"/>
              <w:ind w:firstLine="0" w:firstLineChars="0"/>
              <w:jc w:val="center"/>
              <w:rPr>
                <w:rFonts w:hint="eastAsia" w:ascii="宋体" w:hAnsi="宋体" w:eastAsia="宋体" w:cs="宋体"/>
                <w:spacing w:val="-3"/>
                <w:sz w:val="22"/>
                <w:szCs w:val="22"/>
              </w:rPr>
            </w:pPr>
          </w:p>
        </w:tc>
        <w:tc>
          <w:tcPr>
            <w:tcW w:w="1475" w:type="dxa"/>
            <w:gridSpan w:val="3"/>
            <w:noWrap w:val="0"/>
            <w:vAlign w:val="center"/>
          </w:tcPr>
          <w:p w14:paraId="19D3CF46">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保证离岗村医按时享受养老补助</w:t>
            </w:r>
          </w:p>
        </w:tc>
        <w:tc>
          <w:tcPr>
            <w:tcW w:w="897" w:type="dxa"/>
            <w:noWrap w:val="0"/>
            <w:vAlign w:val="center"/>
          </w:tcPr>
          <w:p w14:paraId="31304D3F">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100%</w:t>
            </w:r>
          </w:p>
        </w:tc>
        <w:tc>
          <w:tcPr>
            <w:tcW w:w="829" w:type="dxa"/>
            <w:noWrap w:val="0"/>
            <w:vAlign w:val="center"/>
          </w:tcPr>
          <w:p w14:paraId="41A4B01C">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100%</w:t>
            </w:r>
          </w:p>
        </w:tc>
        <w:tc>
          <w:tcPr>
            <w:tcW w:w="640" w:type="dxa"/>
            <w:gridSpan w:val="2"/>
            <w:noWrap w:val="0"/>
            <w:vAlign w:val="center"/>
          </w:tcPr>
          <w:p w14:paraId="638A2BC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5D8142A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634" w:type="dxa"/>
            <w:gridSpan w:val="2"/>
            <w:noWrap w:val="0"/>
            <w:vAlign w:val="center"/>
          </w:tcPr>
          <w:p w14:paraId="021A9C8B">
            <w:pPr>
              <w:spacing w:line="240" w:lineRule="auto"/>
              <w:ind w:firstLine="0" w:firstLineChars="0"/>
              <w:jc w:val="center"/>
              <w:rPr>
                <w:rFonts w:hint="eastAsia" w:ascii="宋体" w:hAnsi="宋体" w:eastAsia="宋体" w:cs="宋体"/>
                <w:sz w:val="22"/>
                <w:szCs w:val="22"/>
              </w:rPr>
            </w:pPr>
          </w:p>
        </w:tc>
      </w:tr>
      <w:tr w14:paraId="430C0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5" w:hRule="atLeast"/>
        </w:trPr>
        <w:tc>
          <w:tcPr>
            <w:tcW w:w="642" w:type="dxa"/>
            <w:vMerge w:val="continue"/>
            <w:noWrap w:val="0"/>
            <w:vAlign w:val="center"/>
          </w:tcPr>
          <w:p w14:paraId="18DDC3ED">
            <w:pPr>
              <w:spacing w:line="240" w:lineRule="auto"/>
              <w:ind w:firstLine="0" w:firstLineChars="0"/>
              <w:jc w:val="center"/>
              <w:rPr>
                <w:rFonts w:hint="eastAsia" w:ascii="宋体" w:hAnsi="宋体" w:eastAsia="宋体" w:cs="宋体"/>
                <w:sz w:val="22"/>
                <w:szCs w:val="22"/>
              </w:rPr>
            </w:pPr>
          </w:p>
        </w:tc>
        <w:tc>
          <w:tcPr>
            <w:tcW w:w="761" w:type="dxa"/>
            <w:vMerge w:val="continue"/>
            <w:noWrap w:val="0"/>
            <w:vAlign w:val="center"/>
          </w:tcPr>
          <w:p w14:paraId="2A79FBAB">
            <w:pPr>
              <w:spacing w:line="240" w:lineRule="auto"/>
              <w:ind w:firstLine="0" w:firstLineChars="0"/>
              <w:jc w:val="center"/>
              <w:rPr>
                <w:rFonts w:hint="eastAsia" w:ascii="宋体" w:hAnsi="宋体" w:eastAsia="宋体" w:cs="宋体"/>
                <w:sz w:val="22"/>
                <w:szCs w:val="22"/>
              </w:rPr>
            </w:pPr>
          </w:p>
        </w:tc>
        <w:tc>
          <w:tcPr>
            <w:tcW w:w="842" w:type="dxa"/>
            <w:vMerge w:val="restart"/>
            <w:noWrap w:val="0"/>
            <w:vAlign w:val="center"/>
          </w:tcPr>
          <w:p w14:paraId="61E50252">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243B13D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475" w:type="dxa"/>
            <w:gridSpan w:val="3"/>
            <w:noWrap w:val="0"/>
            <w:vAlign w:val="center"/>
          </w:tcPr>
          <w:p w14:paraId="1ED6FCF4">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在岗村医缴纳城镇职工养老保险及时率</w:t>
            </w:r>
          </w:p>
        </w:tc>
        <w:tc>
          <w:tcPr>
            <w:tcW w:w="897" w:type="dxa"/>
            <w:noWrap w:val="0"/>
            <w:vAlign w:val="center"/>
          </w:tcPr>
          <w:p w14:paraId="70B90B92">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829" w:type="dxa"/>
            <w:noWrap w:val="0"/>
            <w:vAlign w:val="center"/>
          </w:tcPr>
          <w:p w14:paraId="2EEB5DC7">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640" w:type="dxa"/>
            <w:gridSpan w:val="2"/>
            <w:noWrap w:val="0"/>
            <w:vAlign w:val="center"/>
          </w:tcPr>
          <w:p w14:paraId="4C031C9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0617BA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34" w:type="dxa"/>
            <w:gridSpan w:val="2"/>
            <w:noWrap w:val="0"/>
            <w:vAlign w:val="center"/>
          </w:tcPr>
          <w:p w14:paraId="34BB4F81">
            <w:pPr>
              <w:spacing w:line="240" w:lineRule="auto"/>
              <w:ind w:firstLine="0" w:firstLineChars="0"/>
              <w:jc w:val="center"/>
              <w:rPr>
                <w:rFonts w:hint="eastAsia" w:ascii="宋体" w:hAnsi="宋体" w:eastAsia="宋体" w:cs="宋体"/>
                <w:sz w:val="22"/>
                <w:szCs w:val="22"/>
              </w:rPr>
            </w:pPr>
          </w:p>
        </w:tc>
      </w:tr>
      <w:tr w14:paraId="529A6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atLeast"/>
        </w:trPr>
        <w:tc>
          <w:tcPr>
            <w:tcW w:w="642" w:type="dxa"/>
            <w:vMerge w:val="continue"/>
            <w:noWrap w:val="0"/>
            <w:vAlign w:val="center"/>
          </w:tcPr>
          <w:p w14:paraId="363E33C9">
            <w:pPr>
              <w:spacing w:line="240" w:lineRule="auto"/>
              <w:ind w:firstLine="0" w:firstLineChars="0"/>
              <w:jc w:val="center"/>
              <w:rPr>
                <w:rFonts w:hint="eastAsia" w:ascii="宋体" w:hAnsi="宋体" w:eastAsia="宋体" w:cs="宋体"/>
                <w:sz w:val="22"/>
                <w:szCs w:val="22"/>
              </w:rPr>
            </w:pPr>
          </w:p>
        </w:tc>
        <w:tc>
          <w:tcPr>
            <w:tcW w:w="761" w:type="dxa"/>
            <w:vMerge w:val="continue"/>
            <w:noWrap w:val="0"/>
            <w:vAlign w:val="center"/>
          </w:tcPr>
          <w:p w14:paraId="7BE85EC3">
            <w:pPr>
              <w:spacing w:line="240" w:lineRule="auto"/>
              <w:ind w:firstLine="0" w:firstLineChars="0"/>
              <w:jc w:val="center"/>
              <w:rPr>
                <w:rFonts w:hint="eastAsia" w:ascii="宋体" w:hAnsi="宋体" w:eastAsia="宋体" w:cs="宋体"/>
                <w:sz w:val="22"/>
                <w:szCs w:val="22"/>
              </w:rPr>
            </w:pPr>
          </w:p>
        </w:tc>
        <w:tc>
          <w:tcPr>
            <w:tcW w:w="842" w:type="dxa"/>
            <w:vMerge w:val="continue"/>
            <w:noWrap w:val="0"/>
            <w:vAlign w:val="center"/>
          </w:tcPr>
          <w:p w14:paraId="2A3C0CD8">
            <w:pPr>
              <w:spacing w:line="240" w:lineRule="auto"/>
              <w:ind w:firstLine="0" w:firstLineChars="0"/>
              <w:jc w:val="center"/>
              <w:rPr>
                <w:rFonts w:hint="eastAsia" w:ascii="宋体" w:hAnsi="宋体" w:eastAsia="宋体" w:cs="宋体"/>
                <w:sz w:val="22"/>
                <w:szCs w:val="22"/>
              </w:rPr>
            </w:pPr>
          </w:p>
        </w:tc>
        <w:tc>
          <w:tcPr>
            <w:tcW w:w="1475" w:type="dxa"/>
            <w:gridSpan w:val="3"/>
            <w:noWrap w:val="0"/>
            <w:vAlign w:val="center"/>
          </w:tcPr>
          <w:p w14:paraId="2984F220">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离岗村医享受养老补助及时率</w:t>
            </w:r>
          </w:p>
        </w:tc>
        <w:tc>
          <w:tcPr>
            <w:tcW w:w="897" w:type="dxa"/>
            <w:noWrap w:val="0"/>
            <w:vAlign w:val="center"/>
          </w:tcPr>
          <w:p w14:paraId="25B4EFF3">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829" w:type="dxa"/>
            <w:noWrap w:val="0"/>
            <w:vAlign w:val="center"/>
          </w:tcPr>
          <w:p w14:paraId="76F7BBCB">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640" w:type="dxa"/>
            <w:gridSpan w:val="2"/>
            <w:noWrap w:val="0"/>
            <w:vAlign w:val="center"/>
          </w:tcPr>
          <w:p w14:paraId="605CBE6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236A404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34" w:type="dxa"/>
            <w:gridSpan w:val="2"/>
            <w:noWrap w:val="0"/>
            <w:vAlign w:val="center"/>
          </w:tcPr>
          <w:p w14:paraId="20CC36F5">
            <w:pPr>
              <w:spacing w:line="240" w:lineRule="auto"/>
              <w:ind w:firstLine="0" w:firstLineChars="0"/>
              <w:jc w:val="center"/>
              <w:rPr>
                <w:rFonts w:hint="eastAsia" w:ascii="宋体" w:hAnsi="宋体" w:eastAsia="宋体" w:cs="宋体"/>
                <w:sz w:val="22"/>
                <w:szCs w:val="22"/>
              </w:rPr>
            </w:pPr>
          </w:p>
        </w:tc>
      </w:tr>
      <w:tr w14:paraId="4196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atLeast"/>
        </w:trPr>
        <w:tc>
          <w:tcPr>
            <w:tcW w:w="642" w:type="dxa"/>
            <w:vMerge w:val="continue"/>
            <w:noWrap w:val="0"/>
            <w:textDirection w:val="tbRlV"/>
            <w:vAlign w:val="center"/>
          </w:tcPr>
          <w:p w14:paraId="43CE474A">
            <w:pPr>
              <w:spacing w:line="240" w:lineRule="auto"/>
              <w:ind w:firstLine="0" w:firstLineChars="0"/>
              <w:jc w:val="center"/>
              <w:rPr>
                <w:rFonts w:hint="eastAsia" w:ascii="宋体" w:hAnsi="宋体" w:eastAsia="宋体" w:cs="宋体"/>
                <w:sz w:val="22"/>
                <w:szCs w:val="22"/>
              </w:rPr>
            </w:pPr>
          </w:p>
        </w:tc>
        <w:tc>
          <w:tcPr>
            <w:tcW w:w="761" w:type="dxa"/>
            <w:vMerge w:val="restart"/>
            <w:noWrap w:val="0"/>
            <w:vAlign w:val="center"/>
          </w:tcPr>
          <w:p w14:paraId="4ECB9520">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6998557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2" w:type="dxa"/>
            <w:vMerge w:val="restart"/>
            <w:noWrap w:val="0"/>
            <w:vAlign w:val="center"/>
          </w:tcPr>
          <w:p w14:paraId="49AA66A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475" w:type="dxa"/>
            <w:gridSpan w:val="3"/>
            <w:noWrap w:val="0"/>
            <w:vAlign w:val="center"/>
          </w:tcPr>
          <w:p w14:paraId="6DFE5D30">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保障基层医疗服务保障</w:t>
            </w:r>
          </w:p>
        </w:tc>
        <w:tc>
          <w:tcPr>
            <w:tcW w:w="897" w:type="dxa"/>
            <w:noWrap w:val="0"/>
            <w:vAlign w:val="center"/>
          </w:tcPr>
          <w:p w14:paraId="50D52527">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829" w:type="dxa"/>
            <w:noWrap w:val="0"/>
            <w:vAlign w:val="center"/>
          </w:tcPr>
          <w:p w14:paraId="743D6AAA">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640" w:type="dxa"/>
            <w:gridSpan w:val="2"/>
            <w:noWrap w:val="0"/>
            <w:vAlign w:val="center"/>
          </w:tcPr>
          <w:p w14:paraId="556A43A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39" w:type="dxa"/>
            <w:gridSpan w:val="2"/>
            <w:noWrap w:val="0"/>
            <w:vAlign w:val="center"/>
          </w:tcPr>
          <w:p w14:paraId="01192B3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634" w:type="dxa"/>
            <w:gridSpan w:val="2"/>
            <w:noWrap w:val="0"/>
            <w:vAlign w:val="center"/>
          </w:tcPr>
          <w:p w14:paraId="41908F5B">
            <w:pPr>
              <w:spacing w:line="240" w:lineRule="auto"/>
              <w:ind w:firstLine="0" w:firstLineChars="0"/>
              <w:jc w:val="center"/>
              <w:rPr>
                <w:rFonts w:hint="eastAsia" w:ascii="宋体" w:hAnsi="宋体" w:eastAsia="宋体" w:cs="宋体"/>
                <w:sz w:val="22"/>
                <w:szCs w:val="22"/>
              </w:rPr>
            </w:pPr>
          </w:p>
        </w:tc>
      </w:tr>
      <w:tr w14:paraId="4B81D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atLeast"/>
        </w:trPr>
        <w:tc>
          <w:tcPr>
            <w:tcW w:w="642" w:type="dxa"/>
            <w:vMerge w:val="continue"/>
            <w:noWrap w:val="0"/>
            <w:textDirection w:val="tbRlV"/>
            <w:vAlign w:val="center"/>
          </w:tcPr>
          <w:p w14:paraId="072507C0">
            <w:pPr>
              <w:spacing w:line="240" w:lineRule="auto"/>
              <w:ind w:firstLine="0" w:firstLineChars="0"/>
              <w:jc w:val="center"/>
              <w:rPr>
                <w:rFonts w:hint="eastAsia" w:ascii="宋体" w:hAnsi="宋体" w:eastAsia="宋体" w:cs="宋体"/>
                <w:sz w:val="22"/>
                <w:szCs w:val="22"/>
              </w:rPr>
            </w:pPr>
          </w:p>
        </w:tc>
        <w:tc>
          <w:tcPr>
            <w:tcW w:w="761" w:type="dxa"/>
            <w:vMerge w:val="continue"/>
            <w:noWrap w:val="0"/>
            <w:vAlign w:val="center"/>
          </w:tcPr>
          <w:p w14:paraId="0C82C206">
            <w:pPr>
              <w:spacing w:line="240" w:lineRule="auto"/>
              <w:ind w:firstLine="0" w:firstLineChars="0"/>
              <w:jc w:val="center"/>
              <w:rPr>
                <w:rFonts w:hint="eastAsia" w:ascii="宋体" w:hAnsi="宋体" w:eastAsia="宋体" w:cs="宋体"/>
                <w:spacing w:val="-3"/>
                <w:sz w:val="22"/>
                <w:szCs w:val="22"/>
              </w:rPr>
            </w:pPr>
          </w:p>
        </w:tc>
        <w:tc>
          <w:tcPr>
            <w:tcW w:w="842" w:type="dxa"/>
            <w:vMerge w:val="continue"/>
            <w:noWrap w:val="0"/>
            <w:vAlign w:val="center"/>
          </w:tcPr>
          <w:p w14:paraId="209D40EC">
            <w:pPr>
              <w:spacing w:line="240" w:lineRule="auto"/>
              <w:ind w:firstLine="0" w:firstLineChars="0"/>
              <w:jc w:val="center"/>
              <w:rPr>
                <w:rFonts w:hint="eastAsia" w:ascii="宋体" w:hAnsi="宋体" w:eastAsia="宋体" w:cs="宋体"/>
                <w:spacing w:val="-3"/>
                <w:sz w:val="22"/>
                <w:szCs w:val="22"/>
              </w:rPr>
            </w:pPr>
          </w:p>
        </w:tc>
        <w:tc>
          <w:tcPr>
            <w:tcW w:w="1475" w:type="dxa"/>
            <w:gridSpan w:val="3"/>
            <w:noWrap w:val="0"/>
            <w:vAlign w:val="center"/>
          </w:tcPr>
          <w:p w14:paraId="65B67A62">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保障在岗与离岗村医生活质量</w:t>
            </w:r>
          </w:p>
        </w:tc>
        <w:tc>
          <w:tcPr>
            <w:tcW w:w="897" w:type="dxa"/>
            <w:noWrap w:val="0"/>
            <w:vAlign w:val="center"/>
          </w:tcPr>
          <w:p w14:paraId="21D871BB">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829" w:type="dxa"/>
            <w:noWrap w:val="0"/>
            <w:vAlign w:val="center"/>
          </w:tcPr>
          <w:p w14:paraId="60706F2A">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640" w:type="dxa"/>
            <w:gridSpan w:val="2"/>
            <w:noWrap w:val="0"/>
            <w:vAlign w:val="center"/>
          </w:tcPr>
          <w:p w14:paraId="603EE54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39" w:type="dxa"/>
            <w:gridSpan w:val="2"/>
            <w:noWrap w:val="0"/>
            <w:vAlign w:val="center"/>
          </w:tcPr>
          <w:p w14:paraId="7C8AD9DE">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634" w:type="dxa"/>
            <w:gridSpan w:val="2"/>
            <w:noWrap w:val="0"/>
            <w:vAlign w:val="center"/>
          </w:tcPr>
          <w:p w14:paraId="13AA9A0D">
            <w:pPr>
              <w:spacing w:line="240" w:lineRule="auto"/>
              <w:ind w:firstLine="0" w:firstLineChars="0"/>
              <w:jc w:val="center"/>
              <w:rPr>
                <w:rFonts w:hint="eastAsia" w:ascii="宋体" w:hAnsi="宋体" w:eastAsia="宋体" w:cs="宋体"/>
                <w:sz w:val="22"/>
                <w:szCs w:val="22"/>
              </w:rPr>
            </w:pPr>
          </w:p>
        </w:tc>
      </w:tr>
      <w:tr w14:paraId="4F2E6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atLeast"/>
        </w:trPr>
        <w:tc>
          <w:tcPr>
            <w:tcW w:w="642" w:type="dxa"/>
            <w:vMerge w:val="continue"/>
            <w:noWrap w:val="0"/>
            <w:textDirection w:val="tbRlV"/>
            <w:vAlign w:val="center"/>
          </w:tcPr>
          <w:p w14:paraId="6FC5A2FB">
            <w:pPr>
              <w:spacing w:line="240" w:lineRule="auto"/>
              <w:ind w:firstLine="0" w:firstLineChars="0"/>
              <w:jc w:val="center"/>
              <w:rPr>
                <w:rFonts w:hint="eastAsia" w:ascii="宋体" w:hAnsi="宋体" w:eastAsia="宋体" w:cs="宋体"/>
                <w:sz w:val="22"/>
                <w:szCs w:val="22"/>
              </w:rPr>
            </w:pPr>
          </w:p>
        </w:tc>
        <w:tc>
          <w:tcPr>
            <w:tcW w:w="761" w:type="dxa"/>
            <w:vMerge w:val="continue"/>
            <w:noWrap w:val="0"/>
            <w:vAlign w:val="center"/>
          </w:tcPr>
          <w:p w14:paraId="00B65567">
            <w:pPr>
              <w:spacing w:line="240" w:lineRule="auto"/>
              <w:ind w:firstLine="0" w:firstLineChars="0"/>
              <w:jc w:val="center"/>
              <w:rPr>
                <w:rFonts w:hint="eastAsia" w:ascii="宋体" w:hAnsi="宋体" w:eastAsia="宋体" w:cs="宋体"/>
                <w:sz w:val="22"/>
                <w:szCs w:val="22"/>
              </w:rPr>
            </w:pPr>
          </w:p>
        </w:tc>
        <w:tc>
          <w:tcPr>
            <w:tcW w:w="842" w:type="dxa"/>
            <w:noWrap w:val="0"/>
            <w:vAlign w:val="center"/>
          </w:tcPr>
          <w:p w14:paraId="33B3D2C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475" w:type="dxa"/>
            <w:gridSpan w:val="3"/>
            <w:noWrap w:val="0"/>
            <w:vAlign w:val="center"/>
          </w:tcPr>
          <w:p w14:paraId="66300A7D">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村医队伍稳定、服务能力的提升</w:t>
            </w:r>
          </w:p>
        </w:tc>
        <w:tc>
          <w:tcPr>
            <w:tcW w:w="897" w:type="dxa"/>
            <w:noWrap w:val="0"/>
            <w:vAlign w:val="center"/>
          </w:tcPr>
          <w:p w14:paraId="132ABDF9">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829" w:type="dxa"/>
            <w:noWrap w:val="0"/>
            <w:vAlign w:val="center"/>
          </w:tcPr>
          <w:p w14:paraId="589091B5">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640" w:type="dxa"/>
            <w:gridSpan w:val="2"/>
            <w:noWrap w:val="0"/>
            <w:vAlign w:val="center"/>
          </w:tcPr>
          <w:p w14:paraId="52F091D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50FE529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634" w:type="dxa"/>
            <w:gridSpan w:val="2"/>
            <w:noWrap w:val="0"/>
            <w:vAlign w:val="center"/>
          </w:tcPr>
          <w:p w14:paraId="62E3B86B">
            <w:pPr>
              <w:spacing w:line="240" w:lineRule="auto"/>
              <w:ind w:firstLine="0" w:firstLineChars="0"/>
              <w:jc w:val="center"/>
              <w:rPr>
                <w:rFonts w:hint="eastAsia" w:ascii="宋体" w:hAnsi="宋体" w:eastAsia="宋体" w:cs="宋体"/>
                <w:sz w:val="22"/>
                <w:szCs w:val="22"/>
              </w:rPr>
            </w:pPr>
          </w:p>
        </w:tc>
      </w:tr>
      <w:tr w14:paraId="7AB55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2" w:hRule="atLeast"/>
        </w:trPr>
        <w:tc>
          <w:tcPr>
            <w:tcW w:w="642" w:type="dxa"/>
            <w:vMerge w:val="continue"/>
            <w:noWrap w:val="0"/>
            <w:vAlign w:val="center"/>
          </w:tcPr>
          <w:p w14:paraId="54B2C45E">
            <w:pPr>
              <w:spacing w:line="240" w:lineRule="auto"/>
              <w:ind w:firstLine="0" w:firstLineChars="0"/>
              <w:jc w:val="center"/>
              <w:rPr>
                <w:rFonts w:hint="eastAsia" w:ascii="宋体" w:hAnsi="宋体" w:eastAsia="宋体" w:cs="宋体"/>
                <w:sz w:val="22"/>
                <w:szCs w:val="22"/>
              </w:rPr>
            </w:pPr>
          </w:p>
        </w:tc>
        <w:tc>
          <w:tcPr>
            <w:tcW w:w="761" w:type="dxa"/>
            <w:noWrap w:val="0"/>
            <w:vAlign w:val="center"/>
          </w:tcPr>
          <w:p w14:paraId="13E6701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42" w:type="dxa"/>
            <w:noWrap w:val="0"/>
            <w:vAlign w:val="center"/>
          </w:tcPr>
          <w:p w14:paraId="0F3788C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475" w:type="dxa"/>
            <w:gridSpan w:val="3"/>
            <w:noWrap w:val="0"/>
            <w:vAlign w:val="center"/>
          </w:tcPr>
          <w:p w14:paraId="551E2381">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村医满意度</w:t>
            </w:r>
          </w:p>
        </w:tc>
        <w:tc>
          <w:tcPr>
            <w:tcW w:w="897" w:type="dxa"/>
            <w:noWrap w:val="0"/>
            <w:vAlign w:val="center"/>
          </w:tcPr>
          <w:p w14:paraId="0F004BA1">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≥90%</w:t>
            </w:r>
          </w:p>
        </w:tc>
        <w:tc>
          <w:tcPr>
            <w:tcW w:w="829" w:type="dxa"/>
            <w:noWrap w:val="0"/>
            <w:vAlign w:val="center"/>
          </w:tcPr>
          <w:p w14:paraId="7E03D667">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≥90%</w:t>
            </w:r>
          </w:p>
        </w:tc>
        <w:tc>
          <w:tcPr>
            <w:tcW w:w="640" w:type="dxa"/>
            <w:gridSpan w:val="2"/>
            <w:noWrap w:val="0"/>
            <w:vAlign w:val="center"/>
          </w:tcPr>
          <w:p w14:paraId="6A1358C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69E128A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34" w:type="dxa"/>
            <w:gridSpan w:val="2"/>
            <w:noWrap w:val="0"/>
            <w:vAlign w:val="center"/>
          </w:tcPr>
          <w:p w14:paraId="6F933DD5">
            <w:pPr>
              <w:spacing w:line="240" w:lineRule="auto"/>
              <w:ind w:firstLine="0" w:firstLineChars="0"/>
              <w:jc w:val="center"/>
              <w:rPr>
                <w:rFonts w:hint="eastAsia" w:ascii="宋体" w:hAnsi="宋体" w:eastAsia="宋体" w:cs="宋体"/>
                <w:sz w:val="22"/>
                <w:szCs w:val="22"/>
              </w:rPr>
            </w:pPr>
          </w:p>
        </w:tc>
      </w:tr>
      <w:tr w14:paraId="45109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5446" w:type="dxa"/>
            <w:gridSpan w:val="8"/>
            <w:noWrap w:val="0"/>
            <w:vAlign w:val="center"/>
          </w:tcPr>
          <w:p w14:paraId="3E02BAD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40" w:type="dxa"/>
            <w:gridSpan w:val="2"/>
            <w:noWrap w:val="0"/>
            <w:vAlign w:val="center"/>
          </w:tcPr>
          <w:p w14:paraId="388E5CE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39" w:type="dxa"/>
            <w:gridSpan w:val="2"/>
            <w:noWrap w:val="0"/>
            <w:vAlign w:val="center"/>
          </w:tcPr>
          <w:p w14:paraId="2C4A8F6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634" w:type="dxa"/>
            <w:gridSpan w:val="2"/>
            <w:noWrap w:val="0"/>
            <w:vAlign w:val="center"/>
          </w:tcPr>
          <w:p w14:paraId="0E0DEB43">
            <w:pPr>
              <w:spacing w:line="240" w:lineRule="auto"/>
              <w:ind w:firstLine="0" w:firstLineChars="0"/>
              <w:jc w:val="center"/>
              <w:rPr>
                <w:rFonts w:hint="eastAsia" w:ascii="宋体" w:hAnsi="宋体" w:eastAsia="宋体" w:cs="宋体"/>
                <w:sz w:val="22"/>
                <w:szCs w:val="22"/>
              </w:rPr>
            </w:pPr>
          </w:p>
        </w:tc>
      </w:tr>
      <w:tr w14:paraId="30393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 w:hRule="atLeast"/>
        </w:trPr>
        <w:tc>
          <w:tcPr>
            <w:tcW w:w="642" w:type="dxa"/>
            <w:noWrap w:val="0"/>
            <w:vAlign w:val="center"/>
          </w:tcPr>
          <w:p w14:paraId="54F3677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817" w:type="dxa"/>
            <w:gridSpan w:val="13"/>
            <w:noWrap w:val="0"/>
            <w:vAlign w:val="center"/>
          </w:tcPr>
          <w:p w14:paraId="4B99C8D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无。</w:t>
            </w:r>
          </w:p>
        </w:tc>
      </w:tr>
    </w:tbl>
    <w:p w14:paraId="2DBA0495">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627C1B13">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2F8A230F">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056D0E2F">
      <w:pPr>
        <w:ind w:firstLine="432"/>
        <w:rPr>
          <w:rFonts w:ascii="宋体" w:hAnsi="宋体" w:eastAsia="宋体" w:cs="宋体"/>
          <w:spacing w:val="-2"/>
          <w:sz w:val="22"/>
          <w:szCs w:val="22"/>
        </w:rPr>
      </w:pPr>
    </w:p>
    <w:p w14:paraId="2CAD7DCC">
      <w:pPr>
        <w:ind w:firstLine="432"/>
        <w:rPr>
          <w:rFonts w:ascii="宋体" w:hAnsi="宋体" w:eastAsia="宋体" w:cs="宋体"/>
          <w:spacing w:val="-2"/>
          <w:sz w:val="22"/>
          <w:szCs w:val="22"/>
        </w:rPr>
      </w:pPr>
    </w:p>
    <w:p w14:paraId="0844C8E6">
      <w:pPr>
        <w:spacing w:before="111" w:line="560" w:lineRule="exact"/>
        <w:ind w:firstLine="0" w:firstLineChars="0"/>
        <w:outlineLvl w:val="1"/>
        <w:rPr>
          <w:rFonts w:ascii="宋体" w:hAnsi="宋体" w:eastAsia="宋体" w:cs="宋体"/>
          <w:b/>
          <w:bCs/>
          <w:lang w:val="en-US" w:eastAsia="zh-CN"/>
        </w:rPr>
      </w:pPr>
      <w:r>
        <w:rPr>
          <w:rFonts w:hint="eastAsia" w:ascii="宋体" w:hAnsi="宋体" w:eastAsia="宋体" w:cs="宋体"/>
          <w:b/>
          <w:bCs/>
          <w:lang w:val="en-US" w:eastAsia="zh-CN"/>
        </w:rPr>
        <w:t>附件9</w:t>
      </w:r>
    </w:p>
    <w:p w14:paraId="39200720">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1083C3DD">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89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5"/>
        <w:gridCol w:w="800"/>
        <w:gridCol w:w="886"/>
        <w:gridCol w:w="277"/>
        <w:gridCol w:w="1069"/>
        <w:gridCol w:w="205"/>
        <w:gridCol w:w="1139"/>
        <w:gridCol w:w="676"/>
        <w:gridCol w:w="599"/>
        <w:gridCol w:w="74"/>
        <w:gridCol w:w="695"/>
        <w:gridCol w:w="82"/>
        <w:gridCol w:w="599"/>
        <w:gridCol w:w="1123"/>
      </w:tblGrid>
      <w:tr w14:paraId="5902D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1475" w:type="dxa"/>
            <w:gridSpan w:val="2"/>
            <w:noWrap w:val="0"/>
            <w:vAlign w:val="center"/>
          </w:tcPr>
          <w:p w14:paraId="661A5AF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424" w:type="dxa"/>
            <w:gridSpan w:val="12"/>
            <w:noWrap w:val="0"/>
            <w:vAlign w:val="center"/>
          </w:tcPr>
          <w:p w14:paraId="6C45D67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妇幼安全保障经费</w:t>
            </w:r>
          </w:p>
        </w:tc>
      </w:tr>
      <w:tr w14:paraId="12A4E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1475" w:type="dxa"/>
            <w:gridSpan w:val="2"/>
            <w:noWrap w:val="0"/>
            <w:vAlign w:val="center"/>
          </w:tcPr>
          <w:p w14:paraId="4A7927C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576" w:type="dxa"/>
            <w:gridSpan w:val="5"/>
            <w:noWrap w:val="0"/>
            <w:vAlign w:val="center"/>
          </w:tcPr>
          <w:p w14:paraId="569C092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275" w:type="dxa"/>
            <w:gridSpan w:val="2"/>
            <w:noWrap w:val="0"/>
            <w:vAlign w:val="center"/>
          </w:tcPr>
          <w:p w14:paraId="6E188C9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573" w:type="dxa"/>
            <w:gridSpan w:val="5"/>
            <w:noWrap w:val="0"/>
            <w:vAlign w:val="center"/>
          </w:tcPr>
          <w:p w14:paraId="6681CA4A">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各医疗机构</w:t>
            </w:r>
          </w:p>
        </w:tc>
      </w:tr>
      <w:tr w14:paraId="732E5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475" w:type="dxa"/>
            <w:gridSpan w:val="2"/>
            <w:vMerge w:val="restart"/>
            <w:noWrap w:val="0"/>
            <w:vAlign w:val="center"/>
          </w:tcPr>
          <w:p w14:paraId="30781E4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63" w:type="dxa"/>
            <w:gridSpan w:val="2"/>
            <w:noWrap w:val="0"/>
            <w:vAlign w:val="center"/>
          </w:tcPr>
          <w:p w14:paraId="411C70BC">
            <w:pPr>
              <w:spacing w:line="240" w:lineRule="auto"/>
              <w:ind w:firstLine="0" w:firstLineChars="0"/>
              <w:jc w:val="center"/>
              <w:rPr>
                <w:rFonts w:hint="eastAsia" w:ascii="宋体" w:hAnsi="宋体" w:eastAsia="宋体" w:cs="宋体"/>
                <w:sz w:val="22"/>
                <w:szCs w:val="22"/>
              </w:rPr>
            </w:pPr>
          </w:p>
        </w:tc>
        <w:tc>
          <w:tcPr>
            <w:tcW w:w="1069" w:type="dxa"/>
            <w:noWrap w:val="0"/>
            <w:vAlign w:val="center"/>
          </w:tcPr>
          <w:p w14:paraId="6905D6E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344" w:type="dxa"/>
            <w:gridSpan w:val="2"/>
            <w:noWrap w:val="0"/>
            <w:vAlign w:val="center"/>
          </w:tcPr>
          <w:p w14:paraId="16AD893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275" w:type="dxa"/>
            <w:gridSpan w:val="2"/>
            <w:noWrap w:val="0"/>
            <w:vAlign w:val="center"/>
          </w:tcPr>
          <w:p w14:paraId="5ABBC3D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69" w:type="dxa"/>
            <w:gridSpan w:val="2"/>
            <w:noWrap w:val="0"/>
            <w:vAlign w:val="center"/>
          </w:tcPr>
          <w:p w14:paraId="7F67E90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81" w:type="dxa"/>
            <w:gridSpan w:val="2"/>
            <w:noWrap w:val="0"/>
            <w:vAlign w:val="center"/>
          </w:tcPr>
          <w:p w14:paraId="710795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123" w:type="dxa"/>
            <w:noWrap w:val="0"/>
            <w:vAlign w:val="center"/>
          </w:tcPr>
          <w:p w14:paraId="1EDF0A9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688A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475" w:type="dxa"/>
            <w:gridSpan w:val="2"/>
            <w:vMerge w:val="continue"/>
            <w:noWrap w:val="0"/>
            <w:vAlign w:val="center"/>
          </w:tcPr>
          <w:p w14:paraId="598BA0F7">
            <w:pPr>
              <w:spacing w:line="240" w:lineRule="auto"/>
              <w:ind w:firstLine="0" w:firstLineChars="0"/>
              <w:jc w:val="center"/>
              <w:rPr>
                <w:rFonts w:hint="eastAsia" w:ascii="宋体" w:hAnsi="宋体" w:eastAsia="宋体" w:cs="宋体"/>
                <w:sz w:val="22"/>
                <w:szCs w:val="22"/>
              </w:rPr>
            </w:pPr>
          </w:p>
        </w:tc>
        <w:tc>
          <w:tcPr>
            <w:tcW w:w="1163" w:type="dxa"/>
            <w:gridSpan w:val="2"/>
            <w:noWrap w:val="0"/>
            <w:vAlign w:val="center"/>
          </w:tcPr>
          <w:p w14:paraId="2C246A05">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4620072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69" w:type="dxa"/>
            <w:noWrap w:val="0"/>
            <w:vAlign w:val="center"/>
          </w:tcPr>
          <w:p w14:paraId="1DA1BA8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344" w:type="dxa"/>
            <w:gridSpan w:val="2"/>
            <w:noWrap w:val="0"/>
            <w:vAlign w:val="center"/>
          </w:tcPr>
          <w:p w14:paraId="458FC28C">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1275" w:type="dxa"/>
            <w:gridSpan w:val="2"/>
            <w:noWrap w:val="0"/>
            <w:vAlign w:val="center"/>
          </w:tcPr>
          <w:p w14:paraId="58AB7A00">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769" w:type="dxa"/>
            <w:gridSpan w:val="2"/>
            <w:noWrap w:val="0"/>
            <w:vAlign w:val="center"/>
          </w:tcPr>
          <w:p w14:paraId="1598FB0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81" w:type="dxa"/>
            <w:gridSpan w:val="2"/>
            <w:noWrap w:val="0"/>
            <w:vAlign w:val="center"/>
          </w:tcPr>
          <w:p w14:paraId="25E2EA4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123" w:type="dxa"/>
            <w:noWrap w:val="0"/>
            <w:vAlign w:val="center"/>
          </w:tcPr>
          <w:p w14:paraId="2D3903F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019AC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475" w:type="dxa"/>
            <w:gridSpan w:val="2"/>
            <w:vMerge w:val="continue"/>
            <w:noWrap w:val="0"/>
            <w:vAlign w:val="center"/>
          </w:tcPr>
          <w:p w14:paraId="5DF49163">
            <w:pPr>
              <w:spacing w:line="240" w:lineRule="auto"/>
              <w:ind w:firstLine="0" w:firstLineChars="0"/>
              <w:jc w:val="center"/>
              <w:rPr>
                <w:rFonts w:hint="eastAsia" w:ascii="宋体" w:hAnsi="宋体" w:eastAsia="宋体" w:cs="宋体"/>
                <w:sz w:val="22"/>
                <w:szCs w:val="22"/>
              </w:rPr>
            </w:pPr>
          </w:p>
        </w:tc>
        <w:tc>
          <w:tcPr>
            <w:tcW w:w="1163" w:type="dxa"/>
            <w:gridSpan w:val="2"/>
            <w:noWrap w:val="0"/>
            <w:vAlign w:val="center"/>
          </w:tcPr>
          <w:p w14:paraId="7F80929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69" w:type="dxa"/>
            <w:noWrap w:val="0"/>
            <w:vAlign w:val="center"/>
          </w:tcPr>
          <w:p w14:paraId="252378B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344" w:type="dxa"/>
            <w:gridSpan w:val="2"/>
            <w:noWrap w:val="0"/>
            <w:vAlign w:val="center"/>
          </w:tcPr>
          <w:p w14:paraId="02B9C441">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1275" w:type="dxa"/>
            <w:gridSpan w:val="2"/>
            <w:noWrap w:val="0"/>
            <w:vAlign w:val="center"/>
          </w:tcPr>
          <w:p w14:paraId="2DB55B11">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769" w:type="dxa"/>
            <w:gridSpan w:val="2"/>
            <w:noWrap w:val="0"/>
            <w:vAlign w:val="center"/>
          </w:tcPr>
          <w:p w14:paraId="456697D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81" w:type="dxa"/>
            <w:gridSpan w:val="2"/>
            <w:noWrap w:val="0"/>
            <w:vAlign w:val="center"/>
          </w:tcPr>
          <w:p w14:paraId="70265C2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123" w:type="dxa"/>
            <w:noWrap w:val="0"/>
            <w:vAlign w:val="center"/>
          </w:tcPr>
          <w:p w14:paraId="54CF6DE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175C3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475" w:type="dxa"/>
            <w:gridSpan w:val="2"/>
            <w:vMerge w:val="continue"/>
            <w:noWrap w:val="0"/>
            <w:vAlign w:val="center"/>
          </w:tcPr>
          <w:p w14:paraId="299127C9">
            <w:pPr>
              <w:spacing w:line="240" w:lineRule="auto"/>
              <w:ind w:firstLine="0" w:firstLineChars="0"/>
              <w:jc w:val="center"/>
              <w:rPr>
                <w:rFonts w:hint="eastAsia" w:ascii="宋体" w:hAnsi="宋体" w:eastAsia="宋体" w:cs="宋体"/>
                <w:sz w:val="22"/>
                <w:szCs w:val="22"/>
              </w:rPr>
            </w:pPr>
          </w:p>
        </w:tc>
        <w:tc>
          <w:tcPr>
            <w:tcW w:w="1163" w:type="dxa"/>
            <w:gridSpan w:val="2"/>
            <w:noWrap w:val="0"/>
            <w:vAlign w:val="center"/>
          </w:tcPr>
          <w:p w14:paraId="7EFB6118">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63375E2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69" w:type="dxa"/>
            <w:noWrap w:val="0"/>
            <w:vAlign w:val="center"/>
          </w:tcPr>
          <w:p w14:paraId="4E154DC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344" w:type="dxa"/>
            <w:gridSpan w:val="2"/>
            <w:noWrap w:val="0"/>
            <w:vAlign w:val="center"/>
          </w:tcPr>
          <w:p w14:paraId="03FBD456">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275" w:type="dxa"/>
            <w:gridSpan w:val="2"/>
            <w:noWrap w:val="0"/>
            <w:vAlign w:val="center"/>
          </w:tcPr>
          <w:p w14:paraId="43D34868">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69" w:type="dxa"/>
            <w:gridSpan w:val="2"/>
            <w:noWrap w:val="0"/>
            <w:vAlign w:val="center"/>
          </w:tcPr>
          <w:p w14:paraId="4CE1D7F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81" w:type="dxa"/>
            <w:gridSpan w:val="2"/>
            <w:noWrap w:val="0"/>
            <w:vAlign w:val="center"/>
          </w:tcPr>
          <w:p w14:paraId="5E58F417">
            <w:pPr>
              <w:spacing w:line="240" w:lineRule="auto"/>
              <w:ind w:firstLine="0" w:firstLineChars="0"/>
              <w:jc w:val="center"/>
              <w:rPr>
                <w:rFonts w:hint="eastAsia" w:ascii="宋体" w:hAnsi="宋体" w:eastAsia="宋体" w:cs="宋体"/>
                <w:sz w:val="22"/>
                <w:szCs w:val="22"/>
              </w:rPr>
            </w:pPr>
          </w:p>
        </w:tc>
        <w:tc>
          <w:tcPr>
            <w:tcW w:w="1123" w:type="dxa"/>
            <w:noWrap w:val="0"/>
            <w:vAlign w:val="center"/>
          </w:tcPr>
          <w:p w14:paraId="7B9F8D7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41ED2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1475" w:type="dxa"/>
            <w:gridSpan w:val="2"/>
            <w:vMerge w:val="continue"/>
            <w:noWrap w:val="0"/>
            <w:vAlign w:val="center"/>
          </w:tcPr>
          <w:p w14:paraId="1B0B08F5">
            <w:pPr>
              <w:spacing w:line="240" w:lineRule="auto"/>
              <w:ind w:firstLine="0" w:firstLineChars="0"/>
              <w:jc w:val="center"/>
              <w:rPr>
                <w:rFonts w:hint="eastAsia" w:ascii="宋体" w:hAnsi="宋体" w:eastAsia="宋体" w:cs="宋体"/>
                <w:sz w:val="22"/>
                <w:szCs w:val="22"/>
              </w:rPr>
            </w:pPr>
          </w:p>
        </w:tc>
        <w:tc>
          <w:tcPr>
            <w:tcW w:w="1163" w:type="dxa"/>
            <w:gridSpan w:val="2"/>
            <w:noWrap w:val="0"/>
            <w:vAlign w:val="center"/>
          </w:tcPr>
          <w:p w14:paraId="1D45D5E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69" w:type="dxa"/>
            <w:noWrap w:val="0"/>
            <w:vAlign w:val="center"/>
          </w:tcPr>
          <w:p w14:paraId="4F26257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344" w:type="dxa"/>
            <w:gridSpan w:val="2"/>
            <w:noWrap w:val="0"/>
            <w:vAlign w:val="center"/>
          </w:tcPr>
          <w:p w14:paraId="27457DF9">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275" w:type="dxa"/>
            <w:gridSpan w:val="2"/>
            <w:noWrap w:val="0"/>
            <w:vAlign w:val="center"/>
          </w:tcPr>
          <w:p w14:paraId="0F7D138C">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69" w:type="dxa"/>
            <w:gridSpan w:val="2"/>
            <w:noWrap w:val="0"/>
            <w:vAlign w:val="center"/>
          </w:tcPr>
          <w:p w14:paraId="5303128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81" w:type="dxa"/>
            <w:gridSpan w:val="2"/>
            <w:noWrap w:val="0"/>
            <w:vAlign w:val="center"/>
          </w:tcPr>
          <w:p w14:paraId="400CA137">
            <w:pPr>
              <w:spacing w:line="240" w:lineRule="auto"/>
              <w:ind w:firstLine="0" w:firstLineChars="0"/>
              <w:jc w:val="center"/>
              <w:rPr>
                <w:rFonts w:hint="eastAsia" w:ascii="宋体" w:hAnsi="宋体" w:eastAsia="宋体" w:cs="宋体"/>
                <w:sz w:val="22"/>
                <w:szCs w:val="22"/>
              </w:rPr>
            </w:pPr>
          </w:p>
        </w:tc>
        <w:tc>
          <w:tcPr>
            <w:tcW w:w="1123" w:type="dxa"/>
            <w:noWrap w:val="0"/>
            <w:vAlign w:val="center"/>
          </w:tcPr>
          <w:p w14:paraId="5C65F6E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DC1D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675" w:type="dxa"/>
            <w:vMerge w:val="restart"/>
            <w:noWrap w:val="0"/>
            <w:vAlign w:val="center"/>
          </w:tcPr>
          <w:p w14:paraId="40A562F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376" w:type="dxa"/>
            <w:gridSpan w:val="6"/>
            <w:noWrap w:val="0"/>
            <w:vAlign w:val="center"/>
          </w:tcPr>
          <w:p w14:paraId="72AC898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848" w:type="dxa"/>
            <w:gridSpan w:val="7"/>
            <w:noWrap w:val="0"/>
            <w:vAlign w:val="center"/>
          </w:tcPr>
          <w:p w14:paraId="2832484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7DFE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1" w:hRule="atLeast"/>
        </w:trPr>
        <w:tc>
          <w:tcPr>
            <w:tcW w:w="675" w:type="dxa"/>
            <w:vMerge w:val="continue"/>
            <w:noWrap w:val="0"/>
            <w:vAlign w:val="center"/>
          </w:tcPr>
          <w:p w14:paraId="44B6E51C">
            <w:pPr>
              <w:spacing w:line="240" w:lineRule="auto"/>
              <w:ind w:firstLine="0" w:firstLineChars="0"/>
              <w:jc w:val="center"/>
              <w:rPr>
                <w:rFonts w:hint="eastAsia" w:ascii="宋体" w:hAnsi="宋体" w:eastAsia="宋体" w:cs="宋体"/>
                <w:sz w:val="22"/>
                <w:szCs w:val="22"/>
              </w:rPr>
            </w:pPr>
          </w:p>
        </w:tc>
        <w:tc>
          <w:tcPr>
            <w:tcW w:w="4376" w:type="dxa"/>
            <w:gridSpan w:val="6"/>
            <w:noWrap w:val="0"/>
            <w:vAlign w:val="center"/>
          </w:tcPr>
          <w:p w14:paraId="73645E59">
            <w:pPr>
              <w:spacing w:line="240" w:lineRule="auto"/>
              <w:ind w:firstLine="0" w:firstLineChars="0"/>
              <w:jc w:val="center"/>
              <w:rPr>
                <w:rFonts w:hint="eastAsia" w:ascii="宋体" w:hAnsi="宋体" w:eastAsia="宋体" w:cs="宋体"/>
                <w:sz w:val="20"/>
                <w:szCs w:val="20"/>
              </w:rPr>
            </w:pPr>
            <w:r>
              <w:rPr>
                <w:rFonts w:hint="eastAsia" w:ascii="宋体" w:hAnsi="宋体" w:eastAsia="宋体" w:cs="宋体"/>
                <w:sz w:val="20"/>
                <w:szCs w:val="20"/>
              </w:rPr>
              <w:t>增强新区妇女儿童保健意识，提升妇女儿童健康保障水平，保障母婴安全，降低孕产妇和新生儿死亡率，促进经济社会和谐发展。</w:t>
            </w:r>
          </w:p>
        </w:tc>
        <w:tc>
          <w:tcPr>
            <w:tcW w:w="3848" w:type="dxa"/>
            <w:gridSpan w:val="7"/>
            <w:noWrap w:val="0"/>
            <w:vAlign w:val="center"/>
          </w:tcPr>
          <w:p w14:paraId="3E959545">
            <w:pPr>
              <w:spacing w:line="240" w:lineRule="auto"/>
              <w:ind w:firstLine="0" w:firstLineChars="0"/>
              <w:jc w:val="center"/>
              <w:rPr>
                <w:rFonts w:hint="eastAsia" w:ascii="宋体" w:hAnsi="宋体" w:eastAsia="宋体" w:cs="宋体"/>
                <w:sz w:val="20"/>
                <w:szCs w:val="20"/>
              </w:rPr>
            </w:pPr>
            <w:r>
              <w:rPr>
                <w:rFonts w:hint="eastAsia" w:ascii="宋体" w:hAnsi="宋体" w:eastAsia="宋体" w:cs="宋体"/>
                <w:sz w:val="20"/>
                <w:szCs w:val="20"/>
              </w:rPr>
              <w:t>通过开展托幼机构卫生保健业务培训会，进一步加强和规范新区托幼机构卫生保健管理工作，提高托幼机构保健人员业务能力，保证儿童身心健康发展。通过加强新区妇幼健康培训工作，提升了妇幼健康、母婴保健人员的业务能力，使新区母婴安全得到保障。</w:t>
            </w:r>
          </w:p>
        </w:tc>
      </w:tr>
      <w:tr w14:paraId="6A5BC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75" w:type="dxa"/>
            <w:vMerge w:val="restart"/>
            <w:noWrap w:val="0"/>
            <w:vAlign w:val="center"/>
          </w:tcPr>
          <w:p w14:paraId="529A21E5">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800" w:type="dxa"/>
            <w:noWrap w:val="0"/>
            <w:vAlign w:val="center"/>
          </w:tcPr>
          <w:p w14:paraId="2131FA6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2158D6F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86" w:type="dxa"/>
            <w:noWrap w:val="0"/>
            <w:vAlign w:val="center"/>
          </w:tcPr>
          <w:p w14:paraId="0D363E2A">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622F49D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51" w:type="dxa"/>
            <w:gridSpan w:val="3"/>
            <w:noWrap w:val="0"/>
            <w:vAlign w:val="center"/>
          </w:tcPr>
          <w:p w14:paraId="55A8010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1139" w:type="dxa"/>
            <w:noWrap w:val="0"/>
            <w:vAlign w:val="center"/>
          </w:tcPr>
          <w:p w14:paraId="657995D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676" w:type="dxa"/>
            <w:noWrap w:val="0"/>
            <w:vAlign w:val="center"/>
          </w:tcPr>
          <w:p w14:paraId="0B3781C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73" w:type="dxa"/>
            <w:gridSpan w:val="2"/>
            <w:noWrap w:val="0"/>
            <w:vAlign w:val="center"/>
          </w:tcPr>
          <w:p w14:paraId="43263CF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77" w:type="dxa"/>
            <w:gridSpan w:val="2"/>
            <w:noWrap w:val="0"/>
            <w:vAlign w:val="center"/>
          </w:tcPr>
          <w:p w14:paraId="5306784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722" w:type="dxa"/>
            <w:gridSpan w:val="2"/>
            <w:noWrap w:val="0"/>
            <w:vAlign w:val="center"/>
          </w:tcPr>
          <w:p w14:paraId="1CC03B7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249B5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trPr>
        <w:tc>
          <w:tcPr>
            <w:tcW w:w="675" w:type="dxa"/>
            <w:vMerge w:val="continue"/>
            <w:noWrap w:val="0"/>
            <w:textDirection w:val="tbRlV"/>
            <w:vAlign w:val="center"/>
          </w:tcPr>
          <w:p w14:paraId="7824B6F4">
            <w:pPr>
              <w:spacing w:line="240" w:lineRule="auto"/>
              <w:ind w:left="113" w:right="113" w:firstLine="0" w:firstLineChars="0"/>
              <w:jc w:val="center"/>
              <w:rPr>
                <w:rFonts w:hint="eastAsia" w:ascii="宋体" w:hAnsi="宋体" w:eastAsia="宋体" w:cs="宋体"/>
                <w:sz w:val="22"/>
                <w:szCs w:val="22"/>
              </w:rPr>
            </w:pPr>
          </w:p>
        </w:tc>
        <w:tc>
          <w:tcPr>
            <w:tcW w:w="800" w:type="dxa"/>
            <w:vMerge w:val="restart"/>
            <w:noWrap w:val="0"/>
            <w:vAlign w:val="center"/>
          </w:tcPr>
          <w:p w14:paraId="3762E07E">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7171877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86" w:type="dxa"/>
            <w:vMerge w:val="restart"/>
            <w:noWrap w:val="0"/>
            <w:vAlign w:val="center"/>
          </w:tcPr>
          <w:p w14:paraId="0B59B66C">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479EA68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51" w:type="dxa"/>
            <w:gridSpan w:val="3"/>
            <w:noWrap w:val="0"/>
            <w:vAlign w:val="center"/>
          </w:tcPr>
          <w:p w14:paraId="60348770">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孕产妇死亡率</w:t>
            </w:r>
          </w:p>
        </w:tc>
        <w:tc>
          <w:tcPr>
            <w:tcW w:w="1139" w:type="dxa"/>
            <w:noWrap w:val="0"/>
            <w:vAlign w:val="center"/>
          </w:tcPr>
          <w:p w14:paraId="5775DB71">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≤17/10万</w:t>
            </w:r>
          </w:p>
        </w:tc>
        <w:tc>
          <w:tcPr>
            <w:tcW w:w="676" w:type="dxa"/>
            <w:noWrap w:val="0"/>
            <w:vAlign w:val="center"/>
          </w:tcPr>
          <w:p w14:paraId="6378AB9C">
            <w:pPr>
              <w:keepNext w:val="0"/>
              <w:keepLines w:val="0"/>
              <w:widowControl/>
              <w:suppressLineNumbers w:val="0"/>
              <w:jc w:val="both"/>
              <w:textAlignment w:val="center"/>
              <w:rPr>
                <w:rFonts w:hint="eastAsia" w:ascii="宋体" w:hAnsi="宋体" w:eastAsia="宋体" w:cs="宋体"/>
                <w:sz w:val="21"/>
                <w:szCs w:val="21"/>
                <w:lang w:val="en-US" w:eastAsia="zh-CN"/>
              </w:rPr>
            </w:pPr>
            <w:r>
              <w:rPr>
                <w:rFonts w:hint="eastAsia" w:ascii="宋体" w:hAnsi="宋体" w:eastAsia="宋体" w:cs="宋体"/>
                <w:i w:val="0"/>
                <w:iCs w:val="0"/>
                <w:snapToGrid w:val="0"/>
                <w:color w:val="000000"/>
                <w:kern w:val="0"/>
                <w:sz w:val="21"/>
                <w:szCs w:val="21"/>
                <w:u w:val="none"/>
                <w:lang w:val="en-US" w:eastAsia="zh-CN" w:bidi="ar"/>
              </w:rPr>
              <w:t>0</w:t>
            </w:r>
          </w:p>
        </w:tc>
        <w:tc>
          <w:tcPr>
            <w:tcW w:w="673" w:type="dxa"/>
            <w:gridSpan w:val="2"/>
            <w:noWrap w:val="0"/>
            <w:vAlign w:val="center"/>
          </w:tcPr>
          <w:p w14:paraId="49D01813">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777" w:type="dxa"/>
            <w:gridSpan w:val="2"/>
            <w:noWrap w:val="0"/>
            <w:vAlign w:val="center"/>
          </w:tcPr>
          <w:p w14:paraId="65C116F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722" w:type="dxa"/>
            <w:gridSpan w:val="2"/>
            <w:noWrap w:val="0"/>
            <w:vAlign w:val="center"/>
          </w:tcPr>
          <w:p w14:paraId="37B23252">
            <w:pPr>
              <w:spacing w:line="240" w:lineRule="auto"/>
              <w:ind w:firstLine="0" w:firstLineChars="0"/>
              <w:jc w:val="center"/>
              <w:rPr>
                <w:rFonts w:hint="eastAsia" w:ascii="宋体" w:hAnsi="宋体" w:eastAsia="宋体" w:cs="宋体"/>
                <w:sz w:val="22"/>
                <w:szCs w:val="22"/>
              </w:rPr>
            </w:pPr>
          </w:p>
        </w:tc>
      </w:tr>
      <w:tr w14:paraId="262E8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vAlign w:val="center"/>
          </w:tcPr>
          <w:p w14:paraId="4DFE45E7">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14D97B6C">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301842E9">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3FA2FD6B">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婴儿和5岁以下儿童死亡率</w:t>
            </w:r>
          </w:p>
        </w:tc>
        <w:tc>
          <w:tcPr>
            <w:tcW w:w="1139" w:type="dxa"/>
            <w:noWrap w:val="0"/>
            <w:vAlign w:val="center"/>
          </w:tcPr>
          <w:p w14:paraId="295A35AC">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≤6‰和8‰</w:t>
            </w:r>
          </w:p>
        </w:tc>
        <w:tc>
          <w:tcPr>
            <w:tcW w:w="676" w:type="dxa"/>
            <w:noWrap w:val="0"/>
            <w:vAlign w:val="center"/>
          </w:tcPr>
          <w:p w14:paraId="5C1059E0">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3.18‰</w:t>
            </w:r>
          </w:p>
        </w:tc>
        <w:tc>
          <w:tcPr>
            <w:tcW w:w="673" w:type="dxa"/>
            <w:gridSpan w:val="2"/>
            <w:noWrap w:val="0"/>
            <w:vAlign w:val="center"/>
          </w:tcPr>
          <w:p w14:paraId="6473A1DA">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777" w:type="dxa"/>
            <w:gridSpan w:val="2"/>
            <w:noWrap w:val="0"/>
            <w:vAlign w:val="center"/>
          </w:tcPr>
          <w:p w14:paraId="73C7062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722" w:type="dxa"/>
            <w:gridSpan w:val="2"/>
            <w:noWrap w:val="0"/>
            <w:vAlign w:val="center"/>
          </w:tcPr>
          <w:p w14:paraId="7BC9B7C4">
            <w:pPr>
              <w:spacing w:line="240" w:lineRule="auto"/>
              <w:ind w:firstLine="0" w:firstLineChars="0"/>
              <w:jc w:val="center"/>
              <w:rPr>
                <w:rFonts w:hint="eastAsia" w:ascii="宋体" w:hAnsi="宋体" w:eastAsia="宋体" w:cs="宋体"/>
                <w:sz w:val="22"/>
                <w:szCs w:val="22"/>
              </w:rPr>
            </w:pPr>
          </w:p>
        </w:tc>
      </w:tr>
      <w:tr w14:paraId="16B4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vAlign w:val="center"/>
          </w:tcPr>
          <w:p w14:paraId="29FA50A7">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5CD62DB9">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49F68095">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53878472">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孕产妇系统管理率</w:t>
            </w:r>
          </w:p>
        </w:tc>
        <w:tc>
          <w:tcPr>
            <w:tcW w:w="1139" w:type="dxa"/>
            <w:noWrap w:val="0"/>
            <w:vAlign w:val="center"/>
          </w:tcPr>
          <w:p w14:paraId="6BC87995">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≥90%</w:t>
            </w:r>
          </w:p>
        </w:tc>
        <w:tc>
          <w:tcPr>
            <w:tcW w:w="676" w:type="dxa"/>
            <w:noWrap w:val="0"/>
            <w:vAlign w:val="center"/>
          </w:tcPr>
          <w:p w14:paraId="586E159D">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93.2%</w:t>
            </w:r>
          </w:p>
        </w:tc>
        <w:tc>
          <w:tcPr>
            <w:tcW w:w="673" w:type="dxa"/>
            <w:gridSpan w:val="2"/>
            <w:noWrap w:val="0"/>
            <w:vAlign w:val="center"/>
          </w:tcPr>
          <w:p w14:paraId="5085A772">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777" w:type="dxa"/>
            <w:gridSpan w:val="2"/>
            <w:noWrap w:val="0"/>
            <w:vAlign w:val="center"/>
          </w:tcPr>
          <w:p w14:paraId="6B1B378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722" w:type="dxa"/>
            <w:gridSpan w:val="2"/>
            <w:noWrap w:val="0"/>
            <w:vAlign w:val="center"/>
          </w:tcPr>
          <w:p w14:paraId="4033A302">
            <w:pPr>
              <w:spacing w:line="240" w:lineRule="auto"/>
              <w:ind w:firstLine="0" w:firstLineChars="0"/>
              <w:jc w:val="center"/>
              <w:rPr>
                <w:rFonts w:hint="eastAsia" w:ascii="宋体" w:hAnsi="宋体" w:eastAsia="宋体" w:cs="宋体"/>
                <w:sz w:val="22"/>
                <w:szCs w:val="22"/>
              </w:rPr>
            </w:pPr>
          </w:p>
        </w:tc>
      </w:tr>
      <w:tr w14:paraId="68520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vAlign w:val="center"/>
          </w:tcPr>
          <w:p w14:paraId="38098FEB">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728DF5A1">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795F66C9">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2ED2434F">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3岁以下儿童系统管理率</w:t>
            </w:r>
          </w:p>
        </w:tc>
        <w:tc>
          <w:tcPr>
            <w:tcW w:w="1139" w:type="dxa"/>
            <w:noWrap w:val="0"/>
            <w:vAlign w:val="center"/>
          </w:tcPr>
          <w:p w14:paraId="07486EB3">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≥80%</w:t>
            </w:r>
          </w:p>
        </w:tc>
        <w:tc>
          <w:tcPr>
            <w:tcW w:w="676" w:type="dxa"/>
            <w:noWrap w:val="0"/>
            <w:vAlign w:val="center"/>
          </w:tcPr>
          <w:p w14:paraId="1762BF66">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92.95%</w:t>
            </w:r>
          </w:p>
        </w:tc>
        <w:tc>
          <w:tcPr>
            <w:tcW w:w="673" w:type="dxa"/>
            <w:gridSpan w:val="2"/>
            <w:noWrap w:val="0"/>
            <w:vAlign w:val="center"/>
          </w:tcPr>
          <w:p w14:paraId="2540435A">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6F96FDC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722" w:type="dxa"/>
            <w:gridSpan w:val="2"/>
            <w:noWrap w:val="0"/>
            <w:vAlign w:val="center"/>
          </w:tcPr>
          <w:p w14:paraId="4DE31D2B">
            <w:pPr>
              <w:spacing w:line="240" w:lineRule="auto"/>
              <w:ind w:firstLine="0" w:firstLineChars="0"/>
              <w:jc w:val="center"/>
              <w:rPr>
                <w:rFonts w:hint="eastAsia" w:ascii="宋体" w:hAnsi="宋体" w:eastAsia="宋体" w:cs="宋体"/>
                <w:sz w:val="22"/>
                <w:szCs w:val="22"/>
              </w:rPr>
            </w:pPr>
          </w:p>
        </w:tc>
      </w:tr>
      <w:tr w14:paraId="0FE1E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vAlign w:val="center"/>
          </w:tcPr>
          <w:p w14:paraId="5CF6D847">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1A8CA7AE">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7F4162B3">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4EACC20C">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b w:val="0"/>
                <w:bCs w:val="0"/>
                <w:i w:val="0"/>
                <w:iCs w:val="0"/>
                <w:snapToGrid w:val="0"/>
                <w:color w:val="000000"/>
                <w:kern w:val="0"/>
                <w:sz w:val="21"/>
                <w:szCs w:val="21"/>
                <w:u w:val="none"/>
                <w:lang w:val="en-US" w:eastAsia="zh-CN" w:bidi="ar"/>
              </w:rPr>
              <w:t>7</w:t>
            </w:r>
            <w:r>
              <w:rPr>
                <w:rStyle w:val="27"/>
                <w:rFonts w:hint="eastAsia" w:ascii="宋体" w:hAnsi="宋体" w:eastAsia="宋体" w:cs="宋体"/>
                <w:b w:val="0"/>
                <w:bCs w:val="0"/>
                <w:snapToGrid w:val="0"/>
                <w:sz w:val="21"/>
                <w:szCs w:val="21"/>
                <w:lang w:val="en-US" w:eastAsia="zh-CN" w:bidi="ar"/>
              </w:rPr>
              <w:t>岁以下儿童健康管理率</w:t>
            </w:r>
          </w:p>
        </w:tc>
        <w:tc>
          <w:tcPr>
            <w:tcW w:w="1139" w:type="dxa"/>
            <w:noWrap w:val="0"/>
            <w:vAlign w:val="center"/>
          </w:tcPr>
          <w:p w14:paraId="5C2CC185">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≥85%</w:t>
            </w:r>
          </w:p>
        </w:tc>
        <w:tc>
          <w:tcPr>
            <w:tcW w:w="676" w:type="dxa"/>
            <w:noWrap w:val="0"/>
            <w:vAlign w:val="center"/>
          </w:tcPr>
          <w:p w14:paraId="2E1E377B">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95.18%</w:t>
            </w:r>
          </w:p>
        </w:tc>
        <w:tc>
          <w:tcPr>
            <w:tcW w:w="673" w:type="dxa"/>
            <w:gridSpan w:val="2"/>
            <w:noWrap w:val="0"/>
            <w:vAlign w:val="center"/>
          </w:tcPr>
          <w:p w14:paraId="1AF64EEA">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777" w:type="dxa"/>
            <w:gridSpan w:val="2"/>
            <w:noWrap w:val="0"/>
            <w:vAlign w:val="center"/>
          </w:tcPr>
          <w:p w14:paraId="5DF4D50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722" w:type="dxa"/>
            <w:gridSpan w:val="2"/>
            <w:noWrap w:val="0"/>
            <w:vAlign w:val="center"/>
          </w:tcPr>
          <w:p w14:paraId="2C2A70E3">
            <w:pPr>
              <w:spacing w:line="240" w:lineRule="auto"/>
              <w:ind w:firstLine="0" w:firstLineChars="0"/>
              <w:jc w:val="center"/>
              <w:rPr>
                <w:rFonts w:hint="eastAsia" w:ascii="宋体" w:hAnsi="宋体" w:eastAsia="宋体" w:cs="宋体"/>
                <w:sz w:val="22"/>
                <w:szCs w:val="22"/>
              </w:rPr>
            </w:pPr>
          </w:p>
        </w:tc>
      </w:tr>
      <w:tr w14:paraId="14E0F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trPr>
        <w:tc>
          <w:tcPr>
            <w:tcW w:w="675" w:type="dxa"/>
            <w:vMerge w:val="continue"/>
            <w:noWrap w:val="0"/>
            <w:vAlign w:val="center"/>
          </w:tcPr>
          <w:p w14:paraId="28D5A03D">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716E9703">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7C08B787">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3EFEEE72">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0-6岁儿童眼保健和视力检查覆盖率</w:t>
            </w:r>
          </w:p>
        </w:tc>
        <w:tc>
          <w:tcPr>
            <w:tcW w:w="1139" w:type="dxa"/>
            <w:noWrap w:val="0"/>
            <w:vAlign w:val="center"/>
          </w:tcPr>
          <w:p w14:paraId="13E7E79E">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≥90%</w:t>
            </w:r>
          </w:p>
        </w:tc>
        <w:tc>
          <w:tcPr>
            <w:tcW w:w="676" w:type="dxa"/>
            <w:noWrap w:val="0"/>
            <w:vAlign w:val="center"/>
          </w:tcPr>
          <w:p w14:paraId="2955598A">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94.34%</w:t>
            </w:r>
          </w:p>
        </w:tc>
        <w:tc>
          <w:tcPr>
            <w:tcW w:w="673" w:type="dxa"/>
            <w:gridSpan w:val="2"/>
            <w:noWrap w:val="0"/>
            <w:vAlign w:val="center"/>
          </w:tcPr>
          <w:p w14:paraId="57DB424A">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353A1B4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722" w:type="dxa"/>
            <w:gridSpan w:val="2"/>
            <w:noWrap w:val="0"/>
            <w:vAlign w:val="center"/>
          </w:tcPr>
          <w:p w14:paraId="655CFBA4">
            <w:pPr>
              <w:spacing w:line="240" w:lineRule="auto"/>
              <w:ind w:firstLine="0" w:firstLineChars="0"/>
              <w:jc w:val="center"/>
              <w:rPr>
                <w:rFonts w:hint="eastAsia" w:ascii="宋体" w:hAnsi="宋体" w:eastAsia="宋体" w:cs="宋体"/>
                <w:sz w:val="22"/>
                <w:szCs w:val="22"/>
              </w:rPr>
            </w:pPr>
          </w:p>
        </w:tc>
      </w:tr>
      <w:tr w14:paraId="0F78B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23" w:hRule="atLeast"/>
        </w:trPr>
        <w:tc>
          <w:tcPr>
            <w:tcW w:w="675" w:type="dxa"/>
            <w:vMerge w:val="continue"/>
            <w:noWrap w:val="0"/>
            <w:vAlign w:val="center"/>
          </w:tcPr>
          <w:p w14:paraId="6FFAC526">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2BEEDF1E">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4828030E">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1AF98B75">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培训覆盖人数</w:t>
            </w:r>
          </w:p>
        </w:tc>
        <w:tc>
          <w:tcPr>
            <w:tcW w:w="1139" w:type="dxa"/>
            <w:noWrap w:val="0"/>
            <w:vAlign w:val="center"/>
          </w:tcPr>
          <w:p w14:paraId="44F25526">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达到参与母婴保健工作人员90%以上</w:t>
            </w:r>
          </w:p>
        </w:tc>
        <w:tc>
          <w:tcPr>
            <w:tcW w:w="676" w:type="dxa"/>
            <w:noWrap w:val="0"/>
            <w:vAlign w:val="center"/>
          </w:tcPr>
          <w:p w14:paraId="1FD2AE7B">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基层医疗机构妇幼专干全覆盖</w:t>
            </w:r>
          </w:p>
        </w:tc>
        <w:tc>
          <w:tcPr>
            <w:tcW w:w="673" w:type="dxa"/>
            <w:gridSpan w:val="2"/>
            <w:noWrap w:val="0"/>
            <w:vAlign w:val="center"/>
          </w:tcPr>
          <w:p w14:paraId="35557AFF">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777" w:type="dxa"/>
            <w:gridSpan w:val="2"/>
            <w:noWrap w:val="0"/>
            <w:vAlign w:val="center"/>
          </w:tcPr>
          <w:p w14:paraId="2BFF276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722" w:type="dxa"/>
            <w:gridSpan w:val="2"/>
            <w:noWrap w:val="0"/>
            <w:vAlign w:val="center"/>
          </w:tcPr>
          <w:p w14:paraId="72DB2530">
            <w:pPr>
              <w:spacing w:line="240" w:lineRule="auto"/>
              <w:ind w:firstLine="0" w:firstLineChars="0"/>
              <w:jc w:val="center"/>
              <w:rPr>
                <w:rFonts w:hint="eastAsia" w:ascii="宋体" w:hAnsi="宋体" w:eastAsia="宋体" w:cs="宋体"/>
                <w:sz w:val="22"/>
                <w:szCs w:val="22"/>
              </w:rPr>
            </w:pPr>
          </w:p>
        </w:tc>
      </w:tr>
      <w:tr w14:paraId="6328D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675" w:type="dxa"/>
            <w:vMerge w:val="continue"/>
            <w:noWrap w:val="0"/>
            <w:vAlign w:val="center"/>
          </w:tcPr>
          <w:p w14:paraId="51F55BCB">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7E6F9026">
            <w:pPr>
              <w:spacing w:line="240" w:lineRule="auto"/>
              <w:ind w:firstLine="0" w:firstLineChars="0"/>
              <w:jc w:val="center"/>
              <w:rPr>
                <w:rFonts w:hint="eastAsia" w:ascii="宋体" w:hAnsi="宋体" w:eastAsia="宋体" w:cs="宋体"/>
                <w:sz w:val="22"/>
                <w:szCs w:val="22"/>
              </w:rPr>
            </w:pPr>
          </w:p>
        </w:tc>
        <w:tc>
          <w:tcPr>
            <w:tcW w:w="886" w:type="dxa"/>
            <w:noWrap w:val="0"/>
            <w:vAlign w:val="center"/>
          </w:tcPr>
          <w:p w14:paraId="18AB6A5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4F58558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51" w:type="dxa"/>
            <w:gridSpan w:val="3"/>
            <w:noWrap w:val="0"/>
            <w:vAlign w:val="center"/>
          </w:tcPr>
          <w:p w14:paraId="73C99E19">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人员培训合格率</w:t>
            </w:r>
          </w:p>
        </w:tc>
        <w:tc>
          <w:tcPr>
            <w:tcW w:w="1139" w:type="dxa"/>
            <w:noWrap w:val="0"/>
            <w:vAlign w:val="center"/>
          </w:tcPr>
          <w:p w14:paraId="773B8AE7">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≥90%</w:t>
            </w:r>
          </w:p>
        </w:tc>
        <w:tc>
          <w:tcPr>
            <w:tcW w:w="676" w:type="dxa"/>
            <w:noWrap w:val="0"/>
            <w:vAlign w:val="center"/>
          </w:tcPr>
          <w:p w14:paraId="111F83DB">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≥90%</w:t>
            </w:r>
          </w:p>
        </w:tc>
        <w:tc>
          <w:tcPr>
            <w:tcW w:w="673" w:type="dxa"/>
            <w:gridSpan w:val="2"/>
            <w:noWrap w:val="0"/>
            <w:vAlign w:val="center"/>
          </w:tcPr>
          <w:p w14:paraId="03726EA6">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777" w:type="dxa"/>
            <w:gridSpan w:val="2"/>
            <w:noWrap w:val="0"/>
            <w:vAlign w:val="center"/>
          </w:tcPr>
          <w:p w14:paraId="63222F7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722" w:type="dxa"/>
            <w:gridSpan w:val="2"/>
            <w:noWrap w:val="0"/>
            <w:vAlign w:val="center"/>
          </w:tcPr>
          <w:p w14:paraId="14AAE67B">
            <w:pPr>
              <w:spacing w:line="240" w:lineRule="auto"/>
              <w:ind w:firstLine="0" w:firstLineChars="0"/>
              <w:jc w:val="center"/>
              <w:rPr>
                <w:rFonts w:hint="eastAsia" w:ascii="宋体" w:hAnsi="宋体" w:eastAsia="宋体" w:cs="宋体"/>
                <w:sz w:val="22"/>
                <w:szCs w:val="22"/>
              </w:rPr>
            </w:pPr>
          </w:p>
        </w:tc>
      </w:tr>
      <w:tr w14:paraId="48E25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vAlign w:val="center"/>
          </w:tcPr>
          <w:p w14:paraId="09326671">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6EEB6C92">
            <w:pPr>
              <w:spacing w:line="240" w:lineRule="auto"/>
              <w:ind w:firstLine="0" w:firstLineChars="0"/>
              <w:jc w:val="center"/>
              <w:rPr>
                <w:rFonts w:hint="eastAsia" w:ascii="宋体" w:hAnsi="宋体" w:eastAsia="宋体" w:cs="宋体"/>
                <w:sz w:val="22"/>
                <w:szCs w:val="22"/>
              </w:rPr>
            </w:pPr>
          </w:p>
        </w:tc>
        <w:tc>
          <w:tcPr>
            <w:tcW w:w="886" w:type="dxa"/>
            <w:vMerge w:val="restart"/>
            <w:noWrap w:val="0"/>
            <w:vAlign w:val="center"/>
          </w:tcPr>
          <w:p w14:paraId="3C6E5BB4">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641F520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551" w:type="dxa"/>
            <w:gridSpan w:val="3"/>
            <w:noWrap w:val="0"/>
            <w:vAlign w:val="center"/>
          </w:tcPr>
          <w:p w14:paraId="6C2404D4">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母子健康手册发放及时率</w:t>
            </w:r>
          </w:p>
        </w:tc>
        <w:tc>
          <w:tcPr>
            <w:tcW w:w="1139" w:type="dxa"/>
            <w:noWrap w:val="0"/>
            <w:vAlign w:val="center"/>
          </w:tcPr>
          <w:p w14:paraId="6231EE4B">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100%</w:t>
            </w:r>
          </w:p>
        </w:tc>
        <w:tc>
          <w:tcPr>
            <w:tcW w:w="676" w:type="dxa"/>
            <w:noWrap w:val="0"/>
            <w:vAlign w:val="center"/>
          </w:tcPr>
          <w:p w14:paraId="78ABBB3B">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100%</w:t>
            </w:r>
          </w:p>
        </w:tc>
        <w:tc>
          <w:tcPr>
            <w:tcW w:w="673" w:type="dxa"/>
            <w:gridSpan w:val="2"/>
            <w:noWrap w:val="0"/>
            <w:vAlign w:val="center"/>
          </w:tcPr>
          <w:p w14:paraId="52549A67">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02AA004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722" w:type="dxa"/>
            <w:gridSpan w:val="2"/>
            <w:noWrap w:val="0"/>
            <w:vAlign w:val="center"/>
          </w:tcPr>
          <w:p w14:paraId="59C2855C">
            <w:pPr>
              <w:spacing w:line="240" w:lineRule="auto"/>
              <w:ind w:firstLine="0" w:firstLineChars="0"/>
              <w:jc w:val="center"/>
              <w:rPr>
                <w:rFonts w:hint="eastAsia" w:ascii="宋体" w:hAnsi="宋体" w:eastAsia="宋体" w:cs="宋体"/>
                <w:sz w:val="22"/>
                <w:szCs w:val="22"/>
              </w:rPr>
            </w:pPr>
          </w:p>
        </w:tc>
      </w:tr>
      <w:tr w14:paraId="07787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trPr>
        <w:tc>
          <w:tcPr>
            <w:tcW w:w="675" w:type="dxa"/>
            <w:vMerge w:val="continue"/>
            <w:noWrap w:val="0"/>
            <w:vAlign w:val="center"/>
          </w:tcPr>
          <w:p w14:paraId="623E1A6A">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555DB455">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1A5C7AA7">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18690260">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开展培训及时率</w:t>
            </w:r>
          </w:p>
        </w:tc>
        <w:tc>
          <w:tcPr>
            <w:tcW w:w="1139" w:type="dxa"/>
            <w:noWrap w:val="0"/>
            <w:vAlign w:val="center"/>
          </w:tcPr>
          <w:p w14:paraId="5D459715">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100%</w:t>
            </w:r>
          </w:p>
        </w:tc>
        <w:tc>
          <w:tcPr>
            <w:tcW w:w="676" w:type="dxa"/>
            <w:noWrap w:val="0"/>
            <w:vAlign w:val="center"/>
          </w:tcPr>
          <w:p w14:paraId="513D396E">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100%</w:t>
            </w:r>
          </w:p>
        </w:tc>
        <w:tc>
          <w:tcPr>
            <w:tcW w:w="673" w:type="dxa"/>
            <w:gridSpan w:val="2"/>
            <w:noWrap w:val="0"/>
            <w:vAlign w:val="center"/>
          </w:tcPr>
          <w:p w14:paraId="639B11AC">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705FD5A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722" w:type="dxa"/>
            <w:gridSpan w:val="2"/>
            <w:noWrap w:val="0"/>
            <w:vAlign w:val="center"/>
          </w:tcPr>
          <w:p w14:paraId="3DF2C495">
            <w:pPr>
              <w:spacing w:line="240" w:lineRule="auto"/>
              <w:ind w:firstLine="0" w:firstLineChars="0"/>
              <w:jc w:val="center"/>
              <w:rPr>
                <w:rFonts w:hint="eastAsia" w:ascii="宋体" w:hAnsi="宋体" w:eastAsia="宋体" w:cs="宋体"/>
                <w:sz w:val="22"/>
                <w:szCs w:val="22"/>
              </w:rPr>
            </w:pPr>
          </w:p>
        </w:tc>
      </w:tr>
      <w:tr w14:paraId="1A2D3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textDirection w:val="tbRlV"/>
            <w:vAlign w:val="center"/>
          </w:tcPr>
          <w:p w14:paraId="7E7DD09B">
            <w:pPr>
              <w:spacing w:line="240" w:lineRule="auto"/>
              <w:ind w:firstLine="0" w:firstLineChars="0"/>
              <w:jc w:val="center"/>
              <w:rPr>
                <w:rFonts w:hint="eastAsia" w:ascii="宋体" w:hAnsi="宋体" w:eastAsia="宋体" w:cs="宋体"/>
                <w:sz w:val="22"/>
                <w:szCs w:val="22"/>
              </w:rPr>
            </w:pPr>
          </w:p>
        </w:tc>
        <w:tc>
          <w:tcPr>
            <w:tcW w:w="800" w:type="dxa"/>
            <w:vMerge w:val="restart"/>
            <w:noWrap w:val="0"/>
            <w:vAlign w:val="center"/>
          </w:tcPr>
          <w:p w14:paraId="38FCB5C3">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03836E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86" w:type="dxa"/>
            <w:noWrap w:val="0"/>
            <w:vAlign w:val="center"/>
          </w:tcPr>
          <w:p w14:paraId="27FF48F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551" w:type="dxa"/>
            <w:gridSpan w:val="3"/>
            <w:noWrap w:val="0"/>
            <w:vAlign w:val="center"/>
          </w:tcPr>
          <w:p w14:paraId="3197C139">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新区妇幼健康素养水平</w:t>
            </w:r>
          </w:p>
        </w:tc>
        <w:tc>
          <w:tcPr>
            <w:tcW w:w="1139" w:type="dxa"/>
            <w:noWrap w:val="0"/>
            <w:vAlign w:val="center"/>
          </w:tcPr>
          <w:p w14:paraId="28A2A507">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逐步提升</w:t>
            </w:r>
          </w:p>
        </w:tc>
        <w:tc>
          <w:tcPr>
            <w:tcW w:w="676" w:type="dxa"/>
            <w:noWrap w:val="0"/>
            <w:vAlign w:val="center"/>
          </w:tcPr>
          <w:p w14:paraId="214D1D6E">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逐步提升</w:t>
            </w:r>
          </w:p>
        </w:tc>
        <w:tc>
          <w:tcPr>
            <w:tcW w:w="673" w:type="dxa"/>
            <w:gridSpan w:val="2"/>
            <w:noWrap w:val="0"/>
            <w:vAlign w:val="center"/>
          </w:tcPr>
          <w:p w14:paraId="4C7E68F1">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7C2E6A3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722" w:type="dxa"/>
            <w:gridSpan w:val="2"/>
            <w:noWrap w:val="0"/>
            <w:vAlign w:val="center"/>
          </w:tcPr>
          <w:p w14:paraId="6C54CE8C">
            <w:pPr>
              <w:spacing w:line="240" w:lineRule="auto"/>
              <w:ind w:firstLine="0" w:firstLineChars="0"/>
              <w:jc w:val="center"/>
              <w:rPr>
                <w:rFonts w:hint="eastAsia" w:ascii="宋体" w:hAnsi="宋体" w:eastAsia="宋体" w:cs="宋体"/>
                <w:sz w:val="22"/>
                <w:szCs w:val="22"/>
              </w:rPr>
            </w:pPr>
          </w:p>
        </w:tc>
      </w:tr>
      <w:tr w14:paraId="4CFF8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textDirection w:val="tbRlV"/>
            <w:vAlign w:val="center"/>
          </w:tcPr>
          <w:p w14:paraId="7842E864">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0CE004E1">
            <w:pPr>
              <w:spacing w:line="240" w:lineRule="auto"/>
              <w:ind w:firstLine="0" w:firstLineChars="0"/>
              <w:jc w:val="center"/>
              <w:rPr>
                <w:rFonts w:hint="eastAsia" w:ascii="宋体" w:hAnsi="宋体" w:eastAsia="宋体" w:cs="宋体"/>
                <w:sz w:val="22"/>
                <w:szCs w:val="22"/>
              </w:rPr>
            </w:pPr>
          </w:p>
        </w:tc>
        <w:tc>
          <w:tcPr>
            <w:tcW w:w="886" w:type="dxa"/>
            <w:vMerge w:val="restart"/>
            <w:noWrap w:val="0"/>
            <w:vAlign w:val="center"/>
          </w:tcPr>
          <w:p w14:paraId="2C73FD6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551" w:type="dxa"/>
            <w:gridSpan w:val="3"/>
            <w:noWrap w:val="0"/>
            <w:vAlign w:val="center"/>
          </w:tcPr>
          <w:p w14:paraId="447F3152">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妇幼保健人员业务能力提升</w:t>
            </w:r>
          </w:p>
        </w:tc>
        <w:tc>
          <w:tcPr>
            <w:tcW w:w="1139" w:type="dxa"/>
            <w:noWrap w:val="0"/>
            <w:vAlign w:val="center"/>
          </w:tcPr>
          <w:p w14:paraId="5FA358C1">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逐步提升</w:t>
            </w:r>
          </w:p>
        </w:tc>
        <w:tc>
          <w:tcPr>
            <w:tcW w:w="676" w:type="dxa"/>
            <w:noWrap w:val="0"/>
            <w:vAlign w:val="center"/>
          </w:tcPr>
          <w:p w14:paraId="1852E145">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逐步提升</w:t>
            </w:r>
          </w:p>
        </w:tc>
        <w:tc>
          <w:tcPr>
            <w:tcW w:w="673" w:type="dxa"/>
            <w:gridSpan w:val="2"/>
            <w:noWrap w:val="0"/>
            <w:vAlign w:val="center"/>
          </w:tcPr>
          <w:p w14:paraId="2DA23D35">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049BDAB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722" w:type="dxa"/>
            <w:gridSpan w:val="2"/>
            <w:noWrap w:val="0"/>
            <w:vAlign w:val="center"/>
          </w:tcPr>
          <w:p w14:paraId="50492181">
            <w:pPr>
              <w:spacing w:line="240" w:lineRule="auto"/>
              <w:ind w:firstLine="0" w:firstLineChars="0"/>
              <w:jc w:val="center"/>
              <w:rPr>
                <w:rFonts w:hint="eastAsia" w:ascii="宋体" w:hAnsi="宋体" w:eastAsia="宋体" w:cs="宋体"/>
                <w:sz w:val="22"/>
                <w:szCs w:val="22"/>
              </w:rPr>
            </w:pPr>
          </w:p>
        </w:tc>
      </w:tr>
      <w:tr w14:paraId="76DE7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textDirection w:val="tbRlV"/>
            <w:vAlign w:val="center"/>
          </w:tcPr>
          <w:p w14:paraId="0DDA7035">
            <w:pPr>
              <w:spacing w:line="240" w:lineRule="auto"/>
              <w:ind w:firstLine="0" w:firstLineChars="0"/>
              <w:jc w:val="center"/>
              <w:rPr>
                <w:rFonts w:hint="eastAsia" w:ascii="宋体" w:hAnsi="宋体" w:eastAsia="宋体" w:cs="宋体"/>
                <w:sz w:val="22"/>
                <w:szCs w:val="22"/>
              </w:rPr>
            </w:pPr>
          </w:p>
        </w:tc>
        <w:tc>
          <w:tcPr>
            <w:tcW w:w="800" w:type="dxa"/>
            <w:vMerge w:val="continue"/>
            <w:noWrap w:val="0"/>
            <w:vAlign w:val="center"/>
          </w:tcPr>
          <w:p w14:paraId="4F42CC85">
            <w:pPr>
              <w:spacing w:line="240" w:lineRule="auto"/>
              <w:ind w:firstLine="0" w:firstLineChars="0"/>
              <w:jc w:val="center"/>
              <w:rPr>
                <w:rFonts w:hint="eastAsia" w:ascii="宋体" w:hAnsi="宋体" w:eastAsia="宋体" w:cs="宋体"/>
                <w:sz w:val="22"/>
                <w:szCs w:val="22"/>
              </w:rPr>
            </w:pPr>
          </w:p>
        </w:tc>
        <w:tc>
          <w:tcPr>
            <w:tcW w:w="886" w:type="dxa"/>
            <w:vMerge w:val="continue"/>
            <w:noWrap w:val="0"/>
            <w:vAlign w:val="center"/>
          </w:tcPr>
          <w:p w14:paraId="1C56DE69">
            <w:pPr>
              <w:spacing w:line="240" w:lineRule="auto"/>
              <w:ind w:firstLine="0" w:firstLineChars="0"/>
              <w:jc w:val="center"/>
              <w:rPr>
                <w:rFonts w:hint="eastAsia" w:ascii="宋体" w:hAnsi="宋体" w:eastAsia="宋体" w:cs="宋体"/>
                <w:sz w:val="22"/>
                <w:szCs w:val="22"/>
              </w:rPr>
            </w:pPr>
          </w:p>
        </w:tc>
        <w:tc>
          <w:tcPr>
            <w:tcW w:w="1551" w:type="dxa"/>
            <w:gridSpan w:val="3"/>
            <w:noWrap w:val="0"/>
            <w:vAlign w:val="center"/>
          </w:tcPr>
          <w:p w14:paraId="1843EB84">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母婴健康安全水平提升</w:t>
            </w:r>
          </w:p>
        </w:tc>
        <w:tc>
          <w:tcPr>
            <w:tcW w:w="1139" w:type="dxa"/>
            <w:noWrap w:val="0"/>
            <w:vAlign w:val="center"/>
          </w:tcPr>
          <w:p w14:paraId="1BD7AF89">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逐步提升</w:t>
            </w:r>
          </w:p>
        </w:tc>
        <w:tc>
          <w:tcPr>
            <w:tcW w:w="676" w:type="dxa"/>
            <w:noWrap w:val="0"/>
            <w:vAlign w:val="center"/>
          </w:tcPr>
          <w:p w14:paraId="3CA8673A">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逐步提升</w:t>
            </w:r>
          </w:p>
        </w:tc>
        <w:tc>
          <w:tcPr>
            <w:tcW w:w="673" w:type="dxa"/>
            <w:gridSpan w:val="2"/>
            <w:noWrap w:val="0"/>
            <w:vAlign w:val="center"/>
          </w:tcPr>
          <w:p w14:paraId="29BACBBC">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0FD16D3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722" w:type="dxa"/>
            <w:gridSpan w:val="2"/>
            <w:noWrap w:val="0"/>
            <w:vAlign w:val="center"/>
          </w:tcPr>
          <w:p w14:paraId="39999AB4">
            <w:pPr>
              <w:spacing w:line="240" w:lineRule="auto"/>
              <w:ind w:firstLine="0" w:firstLineChars="0"/>
              <w:jc w:val="center"/>
              <w:rPr>
                <w:rFonts w:hint="eastAsia" w:ascii="宋体" w:hAnsi="宋体" w:eastAsia="宋体" w:cs="宋体"/>
                <w:sz w:val="22"/>
                <w:szCs w:val="22"/>
              </w:rPr>
            </w:pPr>
          </w:p>
        </w:tc>
      </w:tr>
      <w:tr w14:paraId="5BAF5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75" w:type="dxa"/>
            <w:vMerge w:val="continue"/>
            <w:noWrap w:val="0"/>
            <w:vAlign w:val="center"/>
          </w:tcPr>
          <w:p w14:paraId="602F29B6">
            <w:pPr>
              <w:spacing w:line="240" w:lineRule="auto"/>
              <w:ind w:firstLine="0" w:firstLineChars="0"/>
              <w:jc w:val="center"/>
              <w:rPr>
                <w:rFonts w:hint="eastAsia" w:ascii="宋体" w:hAnsi="宋体" w:eastAsia="宋体" w:cs="宋体"/>
                <w:sz w:val="22"/>
                <w:szCs w:val="22"/>
              </w:rPr>
            </w:pPr>
          </w:p>
        </w:tc>
        <w:tc>
          <w:tcPr>
            <w:tcW w:w="800" w:type="dxa"/>
            <w:noWrap w:val="0"/>
            <w:vAlign w:val="center"/>
          </w:tcPr>
          <w:p w14:paraId="583EAC8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86" w:type="dxa"/>
            <w:noWrap w:val="0"/>
            <w:vAlign w:val="center"/>
          </w:tcPr>
          <w:p w14:paraId="6C0CCE6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551" w:type="dxa"/>
            <w:gridSpan w:val="3"/>
            <w:noWrap w:val="0"/>
            <w:vAlign w:val="center"/>
          </w:tcPr>
          <w:p w14:paraId="76169F0E">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服务对象满意度</w:t>
            </w:r>
          </w:p>
        </w:tc>
        <w:tc>
          <w:tcPr>
            <w:tcW w:w="1139" w:type="dxa"/>
            <w:noWrap w:val="0"/>
            <w:vAlign w:val="center"/>
          </w:tcPr>
          <w:p w14:paraId="56C496E5">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≥80%</w:t>
            </w:r>
          </w:p>
        </w:tc>
        <w:tc>
          <w:tcPr>
            <w:tcW w:w="676" w:type="dxa"/>
            <w:noWrap w:val="0"/>
            <w:vAlign w:val="center"/>
          </w:tcPr>
          <w:p w14:paraId="2877E600">
            <w:pPr>
              <w:keepNext w:val="0"/>
              <w:keepLines w:val="0"/>
              <w:widowControl/>
              <w:suppressLineNumbers w:val="0"/>
              <w:ind w:left="0" w:leftChars="0" w:firstLine="0" w:firstLineChars="0"/>
              <w:jc w:val="both"/>
              <w:textAlignment w:val="center"/>
              <w:rPr>
                <w:rFonts w:hint="eastAsia" w:ascii="宋体" w:hAnsi="宋体" w:eastAsia="宋体" w:cs="宋体"/>
                <w:sz w:val="21"/>
                <w:szCs w:val="21"/>
              </w:rPr>
            </w:pPr>
            <w:r>
              <w:rPr>
                <w:rFonts w:hint="eastAsia" w:ascii="宋体" w:hAnsi="宋体" w:eastAsia="宋体" w:cs="宋体"/>
                <w:i w:val="0"/>
                <w:iCs w:val="0"/>
                <w:snapToGrid w:val="0"/>
                <w:color w:val="000000"/>
                <w:kern w:val="0"/>
                <w:sz w:val="21"/>
                <w:szCs w:val="21"/>
                <w:u w:val="none"/>
                <w:lang w:val="en-US" w:eastAsia="zh-CN" w:bidi="ar"/>
              </w:rPr>
              <w:t>≥80%</w:t>
            </w:r>
          </w:p>
        </w:tc>
        <w:tc>
          <w:tcPr>
            <w:tcW w:w="673" w:type="dxa"/>
            <w:gridSpan w:val="2"/>
            <w:noWrap w:val="0"/>
            <w:vAlign w:val="center"/>
          </w:tcPr>
          <w:p w14:paraId="24DB723A">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7" w:type="dxa"/>
            <w:gridSpan w:val="2"/>
            <w:noWrap w:val="0"/>
            <w:vAlign w:val="center"/>
          </w:tcPr>
          <w:p w14:paraId="6A67E06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722" w:type="dxa"/>
            <w:gridSpan w:val="2"/>
            <w:noWrap w:val="0"/>
            <w:vAlign w:val="center"/>
          </w:tcPr>
          <w:p w14:paraId="6632F8DC">
            <w:pPr>
              <w:spacing w:line="240" w:lineRule="auto"/>
              <w:ind w:firstLine="0" w:firstLineChars="0"/>
              <w:jc w:val="center"/>
              <w:rPr>
                <w:rFonts w:hint="eastAsia" w:ascii="宋体" w:hAnsi="宋体" w:eastAsia="宋体" w:cs="宋体"/>
                <w:sz w:val="22"/>
                <w:szCs w:val="22"/>
              </w:rPr>
            </w:pPr>
          </w:p>
        </w:tc>
      </w:tr>
      <w:tr w14:paraId="57173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5727" w:type="dxa"/>
            <w:gridSpan w:val="8"/>
            <w:noWrap w:val="0"/>
            <w:vAlign w:val="center"/>
          </w:tcPr>
          <w:p w14:paraId="3994F6E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73" w:type="dxa"/>
            <w:gridSpan w:val="2"/>
            <w:noWrap w:val="0"/>
            <w:vAlign w:val="center"/>
          </w:tcPr>
          <w:p w14:paraId="51A7DAF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77" w:type="dxa"/>
            <w:gridSpan w:val="2"/>
            <w:noWrap w:val="0"/>
            <w:vAlign w:val="center"/>
          </w:tcPr>
          <w:p w14:paraId="76D18AD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722" w:type="dxa"/>
            <w:gridSpan w:val="2"/>
            <w:noWrap w:val="0"/>
            <w:vAlign w:val="center"/>
          </w:tcPr>
          <w:p w14:paraId="25BFDD10">
            <w:pPr>
              <w:spacing w:line="240" w:lineRule="auto"/>
              <w:ind w:firstLine="0" w:firstLineChars="0"/>
              <w:jc w:val="center"/>
              <w:rPr>
                <w:rFonts w:hint="eastAsia" w:ascii="宋体" w:hAnsi="宋体" w:eastAsia="宋体" w:cs="宋体"/>
                <w:sz w:val="22"/>
                <w:szCs w:val="22"/>
              </w:rPr>
            </w:pPr>
          </w:p>
        </w:tc>
      </w:tr>
      <w:tr w14:paraId="74B59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675" w:type="dxa"/>
            <w:noWrap w:val="0"/>
            <w:vAlign w:val="center"/>
          </w:tcPr>
          <w:p w14:paraId="5AAD89B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8224" w:type="dxa"/>
            <w:gridSpan w:val="13"/>
            <w:noWrap w:val="0"/>
            <w:vAlign w:val="center"/>
          </w:tcPr>
          <w:p w14:paraId="72BAC3E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无。</w:t>
            </w:r>
          </w:p>
        </w:tc>
      </w:tr>
    </w:tbl>
    <w:p w14:paraId="60E89842">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609AAB04">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17A35952">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444A4B93">
      <w:pPr>
        <w:keepNext w:val="0"/>
        <w:keepLines w:val="0"/>
        <w:pageBreakBefore w:val="0"/>
        <w:wordWrap/>
        <w:overflowPunct/>
        <w:topLinePunct w:val="0"/>
        <w:bidi w:val="0"/>
        <w:adjustRightInd w:val="0"/>
        <w:snapToGrid w:val="0"/>
        <w:spacing w:before="111" w:line="560" w:lineRule="exact"/>
        <w:ind w:left="0" w:leftChars="0" w:firstLine="0" w:firstLineChars="0"/>
        <w:jc w:val="both"/>
        <w:outlineLvl w:val="1"/>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附件10</w:t>
      </w:r>
    </w:p>
    <w:p w14:paraId="4A919889">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4"/>
          <w:szCs w:val="34"/>
        </w:rPr>
      </w:pPr>
      <w:r>
        <w:rPr>
          <w:rFonts w:hint="eastAsia" w:ascii="宋体" w:hAnsi="宋体" w:eastAsia="宋体" w:cs="宋体"/>
          <w:b/>
          <w:bCs/>
          <w:sz w:val="32"/>
          <w:szCs w:val="32"/>
          <w:lang w:val="en-US" w:eastAsia="zh-CN"/>
        </w:rPr>
        <w:t>基本公共卫生</w:t>
      </w:r>
      <w:r>
        <w:rPr>
          <w:rFonts w:hint="eastAsia" w:ascii="宋体" w:hAnsi="宋体" w:eastAsia="宋体" w:cs="宋体"/>
          <w:b/>
          <w:bCs/>
          <w:sz w:val="32"/>
          <w:szCs w:val="32"/>
          <w:lang w:eastAsia="zh-CN"/>
        </w:rPr>
        <w:t>专项</w:t>
      </w:r>
      <w:r>
        <w:rPr>
          <w:rFonts w:ascii="宋体" w:hAnsi="宋体" w:eastAsia="宋体" w:cs="宋体"/>
          <w:b/>
          <w:bCs/>
          <w:sz w:val="32"/>
          <w:szCs w:val="32"/>
        </w:rPr>
        <w:t>转移支付（项目）绩效目标自评表</w:t>
      </w:r>
    </w:p>
    <w:p w14:paraId="08DC2A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23</w:t>
      </w:r>
      <w:r>
        <w:rPr>
          <w:rFonts w:hint="eastAsia" w:ascii="宋体" w:hAnsi="宋体" w:eastAsia="宋体" w:cs="宋体"/>
          <w:spacing w:val="-11"/>
          <w:sz w:val="24"/>
          <w:szCs w:val="24"/>
        </w:rPr>
        <w:t>年度）</w:t>
      </w:r>
    </w:p>
    <w:tbl>
      <w:tblPr>
        <w:tblStyle w:val="39"/>
        <w:tblW w:w="829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6"/>
        <w:gridCol w:w="714"/>
        <w:gridCol w:w="575"/>
        <w:gridCol w:w="718"/>
        <w:gridCol w:w="923"/>
        <w:gridCol w:w="500"/>
        <w:gridCol w:w="870"/>
        <w:gridCol w:w="793"/>
        <w:gridCol w:w="369"/>
        <w:gridCol w:w="256"/>
        <w:gridCol w:w="499"/>
        <w:gridCol w:w="76"/>
        <w:gridCol w:w="673"/>
        <w:gridCol w:w="917"/>
      </w:tblGrid>
      <w:tr w14:paraId="7BCA00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30" w:type="dxa"/>
            <w:gridSpan w:val="2"/>
            <w:noWrap w:val="0"/>
            <w:vAlign w:val="center"/>
          </w:tcPr>
          <w:p w14:paraId="19D846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69" w:type="dxa"/>
            <w:gridSpan w:val="12"/>
            <w:noWrap w:val="0"/>
            <w:vAlign w:val="center"/>
          </w:tcPr>
          <w:p w14:paraId="01917C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基本公共卫生服务项目</w:t>
            </w:r>
          </w:p>
        </w:tc>
      </w:tr>
      <w:tr w14:paraId="76B984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30" w:type="dxa"/>
            <w:gridSpan w:val="2"/>
            <w:noWrap w:val="0"/>
            <w:vAlign w:val="center"/>
          </w:tcPr>
          <w:p w14:paraId="220C3E5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86" w:type="dxa"/>
            <w:gridSpan w:val="5"/>
            <w:noWrap w:val="0"/>
            <w:vAlign w:val="center"/>
          </w:tcPr>
          <w:p w14:paraId="0D6DAD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兰州新区卫生健康委员会</w:t>
            </w:r>
          </w:p>
        </w:tc>
        <w:tc>
          <w:tcPr>
            <w:tcW w:w="1162" w:type="dxa"/>
            <w:gridSpan w:val="2"/>
            <w:noWrap w:val="0"/>
            <w:vAlign w:val="center"/>
          </w:tcPr>
          <w:p w14:paraId="7A51CE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21" w:type="dxa"/>
            <w:gridSpan w:val="5"/>
            <w:noWrap w:val="0"/>
            <w:vAlign w:val="center"/>
          </w:tcPr>
          <w:p w14:paraId="28D8AC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各基层医疗机构</w:t>
            </w:r>
          </w:p>
        </w:tc>
      </w:tr>
      <w:tr w14:paraId="1878B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3" w:hRule="atLeast"/>
        </w:trPr>
        <w:tc>
          <w:tcPr>
            <w:tcW w:w="1130" w:type="dxa"/>
            <w:gridSpan w:val="2"/>
            <w:vMerge w:val="restart"/>
            <w:tcBorders>
              <w:bottom w:val="nil"/>
            </w:tcBorders>
            <w:noWrap w:val="0"/>
            <w:vAlign w:val="center"/>
          </w:tcPr>
          <w:p w14:paraId="256709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93" w:type="dxa"/>
            <w:gridSpan w:val="2"/>
            <w:noWrap w:val="0"/>
            <w:vAlign w:val="center"/>
          </w:tcPr>
          <w:p w14:paraId="1EC192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3" w:type="dxa"/>
            <w:noWrap w:val="0"/>
            <w:vAlign w:val="center"/>
          </w:tcPr>
          <w:p w14:paraId="2B0062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70" w:type="dxa"/>
            <w:gridSpan w:val="2"/>
            <w:noWrap w:val="0"/>
            <w:vAlign w:val="center"/>
          </w:tcPr>
          <w:p w14:paraId="72092D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62" w:type="dxa"/>
            <w:gridSpan w:val="2"/>
            <w:noWrap w:val="0"/>
            <w:vAlign w:val="center"/>
          </w:tcPr>
          <w:p w14:paraId="3C128F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5" w:type="dxa"/>
            <w:gridSpan w:val="2"/>
            <w:noWrap w:val="0"/>
            <w:vAlign w:val="center"/>
          </w:tcPr>
          <w:p w14:paraId="336D52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9" w:type="dxa"/>
            <w:gridSpan w:val="2"/>
            <w:noWrap w:val="0"/>
            <w:vAlign w:val="center"/>
          </w:tcPr>
          <w:p w14:paraId="083182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17" w:type="dxa"/>
            <w:noWrap w:val="0"/>
            <w:vAlign w:val="center"/>
          </w:tcPr>
          <w:p w14:paraId="1E8CCB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14:paraId="07FD87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30" w:type="dxa"/>
            <w:gridSpan w:val="2"/>
            <w:vMerge w:val="continue"/>
            <w:tcBorders>
              <w:top w:val="nil"/>
              <w:bottom w:val="nil"/>
            </w:tcBorders>
            <w:noWrap w:val="0"/>
            <w:vAlign w:val="center"/>
          </w:tcPr>
          <w:p w14:paraId="296F34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3" w:type="dxa"/>
            <w:gridSpan w:val="2"/>
            <w:noWrap w:val="0"/>
            <w:vAlign w:val="center"/>
          </w:tcPr>
          <w:p w14:paraId="71D368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23" w:type="dxa"/>
            <w:noWrap w:val="0"/>
            <w:vAlign w:val="center"/>
          </w:tcPr>
          <w:p w14:paraId="4EE716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2485.87</w:t>
            </w:r>
          </w:p>
        </w:tc>
        <w:tc>
          <w:tcPr>
            <w:tcW w:w="1370" w:type="dxa"/>
            <w:gridSpan w:val="2"/>
            <w:noWrap w:val="0"/>
            <w:vAlign w:val="center"/>
          </w:tcPr>
          <w:p w14:paraId="0A5EABD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2485.87</w:t>
            </w:r>
          </w:p>
        </w:tc>
        <w:tc>
          <w:tcPr>
            <w:tcW w:w="1162" w:type="dxa"/>
            <w:gridSpan w:val="2"/>
            <w:noWrap w:val="0"/>
            <w:vAlign w:val="center"/>
          </w:tcPr>
          <w:p w14:paraId="3800C32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2485.87</w:t>
            </w:r>
          </w:p>
        </w:tc>
        <w:tc>
          <w:tcPr>
            <w:tcW w:w="755" w:type="dxa"/>
            <w:gridSpan w:val="2"/>
            <w:noWrap w:val="0"/>
            <w:vAlign w:val="center"/>
          </w:tcPr>
          <w:p w14:paraId="1D8F6F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9" w:type="dxa"/>
            <w:gridSpan w:val="2"/>
            <w:noWrap w:val="0"/>
            <w:vAlign w:val="center"/>
          </w:tcPr>
          <w:p w14:paraId="78F97C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17" w:type="dxa"/>
            <w:noWrap w:val="0"/>
            <w:vAlign w:val="center"/>
          </w:tcPr>
          <w:p w14:paraId="3F2A0B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14:paraId="5F1F2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30" w:type="dxa"/>
            <w:gridSpan w:val="2"/>
            <w:vMerge w:val="continue"/>
            <w:tcBorders>
              <w:top w:val="nil"/>
              <w:bottom w:val="nil"/>
            </w:tcBorders>
            <w:noWrap w:val="0"/>
            <w:vAlign w:val="center"/>
          </w:tcPr>
          <w:p w14:paraId="333E883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3" w:type="dxa"/>
            <w:gridSpan w:val="2"/>
            <w:noWrap w:val="0"/>
            <w:vAlign w:val="center"/>
          </w:tcPr>
          <w:p w14:paraId="39388FF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23" w:type="dxa"/>
            <w:noWrap w:val="0"/>
            <w:vAlign w:val="center"/>
          </w:tcPr>
          <w:p w14:paraId="294F1B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1989.68</w:t>
            </w:r>
          </w:p>
        </w:tc>
        <w:tc>
          <w:tcPr>
            <w:tcW w:w="1370" w:type="dxa"/>
            <w:gridSpan w:val="2"/>
            <w:noWrap w:val="0"/>
            <w:vAlign w:val="center"/>
          </w:tcPr>
          <w:p w14:paraId="1B96C5D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1989.68</w:t>
            </w:r>
          </w:p>
        </w:tc>
        <w:tc>
          <w:tcPr>
            <w:tcW w:w="1162" w:type="dxa"/>
            <w:gridSpan w:val="2"/>
            <w:noWrap w:val="0"/>
            <w:vAlign w:val="center"/>
          </w:tcPr>
          <w:p w14:paraId="356A068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1989.68</w:t>
            </w:r>
          </w:p>
        </w:tc>
        <w:tc>
          <w:tcPr>
            <w:tcW w:w="755" w:type="dxa"/>
            <w:gridSpan w:val="2"/>
            <w:noWrap w:val="0"/>
            <w:vAlign w:val="center"/>
          </w:tcPr>
          <w:p w14:paraId="7DFD7E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9" w:type="dxa"/>
            <w:gridSpan w:val="2"/>
            <w:noWrap w:val="0"/>
            <w:vAlign w:val="center"/>
          </w:tcPr>
          <w:p w14:paraId="29931A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17" w:type="dxa"/>
            <w:noWrap w:val="0"/>
            <w:vAlign w:val="center"/>
          </w:tcPr>
          <w:p w14:paraId="26F9E9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0FDFD5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30" w:type="dxa"/>
            <w:gridSpan w:val="2"/>
            <w:vMerge w:val="continue"/>
            <w:tcBorders>
              <w:top w:val="nil"/>
              <w:bottom w:val="nil"/>
            </w:tcBorders>
            <w:noWrap w:val="0"/>
            <w:vAlign w:val="center"/>
          </w:tcPr>
          <w:p w14:paraId="356DC2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3" w:type="dxa"/>
            <w:gridSpan w:val="2"/>
            <w:noWrap w:val="0"/>
            <w:vAlign w:val="center"/>
          </w:tcPr>
          <w:p w14:paraId="39083E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23" w:type="dxa"/>
            <w:noWrap w:val="0"/>
            <w:vAlign w:val="center"/>
          </w:tcPr>
          <w:p w14:paraId="229F95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335.99</w:t>
            </w:r>
          </w:p>
        </w:tc>
        <w:tc>
          <w:tcPr>
            <w:tcW w:w="1370" w:type="dxa"/>
            <w:gridSpan w:val="2"/>
            <w:noWrap w:val="0"/>
            <w:vAlign w:val="center"/>
          </w:tcPr>
          <w:p w14:paraId="5007B3A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335.99</w:t>
            </w:r>
          </w:p>
        </w:tc>
        <w:tc>
          <w:tcPr>
            <w:tcW w:w="1162" w:type="dxa"/>
            <w:gridSpan w:val="2"/>
            <w:noWrap w:val="0"/>
            <w:vAlign w:val="center"/>
          </w:tcPr>
          <w:p w14:paraId="5621A61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335.99</w:t>
            </w:r>
          </w:p>
        </w:tc>
        <w:tc>
          <w:tcPr>
            <w:tcW w:w="755" w:type="dxa"/>
            <w:gridSpan w:val="2"/>
            <w:noWrap w:val="0"/>
            <w:vAlign w:val="center"/>
          </w:tcPr>
          <w:p w14:paraId="33134A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9" w:type="dxa"/>
            <w:gridSpan w:val="2"/>
            <w:noWrap w:val="0"/>
            <w:vAlign w:val="center"/>
          </w:tcPr>
          <w:p w14:paraId="240C2C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17" w:type="dxa"/>
            <w:noWrap w:val="0"/>
            <w:vAlign w:val="center"/>
          </w:tcPr>
          <w:p w14:paraId="114F22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716195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1130" w:type="dxa"/>
            <w:gridSpan w:val="2"/>
            <w:vMerge w:val="continue"/>
            <w:tcBorders>
              <w:top w:val="nil"/>
              <w:bottom w:val="nil"/>
            </w:tcBorders>
            <w:noWrap w:val="0"/>
            <w:vAlign w:val="center"/>
          </w:tcPr>
          <w:p w14:paraId="2F34CC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3" w:type="dxa"/>
            <w:gridSpan w:val="2"/>
            <w:noWrap w:val="0"/>
            <w:vAlign w:val="center"/>
          </w:tcPr>
          <w:p w14:paraId="44EBF8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23" w:type="dxa"/>
            <w:noWrap w:val="0"/>
            <w:vAlign w:val="center"/>
          </w:tcPr>
          <w:p w14:paraId="135A419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160.2</w:t>
            </w:r>
          </w:p>
        </w:tc>
        <w:tc>
          <w:tcPr>
            <w:tcW w:w="1370" w:type="dxa"/>
            <w:gridSpan w:val="2"/>
            <w:noWrap w:val="0"/>
            <w:vAlign w:val="center"/>
          </w:tcPr>
          <w:p w14:paraId="683C94E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160.2</w:t>
            </w:r>
          </w:p>
        </w:tc>
        <w:tc>
          <w:tcPr>
            <w:tcW w:w="1162" w:type="dxa"/>
            <w:gridSpan w:val="2"/>
            <w:noWrap w:val="0"/>
            <w:vAlign w:val="center"/>
          </w:tcPr>
          <w:p w14:paraId="49940C7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160.2</w:t>
            </w:r>
          </w:p>
        </w:tc>
        <w:tc>
          <w:tcPr>
            <w:tcW w:w="755" w:type="dxa"/>
            <w:gridSpan w:val="2"/>
            <w:noWrap w:val="0"/>
            <w:vAlign w:val="center"/>
          </w:tcPr>
          <w:p w14:paraId="120EC6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9" w:type="dxa"/>
            <w:gridSpan w:val="2"/>
            <w:noWrap w:val="0"/>
            <w:vAlign w:val="center"/>
          </w:tcPr>
          <w:p w14:paraId="1D96BD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17" w:type="dxa"/>
            <w:noWrap w:val="0"/>
            <w:vAlign w:val="center"/>
          </w:tcPr>
          <w:p w14:paraId="234831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208F4A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30" w:type="dxa"/>
            <w:gridSpan w:val="2"/>
            <w:vMerge w:val="continue"/>
            <w:tcBorders>
              <w:top w:val="nil"/>
            </w:tcBorders>
            <w:noWrap w:val="0"/>
            <w:vAlign w:val="center"/>
          </w:tcPr>
          <w:p w14:paraId="2E4982A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93" w:type="dxa"/>
            <w:gridSpan w:val="2"/>
            <w:noWrap w:val="0"/>
            <w:vAlign w:val="center"/>
          </w:tcPr>
          <w:p w14:paraId="4E3822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23" w:type="dxa"/>
            <w:noWrap w:val="0"/>
            <w:vAlign w:val="center"/>
          </w:tcPr>
          <w:p w14:paraId="5D5EEE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70" w:type="dxa"/>
            <w:gridSpan w:val="2"/>
            <w:noWrap w:val="0"/>
            <w:vAlign w:val="center"/>
          </w:tcPr>
          <w:p w14:paraId="50EC4B7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0</w:t>
            </w:r>
          </w:p>
        </w:tc>
        <w:tc>
          <w:tcPr>
            <w:tcW w:w="1162" w:type="dxa"/>
            <w:gridSpan w:val="2"/>
            <w:noWrap w:val="0"/>
            <w:vAlign w:val="center"/>
          </w:tcPr>
          <w:p w14:paraId="74BF8B0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0</w:t>
            </w:r>
          </w:p>
        </w:tc>
        <w:tc>
          <w:tcPr>
            <w:tcW w:w="755" w:type="dxa"/>
            <w:gridSpan w:val="2"/>
            <w:noWrap w:val="0"/>
            <w:vAlign w:val="center"/>
          </w:tcPr>
          <w:p w14:paraId="0F8247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9" w:type="dxa"/>
            <w:gridSpan w:val="2"/>
            <w:noWrap w:val="0"/>
            <w:vAlign w:val="center"/>
          </w:tcPr>
          <w:p w14:paraId="4879B7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14:paraId="74835D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076FD3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416" w:type="dxa"/>
            <w:vMerge w:val="restart"/>
            <w:noWrap w:val="0"/>
            <w:vAlign w:val="center"/>
          </w:tcPr>
          <w:p w14:paraId="3C5F16E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300" w:type="dxa"/>
            <w:gridSpan w:val="6"/>
            <w:noWrap w:val="0"/>
            <w:vAlign w:val="center"/>
          </w:tcPr>
          <w:p w14:paraId="436835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83" w:type="dxa"/>
            <w:gridSpan w:val="7"/>
            <w:noWrap w:val="0"/>
            <w:vAlign w:val="center"/>
          </w:tcPr>
          <w:p w14:paraId="4EEFDD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14:paraId="79504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6" w:hRule="atLeast"/>
        </w:trPr>
        <w:tc>
          <w:tcPr>
            <w:tcW w:w="416" w:type="dxa"/>
            <w:vMerge w:val="continue"/>
            <w:noWrap w:val="0"/>
            <w:vAlign w:val="center"/>
          </w:tcPr>
          <w:p w14:paraId="31B221E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300" w:type="dxa"/>
            <w:gridSpan w:val="6"/>
            <w:noWrap w:val="0"/>
            <w:vAlign w:val="center"/>
          </w:tcPr>
          <w:p w14:paraId="7B21EE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宋体" w:hAnsi="宋体" w:eastAsia="宋体" w:cs="宋体"/>
                <w:sz w:val="16"/>
                <w:szCs w:val="16"/>
              </w:rPr>
            </w:pPr>
            <w:r>
              <w:rPr>
                <w:rFonts w:hint="eastAsia" w:ascii="宋体" w:hAnsi="宋体" w:eastAsia="宋体" w:cs="宋体"/>
                <w:sz w:val="16"/>
                <w:szCs w:val="16"/>
              </w:rPr>
              <w:t>目标1：免费向城乡居民提供基本公共卫生服务。</w:t>
            </w:r>
          </w:p>
          <w:p w14:paraId="6CB48B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目标2：开展对重点疾病及危害因素监测，有效控制疾病流行，为制定相关政策提供科学依据。保持重点地方病防治措施全面落实，开展职业病监测，最大限度地保护放射工作人员、患者和公众的健康权益。同时推进妇幼卫生、健康素养促进、医养结合和老年健康服务、卫生应急、计划生育等方面的工作。</w:t>
            </w:r>
          </w:p>
        </w:tc>
        <w:tc>
          <w:tcPr>
            <w:tcW w:w="3583" w:type="dxa"/>
            <w:gridSpan w:val="7"/>
            <w:noWrap w:val="0"/>
            <w:vAlign w:val="center"/>
          </w:tcPr>
          <w:p w14:paraId="1122C4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通过细致的业务指导、定期的绩效考核以及足额、及时下拨项目补助资金，提高基层医务人员的基本公共卫生服务水平和整体素质，有效提升了群众的满意度</w:t>
            </w:r>
          </w:p>
        </w:tc>
      </w:tr>
      <w:tr w14:paraId="3A8AE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0" w:hRule="atLeast"/>
        </w:trPr>
        <w:tc>
          <w:tcPr>
            <w:tcW w:w="416" w:type="dxa"/>
            <w:vMerge w:val="restart"/>
            <w:noWrap w:val="0"/>
            <w:textDirection w:val="tbLrV"/>
            <w:vAlign w:val="center"/>
          </w:tcPr>
          <w:p w14:paraId="34F77021">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14" w:type="dxa"/>
            <w:noWrap w:val="0"/>
            <w:vAlign w:val="center"/>
          </w:tcPr>
          <w:p w14:paraId="17EF7C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575" w:type="dxa"/>
            <w:noWrap w:val="0"/>
            <w:vAlign w:val="center"/>
          </w:tcPr>
          <w:p w14:paraId="56BA1E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141" w:type="dxa"/>
            <w:gridSpan w:val="3"/>
            <w:noWrap w:val="0"/>
            <w:vAlign w:val="center"/>
          </w:tcPr>
          <w:p w14:paraId="3CEAA6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70" w:type="dxa"/>
            <w:noWrap w:val="0"/>
            <w:vAlign w:val="center"/>
          </w:tcPr>
          <w:p w14:paraId="39BEB0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793" w:type="dxa"/>
            <w:noWrap w:val="0"/>
            <w:vAlign w:val="center"/>
          </w:tcPr>
          <w:p w14:paraId="325B1E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5" w:type="dxa"/>
            <w:gridSpan w:val="2"/>
            <w:noWrap w:val="0"/>
            <w:vAlign w:val="center"/>
          </w:tcPr>
          <w:p w14:paraId="590DA3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5" w:type="dxa"/>
            <w:gridSpan w:val="2"/>
            <w:noWrap w:val="0"/>
            <w:vAlign w:val="center"/>
          </w:tcPr>
          <w:p w14:paraId="6072ECF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90" w:type="dxa"/>
            <w:gridSpan w:val="2"/>
            <w:noWrap w:val="0"/>
            <w:vAlign w:val="center"/>
          </w:tcPr>
          <w:p w14:paraId="3B9E3C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14:paraId="2D6D7C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16" w:type="dxa"/>
            <w:vMerge w:val="continue"/>
            <w:noWrap w:val="0"/>
            <w:vAlign w:val="center"/>
          </w:tcPr>
          <w:p w14:paraId="4420CD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restart"/>
            <w:tcBorders>
              <w:bottom w:val="nil"/>
            </w:tcBorders>
            <w:noWrap w:val="0"/>
            <w:vAlign w:val="center"/>
          </w:tcPr>
          <w:p w14:paraId="769AD0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575" w:type="dxa"/>
            <w:vMerge w:val="restart"/>
            <w:tcBorders>
              <w:bottom w:val="nil"/>
            </w:tcBorders>
            <w:noWrap w:val="0"/>
            <w:vAlign w:val="center"/>
          </w:tcPr>
          <w:p w14:paraId="124C5B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141" w:type="dxa"/>
            <w:gridSpan w:val="3"/>
            <w:noWrap w:val="0"/>
            <w:vAlign w:val="center"/>
          </w:tcPr>
          <w:p w14:paraId="5800265C">
            <w:pPr>
              <w:keepNext w:val="0"/>
              <w:keepLines w:val="0"/>
              <w:pageBreakBefore w:val="0"/>
              <w:kinsoku/>
              <w:wordWrap/>
              <w:overflowPunct/>
              <w:topLinePunct w:val="0"/>
              <w:autoSpaceDE/>
              <w:autoSpaceDN/>
              <w:bidi w:val="0"/>
              <w:adjustRightInd/>
              <w:snapToGrid/>
              <w:spacing w:line="500" w:lineRule="exact"/>
              <w:ind w:firstLine="320" w:firstLineChars="200"/>
              <w:rPr>
                <w:rFonts w:hint="eastAsia" w:ascii="宋体" w:hAnsi="宋体" w:eastAsia="宋体" w:cs="宋体"/>
                <w:sz w:val="16"/>
                <w:szCs w:val="16"/>
              </w:rPr>
            </w:pPr>
            <w:r>
              <w:rPr>
                <w:rFonts w:hint="default" w:ascii="Times New Roman" w:hAnsi="Times New Roman" w:eastAsia="宋体" w:cs="Times New Roman"/>
                <w:i w:val="0"/>
                <w:color w:val="000000"/>
                <w:sz w:val="16"/>
                <w:szCs w:val="16"/>
                <w:u w:val="none"/>
              </w:rPr>
              <w:t>居民电子健康档案建档率</w:t>
            </w:r>
          </w:p>
        </w:tc>
        <w:tc>
          <w:tcPr>
            <w:tcW w:w="870" w:type="dxa"/>
            <w:noWrap w:val="0"/>
            <w:vAlign w:val="center"/>
          </w:tcPr>
          <w:p w14:paraId="14BA54EE">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rPr>
              <w:t>≥</w:t>
            </w:r>
            <w:r>
              <w:rPr>
                <w:rFonts w:hint="eastAsia" w:ascii="仿宋_GB2312" w:hAnsi="仿宋_GB2312" w:eastAsia="仿宋_GB2312" w:cs="仿宋_GB2312"/>
                <w:i w:val="0"/>
                <w:color w:val="000000"/>
                <w:sz w:val="21"/>
                <w:szCs w:val="21"/>
                <w:u w:val="none"/>
                <w:lang w:val="en-US" w:eastAsia="zh-CN"/>
              </w:rPr>
              <w:t>62</w:t>
            </w:r>
            <w:r>
              <w:rPr>
                <w:rFonts w:hint="eastAsia" w:ascii="仿宋_GB2312" w:hAnsi="仿宋_GB2312" w:eastAsia="仿宋_GB2312" w:cs="仿宋_GB2312"/>
                <w:i w:val="0"/>
                <w:color w:val="000000"/>
                <w:sz w:val="21"/>
                <w:szCs w:val="21"/>
                <w:u w:val="none"/>
              </w:rPr>
              <w:t>%</w:t>
            </w:r>
          </w:p>
        </w:tc>
        <w:tc>
          <w:tcPr>
            <w:tcW w:w="793" w:type="dxa"/>
            <w:noWrap w:val="0"/>
            <w:vAlign w:val="center"/>
          </w:tcPr>
          <w:p w14:paraId="54FE00F2">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lang w:val="en-US" w:eastAsia="zh-CN"/>
              </w:rPr>
              <w:t>93.07%</w:t>
            </w:r>
          </w:p>
        </w:tc>
        <w:tc>
          <w:tcPr>
            <w:tcW w:w="625" w:type="dxa"/>
            <w:gridSpan w:val="2"/>
            <w:noWrap w:val="0"/>
            <w:vAlign w:val="center"/>
          </w:tcPr>
          <w:p w14:paraId="4B119BF6">
            <w:pPr>
              <w:keepNext w:val="0"/>
              <w:keepLines w:val="0"/>
              <w:widowControl/>
              <w:suppressLineNumbers w:val="0"/>
              <w:ind w:firstLine="420" w:firstLineChars="20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1C7025FA">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0B61B5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0B210F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16" w:type="dxa"/>
            <w:vMerge w:val="continue"/>
            <w:noWrap w:val="0"/>
            <w:vAlign w:val="center"/>
          </w:tcPr>
          <w:p w14:paraId="0B051C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785251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bottom w:val="nil"/>
            </w:tcBorders>
            <w:noWrap w:val="0"/>
            <w:vAlign w:val="center"/>
          </w:tcPr>
          <w:p w14:paraId="1D07B4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31133E5C">
            <w:pPr>
              <w:keepNext w:val="0"/>
              <w:keepLines w:val="0"/>
              <w:pageBreakBefore w:val="0"/>
              <w:kinsoku/>
              <w:wordWrap/>
              <w:overflowPunct/>
              <w:topLinePunct w:val="0"/>
              <w:autoSpaceDE/>
              <w:autoSpaceDN/>
              <w:bidi w:val="0"/>
              <w:adjustRightInd/>
              <w:snapToGrid/>
              <w:spacing w:line="500" w:lineRule="exact"/>
              <w:ind w:firstLine="320" w:firstLineChars="200"/>
              <w:rPr>
                <w:rFonts w:hint="eastAsia" w:ascii="宋体" w:hAnsi="宋体" w:eastAsia="宋体" w:cs="宋体"/>
                <w:sz w:val="16"/>
                <w:szCs w:val="16"/>
              </w:rPr>
            </w:pPr>
            <w:r>
              <w:rPr>
                <w:rFonts w:hint="eastAsia" w:ascii="Times New Roman" w:hAnsi="Times New Roman" w:eastAsia="宋体" w:cs="Times New Roman"/>
                <w:i w:val="0"/>
                <w:color w:val="000000"/>
                <w:sz w:val="16"/>
                <w:szCs w:val="16"/>
                <w:u w:val="none"/>
                <w:lang w:val="en-US" w:eastAsia="zh-CN"/>
              </w:rPr>
              <w:t>7</w:t>
            </w:r>
            <w:r>
              <w:rPr>
                <w:rFonts w:hint="eastAsia" w:ascii="Times New Roman" w:hAnsi="Times New Roman" w:eastAsia="宋体" w:cs="Times New Roman"/>
                <w:i w:val="0"/>
                <w:color w:val="000000"/>
                <w:sz w:val="16"/>
                <w:szCs w:val="16"/>
                <w:u w:val="none"/>
              </w:rPr>
              <w:t>岁以下儿童健康管理率</w:t>
            </w:r>
          </w:p>
        </w:tc>
        <w:tc>
          <w:tcPr>
            <w:tcW w:w="870" w:type="dxa"/>
            <w:noWrap w:val="0"/>
            <w:vAlign w:val="center"/>
          </w:tcPr>
          <w:p w14:paraId="6C7800FF">
            <w:pPr>
              <w:keepNext w:val="0"/>
              <w:keepLines w:val="0"/>
              <w:pageBreakBefore w:val="0"/>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rPr>
              <w:t>≥</w:t>
            </w:r>
            <w:r>
              <w:rPr>
                <w:rFonts w:hint="eastAsia" w:ascii="仿宋_GB2312" w:hAnsi="仿宋_GB2312" w:eastAsia="仿宋_GB2312" w:cs="仿宋_GB2312"/>
                <w:i w:val="0"/>
                <w:color w:val="000000"/>
                <w:sz w:val="21"/>
                <w:szCs w:val="21"/>
                <w:u w:val="none"/>
                <w:lang w:val="en-US" w:eastAsia="zh-CN"/>
              </w:rPr>
              <w:t>85</w:t>
            </w:r>
            <w:r>
              <w:rPr>
                <w:rFonts w:hint="eastAsia" w:ascii="仿宋_GB2312" w:hAnsi="仿宋_GB2312" w:eastAsia="仿宋_GB2312" w:cs="仿宋_GB2312"/>
                <w:i w:val="0"/>
                <w:color w:val="000000"/>
                <w:sz w:val="21"/>
                <w:szCs w:val="21"/>
                <w:u w:val="none"/>
              </w:rPr>
              <w:t>%</w:t>
            </w:r>
          </w:p>
        </w:tc>
        <w:tc>
          <w:tcPr>
            <w:tcW w:w="793" w:type="dxa"/>
            <w:noWrap w:val="0"/>
            <w:vAlign w:val="center"/>
          </w:tcPr>
          <w:p w14:paraId="6C090E94">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lang w:val="en-US" w:eastAsia="zh-CN"/>
              </w:rPr>
              <w:t>94.88%</w:t>
            </w:r>
          </w:p>
        </w:tc>
        <w:tc>
          <w:tcPr>
            <w:tcW w:w="625" w:type="dxa"/>
            <w:gridSpan w:val="2"/>
            <w:noWrap w:val="0"/>
            <w:vAlign w:val="center"/>
          </w:tcPr>
          <w:p w14:paraId="4FC3F23D">
            <w:pPr>
              <w:keepNext w:val="0"/>
              <w:keepLines w:val="0"/>
              <w:widowControl/>
              <w:suppressLineNumbers w:val="0"/>
              <w:ind w:firstLine="420" w:firstLineChars="20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38F5C16C">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3F7F64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59EA20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trPr>
        <w:tc>
          <w:tcPr>
            <w:tcW w:w="416" w:type="dxa"/>
            <w:vMerge w:val="continue"/>
            <w:noWrap w:val="0"/>
            <w:vAlign w:val="center"/>
          </w:tcPr>
          <w:p w14:paraId="30B1B7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7D7ACB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tcBorders>
            <w:noWrap w:val="0"/>
            <w:vAlign w:val="center"/>
          </w:tcPr>
          <w:p w14:paraId="743557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1FAD509B">
            <w:pPr>
              <w:keepNext w:val="0"/>
              <w:keepLines w:val="0"/>
              <w:pageBreakBefore w:val="0"/>
              <w:widowControl w:val="0"/>
              <w:kinsoku/>
              <w:wordWrap/>
              <w:overflowPunct/>
              <w:topLinePunct w:val="0"/>
              <w:autoSpaceDE/>
              <w:autoSpaceDN/>
              <w:bidi w:val="0"/>
              <w:adjustRightInd/>
              <w:snapToGrid/>
              <w:spacing w:line="440" w:lineRule="exact"/>
              <w:ind w:firstLine="320" w:firstLineChars="200"/>
              <w:textAlignment w:val="auto"/>
              <w:rPr>
                <w:rFonts w:hint="eastAsia" w:ascii="宋体" w:hAnsi="宋体" w:eastAsia="宋体" w:cs="宋体"/>
                <w:i w:val="0"/>
                <w:iCs w:val="0"/>
                <w:snapToGrid w:val="0"/>
                <w:color w:val="000000"/>
                <w:kern w:val="0"/>
                <w:sz w:val="20"/>
                <w:szCs w:val="20"/>
                <w:u w:val="none"/>
                <w:lang w:val="en-US" w:eastAsia="zh-CN" w:bidi="ar"/>
              </w:rPr>
            </w:pPr>
            <w:r>
              <w:rPr>
                <w:rFonts w:hint="eastAsia" w:ascii="Times New Roman" w:hAnsi="Times New Roman" w:eastAsia="宋体" w:cs="Times New Roman"/>
                <w:i w:val="0"/>
                <w:color w:val="000000"/>
                <w:sz w:val="16"/>
                <w:szCs w:val="16"/>
                <w:u w:val="none"/>
                <w:lang w:val="en-US" w:eastAsia="zh-CN"/>
              </w:rPr>
              <w:t>0-6岁儿童眼保健和视力检查覆盖率</w:t>
            </w:r>
          </w:p>
        </w:tc>
        <w:tc>
          <w:tcPr>
            <w:tcW w:w="870" w:type="dxa"/>
            <w:noWrap w:val="0"/>
            <w:vAlign w:val="center"/>
          </w:tcPr>
          <w:p w14:paraId="3DC282D9">
            <w:pPr>
              <w:keepNext w:val="0"/>
              <w:keepLines w:val="0"/>
              <w:pageBreakBefore w:val="0"/>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i w:val="0"/>
                <w:iCs w:val="0"/>
                <w:snapToGrid w:val="0"/>
                <w:color w:val="000000"/>
                <w:kern w:val="0"/>
                <w:sz w:val="20"/>
                <w:szCs w:val="20"/>
                <w:u w:val="none"/>
                <w:lang w:val="en-US" w:eastAsia="zh-CN" w:bidi="ar"/>
              </w:rPr>
            </w:pPr>
            <w:r>
              <w:rPr>
                <w:rFonts w:hint="eastAsia" w:ascii="仿宋_GB2312" w:hAnsi="仿宋_GB2312" w:eastAsia="仿宋_GB2312" w:cs="仿宋_GB2312"/>
                <w:i w:val="0"/>
                <w:color w:val="000000"/>
                <w:sz w:val="21"/>
                <w:szCs w:val="21"/>
                <w:u w:val="none"/>
              </w:rPr>
              <w:t>≥90%</w:t>
            </w:r>
          </w:p>
        </w:tc>
        <w:tc>
          <w:tcPr>
            <w:tcW w:w="793" w:type="dxa"/>
            <w:noWrap w:val="0"/>
            <w:vAlign w:val="center"/>
          </w:tcPr>
          <w:p w14:paraId="120A18D4">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仿宋_GB2312" w:eastAsia="仿宋_GB2312" w:cs="仿宋_GB2312"/>
                <w:i w:val="0"/>
                <w:color w:val="000000"/>
                <w:sz w:val="21"/>
                <w:szCs w:val="21"/>
                <w:u w:val="none"/>
                <w:lang w:val="en-US" w:eastAsia="zh-CN"/>
              </w:rPr>
              <w:t>94.34%</w:t>
            </w:r>
          </w:p>
        </w:tc>
        <w:tc>
          <w:tcPr>
            <w:tcW w:w="625" w:type="dxa"/>
            <w:gridSpan w:val="2"/>
            <w:noWrap w:val="0"/>
            <w:vAlign w:val="center"/>
          </w:tcPr>
          <w:p w14:paraId="0B8B6C4A">
            <w:pPr>
              <w:keepNext w:val="0"/>
              <w:keepLines w:val="0"/>
              <w:widowControl/>
              <w:suppressLineNumbers w:val="0"/>
              <w:ind w:firstLine="420" w:firstLineChars="200"/>
              <w:jc w:val="both"/>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515069C6">
            <w:pPr>
              <w:keepNext w:val="0"/>
              <w:keepLines w:val="0"/>
              <w:widowControl/>
              <w:suppressLineNumbers w:val="0"/>
              <w:ind w:firstLine="420" w:firstLineChars="200"/>
              <w:jc w:val="center"/>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440BC4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403795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16" w:type="dxa"/>
            <w:vMerge w:val="continue"/>
            <w:noWrap w:val="0"/>
            <w:vAlign w:val="center"/>
          </w:tcPr>
          <w:p w14:paraId="484741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1C18BD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tcBorders>
            <w:noWrap w:val="0"/>
            <w:vAlign w:val="center"/>
          </w:tcPr>
          <w:p w14:paraId="7F2567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3F9557E6">
            <w:pPr>
              <w:keepNext w:val="0"/>
              <w:keepLines w:val="0"/>
              <w:pageBreakBefore w:val="0"/>
              <w:kinsoku/>
              <w:wordWrap/>
              <w:overflowPunct/>
              <w:topLinePunct w:val="0"/>
              <w:autoSpaceDE/>
              <w:autoSpaceDN/>
              <w:bidi w:val="0"/>
              <w:adjustRightInd/>
              <w:snapToGrid/>
              <w:spacing w:line="500" w:lineRule="exact"/>
              <w:ind w:firstLine="320" w:firstLineChars="200"/>
              <w:rPr>
                <w:rFonts w:hint="eastAsia" w:ascii="宋体" w:hAnsi="宋体" w:eastAsia="宋体" w:cs="宋体"/>
                <w:i w:val="0"/>
                <w:iCs w:val="0"/>
                <w:snapToGrid w:val="0"/>
                <w:color w:val="000000"/>
                <w:kern w:val="0"/>
                <w:sz w:val="20"/>
                <w:szCs w:val="20"/>
                <w:u w:val="none"/>
                <w:lang w:val="en-US" w:eastAsia="zh-CN" w:bidi="ar"/>
              </w:rPr>
            </w:pPr>
            <w:r>
              <w:rPr>
                <w:rFonts w:hint="eastAsia" w:ascii="Times New Roman" w:hAnsi="Times New Roman" w:eastAsia="宋体" w:cs="Times New Roman"/>
                <w:i w:val="0"/>
                <w:color w:val="000000"/>
                <w:sz w:val="16"/>
                <w:szCs w:val="16"/>
                <w:u w:val="none"/>
              </w:rPr>
              <w:t>孕产妇系统管理率</w:t>
            </w:r>
          </w:p>
        </w:tc>
        <w:tc>
          <w:tcPr>
            <w:tcW w:w="870" w:type="dxa"/>
            <w:noWrap w:val="0"/>
            <w:vAlign w:val="center"/>
          </w:tcPr>
          <w:p w14:paraId="3D2DA1A9">
            <w:pPr>
              <w:keepNext w:val="0"/>
              <w:keepLines w:val="0"/>
              <w:pageBreakBefore w:val="0"/>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i w:val="0"/>
                <w:iCs w:val="0"/>
                <w:snapToGrid w:val="0"/>
                <w:color w:val="000000"/>
                <w:kern w:val="0"/>
                <w:sz w:val="20"/>
                <w:szCs w:val="20"/>
                <w:u w:val="none"/>
                <w:lang w:val="en-US" w:eastAsia="zh-CN" w:bidi="ar"/>
              </w:rPr>
            </w:pPr>
            <w:r>
              <w:rPr>
                <w:rFonts w:hint="eastAsia" w:ascii="仿宋_GB2312" w:hAnsi="仿宋_GB2312" w:eastAsia="仿宋_GB2312" w:cs="仿宋_GB2312"/>
                <w:i w:val="0"/>
                <w:color w:val="000000"/>
                <w:sz w:val="21"/>
                <w:szCs w:val="21"/>
                <w:u w:val="none"/>
              </w:rPr>
              <w:t>≥90%</w:t>
            </w:r>
          </w:p>
        </w:tc>
        <w:tc>
          <w:tcPr>
            <w:tcW w:w="793" w:type="dxa"/>
            <w:noWrap w:val="0"/>
            <w:vAlign w:val="center"/>
          </w:tcPr>
          <w:p w14:paraId="1A4D4B4A">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仿宋_GB2312" w:eastAsia="仿宋_GB2312" w:cs="仿宋_GB2312"/>
                <w:i w:val="0"/>
                <w:color w:val="000000"/>
                <w:sz w:val="21"/>
                <w:szCs w:val="21"/>
                <w:u w:val="none"/>
                <w:lang w:val="en-US" w:eastAsia="zh-CN"/>
              </w:rPr>
              <w:t>93.20%</w:t>
            </w:r>
          </w:p>
        </w:tc>
        <w:tc>
          <w:tcPr>
            <w:tcW w:w="625" w:type="dxa"/>
            <w:gridSpan w:val="2"/>
            <w:noWrap w:val="0"/>
            <w:vAlign w:val="center"/>
          </w:tcPr>
          <w:p w14:paraId="7137338F">
            <w:pPr>
              <w:keepNext w:val="0"/>
              <w:keepLines w:val="0"/>
              <w:widowControl/>
              <w:suppressLineNumbers w:val="0"/>
              <w:ind w:firstLine="420" w:firstLineChars="200"/>
              <w:jc w:val="both"/>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76E9FD64">
            <w:pPr>
              <w:keepNext w:val="0"/>
              <w:keepLines w:val="0"/>
              <w:widowControl/>
              <w:suppressLineNumbers w:val="0"/>
              <w:ind w:firstLine="420" w:firstLineChars="200"/>
              <w:jc w:val="center"/>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3EE3A0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519AC1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16" w:type="dxa"/>
            <w:vMerge w:val="continue"/>
            <w:noWrap w:val="0"/>
            <w:vAlign w:val="center"/>
          </w:tcPr>
          <w:p w14:paraId="0F610E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1E557B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tcBorders>
            <w:noWrap w:val="0"/>
            <w:vAlign w:val="center"/>
          </w:tcPr>
          <w:p w14:paraId="179411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0B73E2F8">
            <w:pPr>
              <w:keepNext w:val="0"/>
              <w:keepLines w:val="0"/>
              <w:pageBreakBefore w:val="0"/>
              <w:kinsoku/>
              <w:wordWrap/>
              <w:overflowPunct/>
              <w:topLinePunct w:val="0"/>
              <w:autoSpaceDE/>
              <w:autoSpaceDN/>
              <w:bidi w:val="0"/>
              <w:adjustRightInd/>
              <w:snapToGrid/>
              <w:spacing w:line="500" w:lineRule="exact"/>
              <w:ind w:firstLine="320" w:firstLineChars="200"/>
              <w:rPr>
                <w:rFonts w:hint="eastAsia" w:ascii="宋体" w:hAnsi="宋体" w:eastAsia="宋体" w:cs="宋体"/>
                <w:i w:val="0"/>
                <w:iCs w:val="0"/>
                <w:snapToGrid w:val="0"/>
                <w:color w:val="000000"/>
                <w:kern w:val="0"/>
                <w:sz w:val="20"/>
                <w:szCs w:val="20"/>
                <w:u w:val="none"/>
                <w:lang w:val="en-US" w:eastAsia="zh-CN" w:bidi="ar"/>
              </w:rPr>
            </w:pPr>
            <w:r>
              <w:rPr>
                <w:rFonts w:hint="eastAsia" w:ascii="Times New Roman" w:hAnsi="Times New Roman" w:eastAsia="宋体" w:cs="Times New Roman"/>
                <w:i w:val="0"/>
                <w:color w:val="000000"/>
                <w:sz w:val="16"/>
                <w:szCs w:val="16"/>
                <w:u w:val="none"/>
                <w:lang w:eastAsia="zh-CN"/>
              </w:rPr>
              <w:t>肺结核患者</w:t>
            </w:r>
            <w:r>
              <w:rPr>
                <w:rFonts w:hint="eastAsia" w:ascii="Times New Roman" w:hAnsi="Times New Roman" w:eastAsia="宋体" w:cs="Times New Roman"/>
                <w:i w:val="0"/>
                <w:color w:val="000000"/>
                <w:sz w:val="16"/>
                <w:szCs w:val="16"/>
                <w:u w:val="none"/>
              </w:rPr>
              <w:t>管理率</w:t>
            </w:r>
          </w:p>
        </w:tc>
        <w:tc>
          <w:tcPr>
            <w:tcW w:w="870" w:type="dxa"/>
            <w:noWrap w:val="0"/>
            <w:vAlign w:val="center"/>
          </w:tcPr>
          <w:p w14:paraId="4BA164E3">
            <w:pPr>
              <w:keepNext w:val="0"/>
              <w:keepLines w:val="0"/>
              <w:pageBreakBefore w:val="0"/>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i w:val="0"/>
                <w:iCs w:val="0"/>
                <w:snapToGrid w:val="0"/>
                <w:color w:val="000000"/>
                <w:kern w:val="0"/>
                <w:sz w:val="20"/>
                <w:szCs w:val="20"/>
                <w:u w:val="none"/>
                <w:lang w:val="en-US" w:eastAsia="zh-CN" w:bidi="ar"/>
              </w:rPr>
            </w:pPr>
            <w:r>
              <w:rPr>
                <w:rFonts w:hint="eastAsia" w:ascii="仿宋_GB2312" w:hAnsi="仿宋_GB2312" w:eastAsia="仿宋_GB2312" w:cs="仿宋_GB2312"/>
                <w:i w:val="0"/>
                <w:color w:val="000000"/>
                <w:sz w:val="21"/>
                <w:szCs w:val="21"/>
                <w:u w:val="none"/>
              </w:rPr>
              <w:t>≥</w:t>
            </w:r>
            <w:r>
              <w:rPr>
                <w:rFonts w:hint="eastAsia" w:ascii="仿宋_GB2312" w:hAnsi="仿宋_GB2312" w:eastAsia="仿宋_GB2312" w:cs="仿宋_GB2312"/>
                <w:i w:val="0"/>
                <w:color w:val="000000"/>
                <w:sz w:val="21"/>
                <w:szCs w:val="21"/>
                <w:u w:val="none"/>
                <w:lang w:val="en-US" w:eastAsia="zh-CN"/>
              </w:rPr>
              <w:t>9</w:t>
            </w:r>
            <w:r>
              <w:rPr>
                <w:rFonts w:hint="eastAsia" w:ascii="仿宋_GB2312" w:hAnsi="仿宋_GB2312" w:eastAsia="仿宋_GB2312" w:cs="仿宋_GB2312"/>
                <w:i w:val="0"/>
                <w:color w:val="000000"/>
                <w:sz w:val="21"/>
                <w:szCs w:val="21"/>
                <w:u w:val="none"/>
              </w:rPr>
              <w:t>0%</w:t>
            </w:r>
          </w:p>
        </w:tc>
        <w:tc>
          <w:tcPr>
            <w:tcW w:w="793" w:type="dxa"/>
            <w:noWrap w:val="0"/>
            <w:vAlign w:val="center"/>
          </w:tcPr>
          <w:p w14:paraId="4949B606">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仿宋_GB2312" w:eastAsia="仿宋_GB2312" w:cs="仿宋_GB2312"/>
                <w:i w:val="0"/>
                <w:color w:val="000000"/>
                <w:sz w:val="21"/>
                <w:szCs w:val="21"/>
                <w:u w:val="none"/>
                <w:lang w:val="en-US" w:eastAsia="zh-CN"/>
              </w:rPr>
              <w:t>100%</w:t>
            </w:r>
          </w:p>
        </w:tc>
        <w:tc>
          <w:tcPr>
            <w:tcW w:w="625" w:type="dxa"/>
            <w:gridSpan w:val="2"/>
            <w:noWrap w:val="0"/>
            <w:vAlign w:val="center"/>
          </w:tcPr>
          <w:p w14:paraId="053D809B">
            <w:pPr>
              <w:keepNext w:val="0"/>
              <w:keepLines w:val="0"/>
              <w:widowControl/>
              <w:suppressLineNumbers w:val="0"/>
              <w:ind w:firstLine="420" w:firstLineChars="200"/>
              <w:jc w:val="both"/>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30A49E72">
            <w:pPr>
              <w:keepNext w:val="0"/>
              <w:keepLines w:val="0"/>
              <w:widowControl/>
              <w:suppressLineNumbers w:val="0"/>
              <w:ind w:firstLine="420" w:firstLineChars="200"/>
              <w:jc w:val="center"/>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6202036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24FA6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trPr>
        <w:tc>
          <w:tcPr>
            <w:tcW w:w="416" w:type="dxa"/>
            <w:vMerge w:val="continue"/>
            <w:noWrap w:val="0"/>
            <w:vAlign w:val="center"/>
          </w:tcPr>
          <w:p w14:paraId="13DEDC0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7FBC93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tcBorders>
            <w:noWrap w:val="0"/>
            <w:vAlign w:val="center"/>
          </w:tcPr>
          <w:p w14:paraId="7838A5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7A261CED">
            <w:pPr>
              <w:keepNext w:val="0"/>
              <w:keepLines w:val="0"/>
              <w:pageBreakBefore w:val="0"/>
              <w:widowControl w:val="0"/>
              <w:kinsoku/>
              <w:wordWrap/>
              <w:overflowPunct/>
              <w:topLinePunct w:val="0"/>
              <w:autoSpaceDE/>
              <w:autoSpaceDN/>
              <w:bidi w:val="0"/>
              <w:adjustRightInd/>
              <w:snapToGrid/>
              <w:spacing w:line="440" w:lineRule="exact"/>
              <w:ind w:firstLine="320" w:firstLineChars="200"/>
              <w:textAlignment w:val="auto"/>
              <w:rPr>
                <w:rFonts w:hint="eastAsia" w:ascii="宋体" w:hAnsi="宋体" w:eastAsia="宋体" w:cs="宋体"/>
                <w:spacing w:val="-4"/>
                <w:sz w:val="16"/>
                <w:szCs w:val="16"/>
              </w:rPr>
            </w:pPr>
            <w:r>
              <w:rPr>
                <w:rFonts w:hint="eastAsia" w:ascii="Times New Roman" w:hAnsi="Times New Roman" w:eastAsia="宋体" w:cs="Times New Roman"/>
                <w:i w:val="0"/>
                <w:color w:val="000000"/>
                <w:sz w:val="16"/>
                <w:szCs w:val="16"/>
                <w:u w:val="none"/>
                <w:lang w:eastAsia="zh-CN"/>
              </w:rPr>
              <w:t>社</w:t>
            </w:r>
            <w:r>
              <w:rPr>
                <w:rFonts w:hint="eastAsia" w:ascii="Times New Roman" w:hAnsi="Times New Roman" w:eastAsia="宋体" w:cs="Times New Roman"/>
                <w:b w:val="0"/>
                <w:bCs w:val="0"/>
                <w:i w:val="0"/>
                <w:color w:val="000000"/>
                <w:sz w:val="16"/>
                <w:szCs w:val="16"/>
                <w:u w:val="none"/>
                <w:lang w:eastAsia="zh-CN"/>
              </w:rPr>
              <w:t>区在册居家严重精神障碍患者健康管理</w:t>
            </w:r>
            <w:r>
              <w:rPr>
                <w:rFonts w:hint="eastAsia" w:ascii="Times New Roman" w:hAnsi="Times New Roman" w:eastAsia="宋体" w:cs="Times New Roman"/>
                <w:i w:val="0"/>
                <w:color w:val="000000"/>
                <w:sz w:val="16"/>
                <w:szCs w:val="16"/>
                <w:u w:val="none"/>
                <w:lang w:eastAsia="zh-CN"/>
              </w:rPr>
              <w:t>率</w:t>
            </w:r>
          </w:p>
        </w:tc>
        <w:tc>
          <w:tcPr>
            <w:tcW w:w="870" w:type="dxa"/>
            <w:noWrap w:val="0"/>
            <w:vAlign w:val="center"/>
          </w:tcPr>
          <w:p w14:paraId="118F8E64">
            <w:pPr>
              <w:keepNext w:val="0"/>
              <w:keepLines w:val="0"/>
              <w:pageBreakBefore w:val="0"/>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rPr>
              <w:t>≥</w:t>
            </w:r>
            <w:r>
              <w:rPr>
                <w:rFonts w:hint="eastAsia" w:ascii="仿宋_GB2312" w:hAnsi="仿宋_GB2312" w:eastAsia="仿宋_GB2312" w:cs="仿宋_GB2312"/>
                <w:i w:val="0"/>
                <w:color w:val="000000"/>
                <w:sz w:val="21"/>
                <w:szCs w:val="21"/>
                <w:u w:val="none"/>
                <w:lang w:val="en-US" w:eastAsia="zh-CN"/>
              </w:rPr>
              <w:t>8</w:t>
            </w:r>
            <w:r>
              <w:rPr>
                <w:rFonts w:hint="eastAsia" w:ascii="仿宋_GB2312" w:hAnsi="仿宋_GB2312" w:eastAsia="仿宋_GB2312" w:cs="仿宋_GB2312"/>
                <w:i w:val="0"/>
                <w:color w:val="000000"/>
                <w:sz w:val="21"/>
                <w:szCs w:val="21"/>
                <w:u w:val="none"/>
              </w:rPr>
              <w:t>0%</w:t>
            </w:r>
          </w:p>
        </w:tc>
        <w:tc>
          <w:tcPr>
            <w:tcW w:w="793" w:type="dxa"/>
            <w:noWrap w:val="0"/>
            <w:vAlign w:val="center"/>
          </w:tcPr>
          <w:p w14:paraId="36D9FEFE">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lang w:val="en-US" w:eastAsia="zh-CN"/>
              </w:rPr>
              <w:t>96.71%</w:t>
            </w:r>
          </w:p>
        </w:tc>
        <w:tc>
          <w:tcPr>
            <w:tcW w:w="625" w:type="dxa"/>
            <w:gridSpan w:val="2"/>
            <w:noWrap w:val="0"/>
            <w:vAlign w:val="center"/>
          </w:tcPr>
          <w:p w14:paraId="2EA72BE4">
            <w:pPr>
              <w:keepNext w:val="0"/>
              <w:keepLines w:val="0"/>
              <w:widowControl/>
              <w:suppressLineNumbers w:val="0"/>
              <w:ind w:firstLine="420" w:firstLineChars="20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1A3C62AD">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33B0ADC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6D731F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16" w:type="dxa"/>
            <w:vMerge w:val="continue"/>
            <w:noWrap w:val="0"/>
            <w:vAlign w:val="center"/>
          </w:tcPr>
          <w:p w14:paraId="04714E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033E9A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tcBorders>
            <w:noWrap w:val="0"/>
            <w:vAlign w:val="center"/>
          </w:tcPr>
          <w:p w14:paraId="56F8CB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5D96CD66">
            <w:pPr>
              <w:keepNext w:val="0"/>
              <w:keepLines w:val="0"/>
              <w:pageBreakBefore w:val="0"/>
              <w:kinsoku/>
              <w:wordWrap/>
              <w:overflowPunct/>
              <w:topLinePunct w:val="0"/>
              <w:autoSpaceDE/>
              <w:autoSpaceDN/>
              <w:bidi w:val="0"/>
              <w:adjustRightInd/>
              <w:snapToGrid/>
              <w:spacing w:line="500" w:lineRule="exact"/>
              <w:ind w:firstLine="320" w:firstLineChars="200"/>
              <w:rPr>
                <w:rFonts w:hint="eastAsia" w:ascii="宋体" w:hAnsi="宋体" w:eastAsia="宋体" w:cs="宋体"/>
                <w:spacing w:val="-4"/>
                <w:sz w:val="16"/>
                <w:szCs w:val="16"/>
              </w:rPr>
            </w:pPr>
            <w:r>
              <w:rPr>
                <w:rFonts w:hint="eastAsia" w:ascii="Times New Roman" w:hAnsi="Times New Roman" w:eastAsia="宋体" w:cs="Times New Roman"/>
                <w:i w:val="0"/>
                <w:color w:val="000000"/>
                <w:sz w:val="16"/>
                <w:szCs w:val="16"/>
                <w:u w:val="none"/>
              </w:rPr>
              <w:t>老年人中医药健康管理率</w:t>
            </w:r>
          </w:p>
        </w:tc>
        <w:tc>
          <w:tcPr>
            <w:tcW w:w="870" w:type="dxa"/>
            <w:noWrap w:val="0"/>
            <w:vAlign w:val="center"/>
          </w:tcPr>
          <w:p w14:paraId="2FD2ACD3">
            <w:pPr>
              <w:keepNext w:val="0"/>
              <w:keepLines w:val="0"/>
              <w:pageBreakBefore w:val="0"/>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rPr>
              <w:t>≥</w:t>
            </w:r>
            <w:r>
              <w:rPr>
                <w:rFonts w:hint="eastAsia" w:ascii="仿宋_GB2312" w:hAnsi="仿宋_GB2312" w:eastAsia="仿宋_GB2312" w:cs="仿宋_GB2312"/>
                <w:i w:val="0"/>
                <w:color w:val="000000"/>
                <w:sz w:val="21"/>
                <w:szCs w:val="21"/>
                <w:u w:val="none"/>
                <w:lang w:val="en-US" w:eastAsia="zh-CN"/>
              </w:rPr>
              <w:t>70</w:t>
            </w:r>
            <w:r>
              <w:rPr>
                <w:rFonts w:hint="eastAsia" w:ascii="仿宋_GB2312" w:hAnsi="仿宋_GB2312" w:eastAsia="仿宋_GB2312" w:cs="仿宋_GB2312"/>
                <w:i w:val="0"/>
                <w:color w:val="000000"/>
                <w:sz w:val="21"/>
                <w:szCs w:val="21"/>
                <w:u w:val="none"/>
              </w:rPr>
              <w:t>%</w:t>
            </w:r>
          </w:p>
        </w:tc>
        <w:tc>
          <w:tcPr>
            <w:tcW w:w="793" w:type="dxa"/>
            <w:noWrap w:val="0"/>
            <w:vAlign w:val="center"/>
          </w:tcPr>
          <w:p w14:paraId="1DEF9553">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lang w:val="en-US" w:eastAsia="zh-CN"/>
              </w:rPr>
              <w:t>89.91%</w:t>
            </w:r>
          </w:p>
        </w:tc>
        <w:tc>
          <w:tcPr>
            <w:tcW w:w="625" w:type="dxa"/>
            <w:gridSpan w:val="2"/>
            <w:noWrap w:val="0"/>
            <w:vAlign w:val="center"/>
          </w:tcPr>
          <w:p w14:paraId="2B951CA7">
            <w:pPr>
              <w:keepNext w:val="0"/>
              <w:keepLines w:val="0"/>
              <w:widowControl/>
              <w:suppressLineNumbers w:val="0"/>
              <w:ind w:firstLine="420" w:firstLineChars="20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429235AE">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49B7A4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3C4462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16" w:type="dxa"/>
            <w:vMerge w:val="continue"/>
            <w:noWrap w:val="0"/>
            <w:vAlign w:val="center"/>
          </w:tcPr>
          <w:p w14:paraId="370071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5ACCCB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tcBorders>
            <w:noWrap w:val="0"/>
            <w:vAlign w:val="center"/>
          </w:tcPr>
          <w:p w14:paraId="76C289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5928D067">
            <w:pPr>
              <w:keepNext w:val="0"/>
              <w:keepLines w:val="0"/>
              <w:pageBreakBefore w:val="0"/>
              <w:kinsoku/>
              <w:wordWrap/>
              <w:overflowPunct/>
              <w:topLinePunct w:val="0"/>
              <w:autoSpaceDE/>
              <w:autoSpaceDN/>
              <w:bidi w:val="0"/>
              <w:adjustRightInd/>
              <w:snapToGrid/>
              <w:spacing w:line="500" w:lineRule="exact"/>
              <w:ind w:firstLine="320" w:firstLineChars="200"/>
              <w:rPr>
                <w:rFonts w:hint="eastAsia" w:ascii="宋体" w:hAnsi="宋体" w:eastAsia="宋体" w:cs="宋体"/>
                <w:spacing w:val="-4"/>
                <w:sz w:val="16"/>
                <w:szCs w:val="16"/>
              </w:rPr>
            </w:pPr>
            <w:r>
              <w:rPr>
                <w:rFonts w:hint="eastAsia" w:ascii="Times New Roman" w:hAnsi="Times New Roman" w:eastAsia="宋体" w:cs="Times New Roman"/>
                <w:i w:val="0"/>
                <w:color w:val="000000"/>
                <w:sz w:val="16"/>
                <w:szCs w:val="16"/>
                <w:u w:val="none"/>
              </w:rPr>
              <w:t>儿童中医药健康管理率</w:t>
            </w:r>
          </w:p>
        </w:tc>
        <w:tc>
          <w:tcPr>
            <w:tcW w:w="870" w:type="dxa"/>
            <w:noWrap w:val="0"/>
            <w:vAlign w:val="center"/>
          </w:tcPr>
          <w:p w14:paraId="742D0D1F">
            <w:pPr>
              <w:keepNext w:val="0"/>
              <w:keepLines w:val="0"/>
              <w:pageBreakBefore w:val="0"/>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rPr>
              <w:t>≥</w:t>
            </w:r>
            <w:r>
              <w:rPr>
                <w:rFonts w:hint="eastAsia" w:ascii="仿宋_GB2312" w:hAnsi="仿宋_GB2312" w:eastAsia="仿宋_GB2312" w:cs="仿宋_GB2312"/>
                <w:i w:val="0"/>
                <w:color w:val="000000"/>
                <w:sz w:val="21"/>
                <w:szCs w:val="21"/>
                <w:u w:val="none"/>
                <w:lang w:val="en-US" w:eastAsia="zh-CN"/>
              </w:rPr>
              <w:t>77</w:t>
            </w:r>
            <w:r>
              <w:rPr>
                <w:rFonts w:hint="eastAsia" w:ascii="仿宋_GB2312" w:hAnsi="仿宋_GB2312" w:eastAsia="仿宋_GB2312" w:cs="仿宋_GB2312"/>
                <w:i w:val="0"/>
                <w:color w:val="000000"/>
                <w:sz w:val="21"/>
                <w:szCs w:val="21"/>
                <w:u w:val="none"/>
              </w:rPr>
              <w:t>%</w:t>
            </w:r>
          </w:p>
        </w:tc>
        <w:tc>
          <w:tcPr>
            <w:tcW w:w="793" w:type="dxa"/>
            <w:noWrap w:val="0"/>
            <w:vAlign w:val="center"/>
          </w:tcPr>
          <w:p w14:paraId="6E8BDC6A">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lang w:val="en-US" w:eastAsia="zh-CN"/>
              </w:rPr>
              <w:t>88.52%</w:t>
            </w:r>
          </w:p>
        </w:tc>
        <w:tc>
          <w:tcPr>
            <w:tcW w:w="625" w:type="dxa"/>
            <w:gridSpan w:val="2"/>
            <w:noWrap w:val="0"/>
            <w:vAlign w:val="center"/>
          </w:tcPr>
          <w:p w14:paraId="13939DB0">
            <w:pPr>
              <w:keepNext w:val="0"/>
              <w:keepLines w:val="0"/>
              <w:widowControl/>
              <w:suppressLineNumbers w:val="0"/>
              <w:ind w:firstLine="420" w:firstLineChars="20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0D50E6CD">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0F37CEC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76AE9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16" w:type="dxa"/>
            <w:vMerge w:val="continue"/>
            <w:noWrap w:val="0"/>
            <w:vAlign w:val="center"/>
          </w:tcPr>
          <w:p w14:paraId="55A35E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4418C7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tcBorders>
              <w:top w:val="nil"/>
            </w:tcBorders>
            <w:noWrap w:val="0"/>
            <w:vAlign w:val="center"/>
          </w:tcPr>
          <w:p w14:paraId="3D49495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41" w:type="dxa"/>
            <w:gridSpan w:val="3"/>
            <w:noWrap w:val="0"/>
            <w:vAlign w:val="center"/>
          </w:tcPr>
          <w:p w14:paraId="3D5D5801">
            <w:pPr>
              <w:keepNext w:val="0"/>
              <w:keepLines w:val="0"/>
              <w:pageBreakBefore w:val="0"/>
              <w:widowControl w:val="0"/>
              <w:kinsoku/>
              <w:wordWrap/>
              <w:overflowPunct/>
              <w:topLinePunct w:val="0"/>
              <w:autoSpaceDE/>
              <w:autoSpaceDN/>
              <w:bidi w:val="0"/>
              <w:adjustRightInd/>
              <w:snapToGrid/>
              <w:spacing w:line="440" w:lineRule="exact"/>
              <w:ind w:firstLine="320" w:firstLineChars="200"/>
              <w:textAlignment w:val="auto"/>
              <w:rPr>
                <w:rFonts w:hint="eastAsia" w:ascii="宋体" w:hAnsi="宋体" w:eastAsia="宋体" w:cs="宋体"/>
                <w:spacing w:val="-4"/>
                <w:sz w:val="16"/>
                <w:szCs w:val="16"/>
              </w:rPr>
            </w:pPr>
            <w:r>
              <w:rPr>
                <w:rFonts w:hint="eastAsia" w:ascii="Times New Roman" w:hAnsi="Times New Roman" w:eastAsia="宋体" w:cs="Times New Roman"/>
                <w:b w:val="0"/>
                <w:bCs w:val="0"/>
                <w:i w:val="0"/>
                <w:color w:val="000000"/>
                <w:sz w:val="16"/>
                <w:szCs w:val="16"/>
                <w:u w:val="none"/>
                <w:lang w:eastAsia="zh-CN"/>
              </w:rPr>
              <w:t>高血压患者基层规范管理服务率</w:t>
            </w:r>
          </w:p>
        </w:tc>
        <w:tc>
          <w:tcPr>
            <w:tcW w:w="870" w:type="dxa"/>
            <w:noWrap w:val="0"/>
            <w:vAlign w:val="center"/>
          </w:tcPr>
          <w:p w14:paraId="216BC3DA">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sz w:val="16"/>
                <w:szCs w:val="16"/>
              </w:rPr>
            </w:pP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62</w:t>
            </w:r>
            <w:r>
              <w:rPr>
                <w:rFonts w:hint="eastAsia" w:ascii="仿宋_GB2312" w:hAnsi="仿宋_GB2312" w:eastAsia="仿宋_GB2312" w:cs="仿宋_GB2312"/>
                <w:kern w:val="0"/>
                <w:sz w:val="21"/>
                <w:szCs w:val="21"/>
              </w:rPr>
              <w:t>%</w:t>
            </w:r>
          </w:p>
        </w:tc>
        <w:tc>
          <w:tcPr>
            <w:tcW w:w="793" w:type="dxa"/>
            <w:noWrap w:val="0"/>
            <w:vAlign w:val="center"/>
          </w:tcPr>
          <w:p w14:paraId="279ABAF4">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lang w:val="en-US" w:eastAsia="zh-CN"/>
              </w:rPr>
              <w:t>78.81%</w:t>
            </w:r>
          </w:p>
        </w:tc>
        <w:tc>
          <w:tcPr>
            <w:tcW w:w="625" w:type="dxa"/>
            <w:gridSpan w:val="2"/>
            <w:noWrap w:val="0"/>
            <w:vAlign w:val="center"/>
          </w:tcPr>
          <w:p w14:paraId="3A00F8DC">
            <w:pPr>
              <w:keepNext w:val="0"/>
              <w:keepLines w:val="0"/>
              <w:widowControl/>
              <w:suppressLineNumbers w:val="0"/>
              <w:ind w:firstLine="420" w:firstLineChars="20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3801BE26">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359F5B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1B7FA4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trPr>
        <w:tc>
          <w:tcPr>
            <w:tcW w:w="416" w:type="dxa"/>
            <w:vMerge w:val="continue"/>
            <w:noWrap w:val="0"/>
            <w:vAlign w:val="center"/>
          </w:tcPr>
          <w:p w14:paraId="2549CD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6A0DD3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restart"/>
            <w:noWrap w:val="0"/>
            <w:vAlign w:val="center"/>
          </w:tcPr>
          <w:p w14:paraId="40044F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2141" w:type="dxa"/>
            <w:gridSpan w:val="3"/>
            <w:noWrap w:val="0"/>
            <w:vAlign w:val="center"/>
          </w:tcPr>
          <w:p w14:paraId="1181B483">
            <w:pPr>
              <w:keepNext w:val="0"/>
              <w:keepLines w:val="0"/>
              <w:pageBreakBefore w:val="0"/>
              <w:widowControl w:val="0"/>
              <w:kinsoku/>
              <w:wordWrap/>
              <w:overflowPunct/>
              <w:topLinePunct w:val="0"/>
              <w:autoSpaceDE/>
              <w:autoSpaceDN/>
              <w:bidi w:val="0"/>
              <w:adjustRightInd/>
              <w:snapToGrid/>
              <w:spacing w:line="440" w:lineRule="exact"/>
              <w:ind w:firstLine="320" w:firstLineChars="200"/>
              <w:textAlignment w:val="auto"/>
              <w:rPr>
                <w:rFonts w:hint="eastAsia" w:ascii="宋体" w:hAnsi="宋体" w:eastAsia="宋体" w:cs="宋体"/>
                <w:sz w:val="16"/>
                <w:szCs w:val="16"/>
              </w:rPr>
            </w:pPr>
            <w:r>
              <w:rPr>
                <w:rFonts w:hint="eastAsia" w:ascii="Times New Roman" w:hAnsi="Times New Roman" w:eastAsia="宋体" w:cs="Times New Roman"/>
                <w:b w:val="0"/>
                <w:bCs w:val="0"/>
                <w:i w:val="0"/>
                <w:color w:val="000000"/>
                <w:sz w:val="16"/>
                <w:szCs w:val="16"/>
                <w:u w:val="none"/>
                <w:lang w:eastAsia="zh-CN"/>
              </w:rPr>
              <w:t>2型糖尿病患者规范管理率</w:t>
            </w:r>
          </w:p>
        </w:tc>
        <w:tc>
          <w:tcPr>
            <w:tcW w:w="870" w:type="dxa"/>
            <w:noWrap w:val="0"/>
            <w:vAlign w:val="center"/>
          </w:tcPr>
          <w:p w14:paraId="6134F5F1">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sz w:val="16"/>
                <w:szCs w:val="16"/>
              </w:rPr>
            </w:pP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62</w:t>
            </w:r>
            <w:r>
              <w:rPr>
                <w:rFonts w:hint="eastAsia" w:ascii="仿宋_GB2312" w:hAnsi="仿宋_GB2312" w:eastAsia="仿宋_GB2312" w:cs="仿宋_GB2312"/>
                <w:kern w:val="0"/>
                <w:sz w:val="21"/>
                <w:szCs w:val="21"/>
              </w:rPr>
              <w:t>%</w:t>
            </w:r>
          </w:p>
        </w:tc>
        <w:tc>
          <w:tcPr>
            <w:tcW w:w="793" w:type="dxa"/>
            <w:noWrap w:val="0"/>
            <w:vAlign w:val="center"/>
          </w:tcPr>
          <w:p w14:paraId="73841B68">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sz w:val="16"/>
                <w:szCs w:val="16"/>
              </w:rPr>
            </w:pPr>
            <w:r>
              <w:rPr>
                <w:rFonts w:hint="eastAsia" w:ascii="仿宋_GB2312" w:hAnsi="仿宋_GB2312" w:eastAsia="仿宋_GB2312" w:cs="仿宋_GB2312"/>
                <w:i w:val="0"/>
                <w:color w:val="000000"/>
                <w:sz w:val="21"/>
                <w:szCs w:val="21"/>
                <w:u w:val="none"/>
                <w:lang w:val="en-US" w:eastAsia="zh-CN"/>
              </w:rPr>
              <w:t>82.76%</w:t>
            </w:r>
          </w:p>
        </w:tc>
        <w:tc>
          <w:tcPr>
            <w:tcW w:w="625" w:type="dxa"/>
            <w:gridSpan w:val="2"/>
            <w:noWrap w:val="0"/>
            <w:vAlign w:val="center"/>
          </w:tcPr>
          <w:p w14:paraId="4756CD5F">
            <w:pPr>
              <w:keepNext w:val="0"/>
              <w:keepLines w:val="0"/>
              <w:widowControl/>
              <w:suppressLineNumbers w:val="0"/>
              <w:ind w:firstLine="420" w:firstLineChars="200"/>
              <w:jc w:val="both"/>
              <w:textAlignment w:val="center"/>
              <w:rPr>
                <w:rFonts w:hint="eastAsia" w:ascii="宋体" w:hAnsi="宋体" w:eastAsia="宋体" w:cs="宋体"/>
                <w:sz w:val="16"/>
                <w:szCs w:val="16"/>
                <w:lang w:val="en-US" w:eastAsia="zh-CN"/>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621F4D1E">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6280959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04EA8F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trPr>
        <w:tc>
          <w:tcPr>
            <w:tcW w:w="416" w:type="dxa"/>
            <w:vMerge w:val="continue"/>
            <w:noWrap w:val="0"/>
            <w:vAlign w:val="center"/>
          </w:tcPr>
          <w:p w14:paraId="179D8E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6FEA03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noWrap w:val="0"/>
            <w:vAlign w:val="center"/>
          </w:tcPr>
          <w:p w14:paraId="5091E0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2141" w:type="dxa"/>
            <w:gridSpan w:val="3"/>
            <w:noWrap w:val="0"/>
            <w:vAlign w:val="center"/>
          </w:tcPr>
          <w:p w14:paraId="47E7C86A">
            <w:pPr>
              <w:keepNext w:val="0"/>
              <w:keepLines w:val="0"/>
              <w:pageBreakBefore w:val="0"/>
              <w:widowControl w:val="0"/>
              <w:kinsoku/>
              <w:wordWrap/>
              <w:overflowPunct/>
              <w:topLinePunct w:val="0"/>
              <w:autoSpaceDE/>
              <w:autoSpaceDN/>
              <w:bidi w:val="0"/>
              <w:adjustRightInd/>
              <w:snapToGrid/>
              <w:spacing w:line="440" w:lineRule="exact"/>
              <w:ind w:firstLine="320" w:firstLineChars="200"/>
              <w:textAlignment w:val="auto"/>
              <w:rPr>
                <w:rFonts w:hint="eastAsia" w:ascii="宋体" w:hAnsi="宋体" w:eastAsia="宋体" w:cs="宋体"/>
                <w:i w:val="0"/>
                <w:iCs w:val="0"/>
                <w:snapToGrid w:val="0"/>
                <w:color w:val="000000"/>
                <w:kern w:val="0"/>
                <w:sz w:val="20"/>
                <w:szCs w:val="20"/>
                <w:u w:val="none"/>
                <w:lang w:val="en-US" w:eastAsia="zh-CN" w:bidi="ar"/>
              </w:rPr>
            </w:pPr>
            <w:r>
              <w:rPr>
                <w:rFonts w:hint="eastAsia" w:ascii="Times New Roman" w:hAnsi="Times New Roman" w:eastAsia="宋体" w:cs="Times New Roman"/>
                <w:b w:val="0"/>
                <w:bCs w:val="0"/>
                <w:i w:val="0"/>
                <w:color w:val="000000"/>
                <w:sz w:val="16"/>
                <w:szCs w:val="16"/>
                <w:u w:val="none"/>
                <w:lang w:val="en-US" w:eastAsia="zh-CN"/>
              </w:rPr>
              <w:t>65岁及以上老年人城乡社区规范</w:t>
            </w:r>
            <w:r>
              <w:rPr>
                <w:rFonts w:hint="eastAsia" w:ascii="Times New Roman" w:hAnsi="Times New Roman" w:eastAsia="宋体" w:cs="Times New Roman"/>
                <w:b w:val="0"/>
                <w:bCs w:val="0"/>
                <w:i w:val="0"/>
                <w:color w:val="000000"/>
                <w:sz w:val="16"/>
                <w:szCs w:val="16"/>
                <w:u w:val="none"/>
                <w:lang w:eastAsia="zh-CN"/>
              </w:rPr>
              <w:t>健康管理服务率</w:t>
            </w:r>
          </w:p>
        </w:tc>
        <w:tc>
          <w:tcPr>
            <w:tcW w:w="870" w:type="dxa"/>
            <w:noWrap w:val="0"/>
            <w:vAlign w:val="center"/>
          </w:tcPr>
          <w:p w14:paraId="7B759809">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i w:val="0"/>
                <w:iCs w:val="0"/>
                <w:snapToGrid w:val="0"/>
                <w:color w:val="000000"/>
                <w:kern w:val="0"/>
                <w:sz w:val="20"/>
                <w:szCs w:val="20"/>
                <w:u w:val="none"/>
                <w:lang w:val="en-US" w:eastAsia="zh-CN" w:bidi="ar"/>
              </w:rPr>
            </w:pP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62</w:t>
            </w:r>
            <w:r>
              <w:rPr>
                <w:rFonts w:hint="eastAsia" w:ascii="仿宋_GB2312" w:hAnsi="仿宋_GB2312" w:eastAsia="仿宋_GB2312" w:cs="仿宋_GB2312"/>
                <w:kern w:val="0"/>
                <w:sz w:val="21"/>
                <w:szCs w:val="21"/>
              </w:rPr>
              <w:t>%</w:t>
            </w:r>
          </w:p>
        </w:tc>
        <w:tc>
          <w:tcPr>
            <w:tcW w:w="793" w:type="dxa"/>
            <w:noWrap w:val="0"/>
            <w:vAlign w:val="center"/>
          </w:tcPr>
          <w:p w14:paraId="60846595">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i w:val="0"/>
                <w:iCs w:val="0"/>
                <w:snapToGrid w:val="0"/>
                <w:color w:val="000000"/>
                <w:kern w:val="0"/>
                <w:sz w:val="20"/>
                <w:szCs w:val="20"/>
                <w:u w:val="none"/>
                <w:lang w:val="en-US" w:eastAsia="zh-CN" w:bidi="ar"/>
              </w:rPr>
            </w:pPr>
            <w:r>
              <w:rPr>
                <w:rFonts w:hint="eastAsia" w:ascii="仿宋_GB2312" w:hAnsi="仿宋_GB2312" w:eastAsia="仿宋_GB2312" w:cs="仿宋_GB2312"/>
                <w:i w:val="0"/>
                <w:color w:val="000000"/>
                <w:sz w:val="21"/>
                <w:szCs w:val="21"/>
                <w:u w:val="none"/>
                <w:lang w:val="en-US" w:eastAsia="zh-CN"/>
              </w:rPr>
              <w:t>87.06%</w:t>
            </w:r>
          </w:p>
        </w:tc>
        <w:tc>
          <w:tcPr>
            <w:tcW w:w="625" w:type="dxa"/>
            <w:gridSpan w:val="2"/>
            <w:noWrap w:val="0"/>
            <w:vAlign w:val="center"/>
          </w:tcPr>
          <w:p w14:paraId="7B6C08C2">
            <w:pPr>
              <w:keepNext w:val="0"/>
              <w:keepLines w:val="0"/>
              <w:widowControl/>
              <w:suppressLineNumbers w:val="0"/>
              <w:ind w:firstLine="420" w:firstLineChars="200"/>
              <w:jc w:val="both"/>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37293ECF">
            <w:pPr>
              <w:keepNext w:val="0"/>
              <w:keepLines w:val="0"/>
              <w:widowControl/>
              <w:suppressLineNumbers w:val="0"/>
              <w:ind w:firstLine="420" w:firstLineChars="200"/>
              <w:jc w:val="center"/>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40DD4D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08BA8A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trPr>
        <w:tc>
          <w:tcPr>
            <w:tcW w:w="416" w:type="dxa"/>
            <w:vMerge w:val="continue"/>
            <w:noWrap w:val="0"/>
            <w:vAlign w:val="center"/>
          </w:tcPr>
          <w:p w14:paraId="0E09DE8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6FCEDD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vMerge w:val="continue"/>
            <w:noWrap w:val="0"/>
            <w:vAlign w:val="center"/>
          </w:tcPr>
          <w:p w14:paraId="164294D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2141" w:type="dxa"/>
            <w:gridSpan w:val="3"/>
            <w:noWrap w:val="0"/>
            <w:vAlign w:val="center"/>
          </w:tcPr>
          <w:p w14:paraId="21DCD902">
            <w:pPr>
              <w:keepNext w:val="0"/>
              <w:keepLines w:val="0"/>
              <w:pageBreakBefore w:val="0"/>
              <w:widowControl w:val="0"/>
              <w:kinsoku/>
              <w:wordWrap/>
              <w:overflowPunct/>
              <w:topLinePunct w:val="0"/>
              <w:autoSpaceDE/>
              <w:autoSpaceDN/>
              <w:bidi w:val="0"/>
              <w:adjustRightInd/>
              <w:snapToGrid/>
              <w:spacing w:line="440" w:lineRule="exact"/>
              <w:ind w:firstLine="320" w:firstLineChars="200"/>
              <w:textAlignment w:val="auto"/>
              <w:rPr>
                <w:rFonts w:hint="eastAsia" w:ascii="宋体" w:hAnsi="宋体" w:eastAsia="宋体" w:cs="宋体"/>
                <w:i w:val="0"/>
                <w:iCs w:val="0"/>
                <w:snapToGrid w:val="0"/>
                <w:color w:val="000000"/>
                <w:kern w:val="0"/>
                <w:sz w:val="20"/>
                <w:szCs w:val="20"/>
                <w:u w:val="none"/>
                <w:lang w:val="en-US" w:eastAsia="zh-CN" w:bidi="ar"/>
              </w:rPr>
            </w:pPr>
            <w:r>
              <w:rPr>
                <w:rFonts w:hint="eastAsia" w:ascii="Times New Roman" w:hAnsi="Times New Roman" w:eastAsia="宋体" w:cs="Times New Roman"/>
                <w:b w:val="0"/>
                <w:bCs w:val="0"/>
                <w:i w:val="0"/>
                <w:color w:val="000000"/>
                <w:sz w:val="16"/>
                <w:szCs w:val="16"/>
                <w:u w:val="none"/>
                <w:lang w:eastAsia="zh-CN"/>
              </w:rPr>
              <w:t>传染病和突发公共卫生事件报告率</w:t>
            </w:r>
          </w:p>
        </w:tc>
        <w:tc>
          <w:tcPr>
            <w:tcW w:w="870" w:type="dxa"/>
            <w:noWrap w:val="0"/>
            <w:vAlign w:val="center"/>
          </w:tcPr>
          <w:p w14:paraId="0CCD5171">
            <w:pPr>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both"/>
              <w:rPr>
                <w:rFonts w:hint="eastAsia" w:ascii="宋体" w:hAnsi="宋体" w:eastAsia="宋体" w:cs="宋体"/>
                <w:i w:val="0"/>
                <w:iCs w:val="0"/>
                <w:snapToGrid w:val="0"/>
                <w:color w:val="000000"/>
                <w:kern w:val="0"/>
                <w:sz w:val="20"/>
                <w:szCs w:val="20"/>
                <w:u w:val="none"/>
                <w:lang w:val="en-US" w:eastAsia="zh-CN" w:bidi="ar"/>
              </w:rPr>
            </w:pPr>
            <w:r>
              <w:rPr>
                <w:rFonts w:hint="eastAsia" w:ascii="仿宋_GB2312" w:hAnsi="仿宋_GB2312" w:eastAsia="仿宋_GB2312" w:cs="仿宋_GB2312"/>
                <w:kern w:val="0"/>
                <w:sz w:val="21"/>
                <w:szCs w:val="21"/>
              </w:rPr>
              <w:t>≥95%</w:t>
            </w:r>
          </w:p>
        </w:tc>
        <w:tc>
          <w:tcPr>
            <w:tcW w:w="793" w:type="dxa"/>
            <w:noWrap w:val="0"/>
            <w:vAlign w:val="center"/>
          </w:tcPr>
          <w:p w14:paraId="543028DC">
            <w:pPr>
              <w:keepNext w:val="0"/>
              <w:keepLines w:val="0"/>
              <w:pageBreakBefore w:val="0"/>
              <w:kinsoku/>
              <w:wordWrap/>
              <w:overflowPunct/>
              <w:topLinePunct w:val="0"/>
              <w:autoSpaceDE/>
              <w:autoSpaceDN/>
              <w:bidi w:val="0"/>
              <w:adjustRightInd/>
              <w:snapToGrid/>
              <w:spacing w:line="500" w:lineRule="exact"/>
              <w:ind w:left="0" w:leftChars="0" w:firstLine="0" w:firstLineChars="0"/>
              <w:rPr>
                <w:rFonts w:hint="eastAsia" w:ascii="宋体" w:hAnsi="宋体" w:eastAsia="宋体" w:cs="宋体"/>
                <w:i w:val="0"/>
                <w:iCs w:val="0"/>
                <w:snapToGrid w:val="0"/>
                <w:color w:val="000000"/>
                <w:kern w:val="0"/>
                <w:sz w:val="20"/>
                <w:szCs w:val="20"/>
                <w:u w:val="none"/>
                <w:lang w:val="en-US" w:eastAsia="zh-CN" w:bidi="ar"/>
              </w:rPr>
            </w:pPr>
            <w:r>
              <w:rPr>
                <w:rFonts w:hint="eastAsia" w:ascii="仿宋_GB2312" w:hAnsi="仿宋_GB2312" w:eastAsia="仿宋_GB2312" w:cs="仿宋_GB2312"/>
                <w:i w:val="0"/>
                <w:color w:val="000000"/>
                <w:sz w:val="21"/>
                <w:szCs w:val="21"/>
                <w:u w:val="none"/>
                <w:lang w:val="en-US" w:eastAsia="zh-CN"/>
              </w:rPr>
              <w:t>100%</w:t>
            </w:r>
          </w:p>
        </w:tc>
        <w:tc>
          <w:tcPr>
            <w:tcW w:w="625" w:type="dxa"/>
            <w:gridSpan w:val="2"/>
            <w:noWrap w:val="0"/>
            <w:vAlign w:val="center"/>
          </w:tcPr>
          <w:p w14:paraId="606A3FC9">
            <w:pPr>
              <w:keepNext w:val="0"/>
              <w:keepLines w:val="0"/>
              <w:widowControl/>
              <w:suppressLineNumbers w:val="0"/>
              <w:ind w:firstLine="420" w:firstLineChars="200"/>
              <w:jc w:val="both"/>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32FE1AA6">
            <w:pPr>
              <w:keepNext w:val="0"/>
              <w:keepLines w:val="0"/>
              <w:widowControl/>
              <w:suppressLineNumbers w:val="0"/>
              <w:ind w:firstLine="420" w:firstLineChars="200"/>
              <w:jc w:val="center"/>
              <w:textAlignment w:val="center"/>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3919D4D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72E14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416" w:type="dxa"/>
            <w:vMerge w:val="continue"/>
            <w:noWrap w:val="0"/>
            <w:vAlign w:val="center"/>
          </w:tcPr>
          <w:p w14:paraId="7364C6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2E3117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tcBorders>
              <w:bottom w:val="nil"/>
            </w:tcBorders>
            <w:noWrap w:val="0"/>
            <w:vAlign w:val="center"/>
          </w:tcPr>
          <w:p w14:paraId="5353F5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2141" w:type="dxa"/>
            <w:gridSpan w:val="3"/>
            <w:noWrap w:val="0"/>
            <w:vAlign w:val="center"/>
          </w:tcPr>
          <w:p w14:paraId="149BA584">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资金拨付及时率</w:t>
            </w:r>
          </w:p>
        </w:tc>
        <w:tc>
          <w:tcPr>
            <w:tcW w:w="870" w:type="dxa"/>
            <w:noWrap w:val="0"/>
            <w:vAlign w:val="center"/>
          </w:tcPr>
          <w:p w14:paraId="0F4A740B">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100%</w:t>
            </w:r>
          </w:p>
        </w:tc>
        <w:tc>
          <w:tcPr>
            <w:tcW w:w="793" w:type="dxa"/>
            <w:noWrap w:val="0"/>
            <w:vAlign w:val="center"/>
          </w:tcPr>
          <w:p w14:paraId="48F3FE95">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100%</w:t>
            </w:r>
          </w:p>
        </w:tc>
        <w:tc>
          <w:tcPr>
            <w:tcW w:w="625" w:type="dxa"/>
            <w:gridSpan w:val="2"/>
            <w:noWrap w:val="0"/>
            <w:vAlign w:val="center"/>
          </w:tcPr>
          <w:p w14:paraId="290826D1">
            <w:pPr>
              <w:keepNext w:val="0"/>
              <w:keepLines w:val="0"/>
              <w:widowControl/>
              <w:suppressLineNumbers w:val="0"/>
              <w:ind w:firstLine="420" w:firstLineChars="200"/>
              <w:jc w:val="both"/>
              <w:textAlignment w:val="center"/>
              <w:rPr>
                <w:rFonts w:hint="eastAsia" w:ascii="宋体" w:hAnsi="宋体" w:eastAsia="宋体" w:cs="宋体"/>
                <w:sz w:val="16"/>
                <w:szCs w:val="16"/>
                <w:lang w:val="en-US" w:eastAsia="zh-CN"/>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08F38478">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704067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4A690B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9" w:hRule="atLeast"/>
        </w:trPr>
        <w:tc>
          <w:tcPr>
            <w:tcW w:w="416" w:type="dxa"/>
            <w:vMerge w:val="continue"/>
            <w:noWrap w:val="0"/>
            <w:textDirection w:val="tbRlV"/>
            <w:vAlign w:val="center"/>
          </w:tcPr>
          <w:p w14:paraId="79984D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restart"/>
            <w:tcBorders>
              <w:bottom w:val="nil"/>
            </w:tcBorders>
            <w:noWrap w:val="0"/>
            <w:vAlign w:val="center"/>
          </w:tcPr>
          <w:p w14:paraId="594CCE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575" w:type="dxa"/>
            <w:tcBorders>
              <w:bottom w:val="nil"/>
            </w:tcBorders>
            <w:noWrap w:val="0"/>
            <w:vAlign w:val="center"/>
          </w:tcPr>
          <w:p w14:paraId="6A1BFD0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14:paraId="5B32AC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2141" w:type="dxa"/>
            <w:gridSpan w:val="3"/>
            <w:noWrap w:val="0"/>
            <w:vAlign w:val="center"/>
          </w:tcPr>
          <w:p w14:paraId="4624D2EF">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城乡居民公共卫生差距</w:t>
            </w:r>
          </w:p>
        </w:tc>
        <w:tc>
          <w:tcPr>
            <w:tcW w:w="870" w:type="dxa"/>
            <w:noWrap w:val="0"/>
            <w:vAlign w:val="center"/>
          </w:tcPr>
          <w:p w14:paraId="78814FAD">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不断缩小</w:t>
            </w:r>
          </w:p>
        </w:tc>
        <w:tc>
          <w:tcPr>
            <w:tcW w:w="793" w:type="dxa"/>
            <w:noWrap w:val="0"/>
            <w:vAlign w:val="center"/>
          </w:tcPr>
          <w:p w14:paraId="1F169502">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不断缩小</w:t>
            </w:r>
          </w:p>
        </w:tc>
        <w:tc>
          <w:tcPr>
            <w:tcW w:w="625" w:type="dxa"/>
            <w:gridSpan w:val="2"/>
            <w:noWrap w:val="0"/>
            <w:vAlign w:val="center"/>
          </w:tcPr>
          <w:p w14:paraId="0EB5ACC3">
            <w:pPr>
              <w:keepNext w:val="0"/>
              <w:keepLines w:val="0"/>
              <w:widowControl/>
              <w:suppressLineNumbers w:val="0"/>
              <w:ind w:left="0" w:leftChars="0" w:firstLine="0" w:firstLineChars="0"/>
              <w:jc w:val="both"/>
              <w:textAlignment w:val="center"/>
              <w:rPr>
                <w:rFonts w:hint="default" w:ascii="宋体" w:hAnsi="宋体" w:eastAsia="宋体" w:cs="宋体"/>
                <w:sz w:val="16"/>
                <w:szCs w:val="16"/>
                <w:lang w:val="en-US" w:eastAsia="zh-CN"/>
              </w:rPr>
            </w:pPr>
            <w:r>
              <w:rPr>
                <w:rFonts w:hint="eastAsia" w:ascii="仿宋_GB2312" w:hAnsi="宋体" w:eastAsia="仿宋_GB2312" w:cs="仿宋_GB2312"/>
                <w:i w:val="0"/>
                <w:iCs w:val="0"/>
                <w:snapToGrid w:val="0"/>
                <w:color w:val="000000"/>
                <w:kern w:val="0"/>
                <w:sz w:val="21"/>
                <w:szCs w:val="21"/>
                <w:u w:val="none"/>
                <w:lang w:val="en-US" w:eastAsia="zh-CN" w:bidi="ar"/>
              </w:rPr>
              <w:t>10</w:t>
            </w:r>
          </w:p>
        </w:tc>
        <w:tc>
          <w:tcPr>
            <w:tcW w:w="575" w:type="dxa"/>
            <w:gridSpan w:val="2"/>
            <w:noWrap w:val="0"/>
            <w:vAlign w:val="center"/>
          </w:tcPr>
          <w:p w14:paraId="262A9448">
            <w:pPr>
              <w:keepNext w:val="0"/>
              <w:keepLines w:val="0"/>
              <w:widowControl/>
              <w:suppressLineNumbers w:val="0"/>
              <w:ind w:left="0" w:leftChars="0" w:firstLine="0" w:firstLineChars="0"/>
              <w:jc w:val="both"/>
              <w:textAlignment w:val="center"/>
              <w:rPr>
                <w:rFonts w:hint="default" w:ascii="宋体" w:hAnsi="宋体" w:eastAsia="宋体" w:cs="宋体"/>
                <w:sz w:val="16"/>
                <w:szCs w:val="16"/>
                <w:lang w:val="en-US"/>
              </w:rPr>
            </w:pPr>
            <w:r>
              <w:rPr>
                <w:rFonts w:hint="eastAsia" w:ascii="仿宋_GB2312" w:hAnsi="宋体" w:eastAsia="仿宋_GB2312" w:cs="仿宋_GB2312"/>
                <w:i w:val="0"/>
                <w:iCs w:val="0"/>
                <w:snapToGrid w:val="0"/>
                <w:color w:val="000000"/>
                <w:kern w:val="0"/>
                <w:sz w:val="21"/>
                <w:szCs w:val="21"/>
                <w:u w:val="none"/>
                <w:lang w:val="en-US" w:eastAsia="zh-CN" w:bidi="ar"/>
              </w:rPr>
              <w:t>10</w:t>
            </w:r>
          </w:p>
        </w:tc>
        <w:tc>
          <w:tcPr>
            <w:tcW w:w="1590" w:type="dxa"/>
            <w:gridSpan w:val="2"/>
            <w:noWrap w:val="0"/>
            <w:vAlign w:val="center"/>
          </w:tcPr>
          <w:p w14:paraId="26C21D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5623B6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9" w:hRule="atLeast"/>
        </w:trPr>
        <w:tc>
          <w:tcPr>
            <w:tcW w:w="416" w:type="dxa"/>
            <w:vMerge w:val="continue"/>
            <w:noWrap w:val="0"/>
            <w:textDirection w:val="tbRlV"/>
            <w:vAlign w:val="center"/>
          </w:tcPr>
          <w:p w14:paraId="44104B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vMerge w:val="continue"/>
            <w:tcBorders>
              <w:top w:val="nil"/>
              <w:bottom w:val="nil"/>
            </w:tcBorders>
            <w:noWrap w:val="0"/>
            <w:vAlign w:val="center"/>
          </w:tcPr>
          <w:p w14:paraId="2F92A7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tcBorders>
              <w:bottom w:val="nil"/>
            </w:tcBorders>
            <w:noWrap w:val="0"/>
            <w:vAlign w:val="center"/>
          </w:tcPr>
          <w:p w14:paraId="7C165F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14:paraId="608F00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2141" w:type="dxa"/>
            <w:gridSpan w:val="3"/>
            <w:noWrap w:val="0"/>
            <w:vAlign w:val="center"/>
          </w:tcPr>
          <w:p w14:paraId="28013DB6">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基本公共卫生服务水平</w:t>
            </w:r>
          </w:p>
        </w:tc>
        <w:tc>
          <w:tcPr>
            <w:tcW w:w="870" w:type="dxa"/>
            <w:noWrap w:val="0"/>
            <w:vAlign w:val="center"/>
          </w:tcPr>
          <w:p w14:paraId="1D676DE6">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不断提高</w:t>
            </w:r>
          </w:p>
        </w:tc>
        <w:tc>
          <w:tcPr>
            <w:tcW w:w="793" w:type="dxa"/>
            <w:noWrap w:val="0"/>
            <w:vAlign w:val="center"/>
          </w:tcPr>
          <w:p w14:paraId="12402823">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20"/>
                <w:szCs w:val="20"/>
                <w:u w:val="none"/>
                <w:lang w:val="en-US" w:eastAsia="zh-CN" w:bidi="ar"/>
              </w:rPr>
              <w:t>不断提高</w:t>
            </w:r>
          </w:p>
        </w:tc>
        <w:tc>
          <w:tcPr>
            <w:tcW w:w="625" w:type="dxa"/>
            <w:gridSpan w:val="2"/>
            <w:noWrap w:val="0"/>
            <w:vAlign w:val="center"/>
          </w:tcPr>
          <w:p w14:paraId="7DEF72FE">
            <w:pPr>
              <w:keepNext w:val="0"/>
              <w:keepLines w:val="0"/>
              <w:widowControl/>
              <w:suppressLineNumbers w:val="0"/>
              <w:ind w:left="0" w:leftChars="0" w:firstLine="0" w:firstLineChars="0"/>
              <w:jc w:val="both"/>
              <w:textAlignment w:val="center"/>
              <w:rPr>
                <w:rFonts w:hint="default" w:ascii="宋体" w:hAnsi="宋体" w:eastAsia="宋体" w:cs="宋体"/>
                <w:sz w:val="16"/>
                <w:szCs w:val="16"/>
                <w:lang w:val="en-US" w:eastAsia="zh-CN"/>
              </w:rPr>
            </w:pPr>
            <w:r>
              <w:rPr>
                <w:rFonts w:hint="eastAsia" w:ascii="仿宋_GB2312" w:hAnsi="宋体" w:eastAsia="仿宋_GB2312" w:cs="仿宋_GB2312"/>
                <w:i w:val="0"/>
                <w:iCs w:val="0"/>
                <w:snapToGrid w:val="0"/>
                <w:color w:val="000000"/>
                <w:kern w:val="0"/>
                <w:sz w:val="21"/>
                <w:szCs w:val="21"/>
                <w:u w:val="none"/>
                <w:lang w:val="en-US" w:eastAsia="zh-CN" w:bidi="ar"/>
              </w:rPr>
              <w:t>10</w:t>
            </w:r>
          </w:p>
        </w:tc>
        <w:tc>
          <w:tcPr>
            <w:tcW w:w="575" w:type="dxa"/>
            <w:gridSpan w:val="2"/>
            <w:noWrap w:val="0"/>
            <w:vAlign w:val="center"/>
          </w:tcPr>
          <w:p w14:paraId="0BB8869D">
            <w:pPr>
              <w:keepNext w:val="0"/>
              <w:keepLines w:val="0"/>
              <w:widowControl/>
              <w:suppressLineNumbers w:val="0"/>
              <w:ind w:left="0" w:leftChars="0" w:firstLine="0" w:firstLineChars="0"/>
              <w:jc w:val="both"/>
              <w:textAlignment w:val="center"/>
              <w:rPr>
                <w:rFonts w:hint="default" w:ascii="宋体" w:hAnsi="宋体" w:eastAsia="宋体" w:cs="宋体"/>
                <w:sz w:val="16"/>
                <w:szCs w:val="16"/>
                <w:lang w:val="en-US"/>
              </w:rPr>
            </w:pPr>
            <w:r>
              <w:rPr>
                <w:rFonts w:hint="eastAsia" w:ascii="仿宋_GB2312" w:hAnsi="宋体" w:eastAsia="仿宋_GB2312" w:cs="仿宋_GB2312"/>
                <w:i w:val="0"/>
                <w:iCs w:val="0"/>
                <w:snapToGrid w:val="0"/>
                <w:color w:val="000000"/>
                <w:kern w:val="0"/>
                <w:sz w:val="21"/>
                <w:szCs w:val="21"/>
                <w:u w:val="none"/>
                <w:lang w:val="en-US" w:eastAsia="zh-CN" w:bidi="ar"/>
              </w:rPr>
              <w:t>10</w:t>
            </w:r>
          </w:p>
        </w:tc>
        <w:tc>
          <w:tcPr>
            <w:tcW w:w="1590" w:type="dxa"/>
            <w:gridSpan w:val="2"/>
            <w:noWrap w:val="0"/>
            <w:vAlign w:val="center"/>
          </w:tcPr>
          <w:p w14:paraId="0FC8C4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4E08DD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4" w:hRule="atLeast"/>
        </w:trPr>
        <w:tc>
          <w:tcPr>
            <w:tcW w:w="416" w:type="dxa"/>
            <w:vMerge w:val="continue"/>
            <w:noWrap w:val="0"/>
            <w:vAlign w:val="center"/>
          </w:tcPr>
          <w:p w14:paraId="23D663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14" w:type="dxa"/>
            <w:tcBorders>
              <w:bottom w:val="nil"/>
            </w:tcBorders>
            <w:noWrap w:val="0"/>
            <w:vAlign w:val="center"/>
          </w:tcPr>
          <w:p w14:paraId="61E996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575" w:type="dxa"/>
            <w:tcBorders>
              <w:bottom w:val="nil"/>
            </w:tcBorders>
            <w:noWrap w:val="0"/>
            <w:vAlign w:val="center"/>
          </w:tcPr>
          <w:p w14:paraId="21B011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14:paraId="514EAA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14:paraId="1F42CE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2141" w:type="dxa"/>
            <w:gridSpan w:val="3"/>
            <w:noWrap w:val="0"/>
            <w:vAlign w:val="center"/>
          </w:tcPr>
          <w:p w14:paraId="5B28FB1B">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城乡居民对基本公共卫生服务满意度</w:t>
            </w:r>
          </w:p>
        </w:tc>
        <w:tc>
          <w:tcPr>
            <w:tcW w:w="870" w:type="dxa"/>
            <w:noWrap w:val="0"/>
            <w:vAlign w:val="center"/>
          </w:tcPr>
          <w:p w14:paraId="51E2F4A3">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较上年提高</w:t>
            </w:r>
          </w:p>
        </w:tc>
        <w:tc>
          <w:tcPr>
            <w:tcW w:w="793" w:type="dxa"/>
            <w:noWrap w:val="0"/>
            <w:vAlign w:val="center"/>
          </w:tcPr>
          <w:p w14:paraId="1B64F30E">
            <w:pPr>
              <w:keepNext w:val="0"/>
              <w:keepLines w:val="0"/>
              <w:widowControl/>
              <w:suppressLineNumbers w:val="0"/>
              <w:ind w:left="0" w:leftChars="0" w:firstLine="0" w:firstLineChars="0"/>
              <w:jc w:val="both"/>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较上年提高</w:t>
            </w:r>
          </w:p>
        </w:tc>
        <w:tc>
          <w:tcPr>
            <w:tcW w:w="625" w:type="dxa"/>
            <w:gridSpan w:val="2"/>
            <w:noWrap w:val="0"/>
            <w:vAlign w:val="center"/>
          </w:tcPr>
          <w:p w14:paraId="1B3C8016">
            <w:pPr>
              <w:keepNext w:val="0"/>
              <w:keepLines w:val="0"/>
              <w:widowControl/>
              <w:suppressLineNumbers w:val="0"/>
              <w:ind w:firstLine="420" w:firstLineChars="200"/>
              <w:jc w:val="both"/>
              <w:textAlignment w:val="center"/>
              <w:rPr>
                <w:rFonts w:hint="eastAsia" w:ascii="宋体" w:hAnsi="宋体" w:eastAsia="宋体" w:cs="宋体"/>
                <w:sz w:val="16"/>
                <w:szCs w:val="16"/>
                <w:lang w:val="en-US" w:eastAsia="zh-CN"/>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575" w:type="dxa"/>
            <w:gridSpan w:val="2"/>
            <w:noWrap w:val="0"/>
            <w:vAlign w:val="center"/>
          </w:tcPr>
          <w:p w14:paraId="1BAA44BC">
            <w:pPr>
              <w:keepNext w:val="0"/>
              <w:keepLines w:val="0"/>
              <w:widowControl/>
              <w:suppressLineNumbers w:val="0"/>
              <w:ind w:firstLine="420" w:firstLineChars="200"/>
              <w:jc w:val="center"/>
              <w:textAlignment w:val="center"/>
              <w:rPr>
                <w:rFonts w:hint="eastAsia" w:ascii="宋体" w:hAnsi="宋体" w:eastAsia="宋体" w:cs="宋体"/>
                <w:sz w:val="16"/>
                <w:szCs w:val="16"/>
              </w:rPr>
            </w:pPr>
            <w:r>
              <w:rPr>
                <w:rFonts w:hint="default" w:ascii="仿宋_GB2312" w:hAnsi="宋体" w:eastAsia="仿宋_GB2312" w:cs="仿宋_GB2312"/>
                <w:i w:val="0"/>
                <w:iCs w:val="0"/>
                <w:snapToGrid w:val="0"/>
                <w:color w:val="000000"/>
                <w:kern w:val="0"/>
                <w:sz w:val="21"/>
                <w:szCs w:val="21"/>
                <w:u w:val="none"/>
                <w:lang w:val="en-US" w:eastAsia="zh-CN" w:bidi="ar"/>
              </w:rPr>
              <w:t>5</w:t>
            </w:r>
          </w:p>
        </w:tc>
        <w:tc>
          <w:tcPr>
            <w:tcW w:w="1590" w:type="dxa"/>
            <w:gridSpan w:val="2"/>
            <w:noWrap w:val="0"/>
            <w:vAlign w:val="center"/>
          </w:tcPr>
          <w:p w14:paraId="5E13B2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32B4E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5509" w:type="dxa"/>
            <w:gridSpan w:val="8"/>
            <w:noWrap w:val="0"/>
            <w:vAlign w:val="center"/>
          </w:tcPr>
          <w:p w14:paraId="4C9D5E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5" w:type="dxa"/>
            <w:gridSpan w:val="2"/>
            <w:noWrap w:val="0"/>
            <w:vAlign w:val="center"/>
          </w:tcPr>
          <w:p w14:paraId="17E0CB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5" w:type="dxa"/>
            <w:gridSpan w:val="2"/>
            <w:noWrap w:val="0"/>
            <w:vAlign w:val="center"/>
          </w:tcPr>
          <w:p w14:paraId="19A558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90" w:type="dxa"/>
            <w:gridSpan w:val="2"/>
            <w:noWrap w:val="0"/>
            <w:vAlign w:val="center"/>
          </w:tcPr>
          <w:p w14:paraId="48DFB6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0BF97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16" w:type="dxa"/>
            <w:noWrap w:val="0"/>
            <w:vAlign w:val="center"/>
          </w:tcPr>
          <w:p w14:paraId="512431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83" w:type="dxa"/>
            <w:gridSpan w:val="13"/>
            <w:noWrap w:val="0"/>
            <w:vAlign w:val="center"/>
          </w:tcPr>
          <w:p w14:paraId="223EC9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14:paraId="4C519BA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rPr>
        <w:t>注：1.其他资金包括和各级财政资金共同投入到同一项目的自有资金、社会资金等。</w:t>
      </w:r>
    </w:p>
    <w:p w14:paraId="7F9708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320" w:firstLineChars="200"/>
        <w:jc w:val="left"/>
        <w:textAlignment w:val="baseline"/>
        <w:rPr>
          <w:rFonts w:hint="eastAsia" w:ascii="宋体" w:hAnsi="宋体" w:eastAsia="宋体" w:cs="宋体"/>
          <w:sz w:val="16"/>
          <w:szCs w:val="16"/>
        </w:rPr>
      </w:pPr>
      <w:r>
        <w:rPr>
          <w:rFonts w:hint="eastAsia" w:ascii="宋体" w:hAnsi="宋体" w:eastAsia="宋体" w:cs="宋体"/>
          <w:sz w:val="16"/>
          <w:szCs w:val="16"/>
        </w:rPr>
        <w:t>2.绩效自评采取打分评价形式，满分为100分，主管部门可根据指标的重要程度自主确定各项二、三级指标的权重分值，各项指标得分加总得出该项目绩效自评的总分（中央和省委巡视、各级审计和财政监督中发现问题的酌情扣分</w:t>
      </w:r>
      <w:r>
        <w:rPr>
          <w:rFonts w:hint="eastAsia" w:ascii="宋体" w:hAnsi="宋体" w:eastAsia="宋体" w:cs="宋体"/>
          <w:spacing w:val="19"/>
          <w:sz w:val="16"/>
          <w:szCs w:val="16"/>
        </w:rPr>
        <w:t>），</w:t>
      </w:r>
      <w:r>
        <w:rPr>
          <w:rFonts w:hint="eastAsia" w:ascii="宋体" w:hAnsi="宋体" w:eastAsia="宋体" w:cs="宋体"/>
          <w:sz w:val="16"/>
          <w:szCs w:val="16"/>
        </w:rPr>
        <w:t>各项指标得分最高不能超过该指标分值上限，原则上一级指标分值统一设置为：产出指标50分、效益指标30分、满意度指标10分、预算资金执行率10分。</w:t>
      </w:r>
    </w:p>
    <w:p w14:paraId="7148B5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320" w:firstLineChars="200"/>
        <w:jc w:val="left"/>
        <w:textAlignment w:val="baseline"/>
        <w:rPr>
          <w:rFonts w:hint="eastAsia" w:ascii="宋体" w:hAnsi="宋体" w:eastAsia="宋体" w:cs="宋体"/>
          <w:sz w:val="16"/>
          <w:szCs w:val="16"/>
        </w:rPr>
      </w:pPr>
      <w:r>
        <w:rPr>
          <w:rFonts w:hint="eastAsia" w:ascii="宋体" w:hAnsi="宋体" w:eastAsia="宋体" w:cs="宋体"/>
          <w:sz w:val="16"/>
          <w:szCs w:val="16"/>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汇总时以资金额度为权重，对分值加权平均计算。</w:t>
      </w:r>
    </w:p>
    <w:p w14:paraId="7F64BCA5">
      <w:pPr>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附件11</w:t>
      </w:r>
    </w:p>
    <w:p w14:paraId="727E8168">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16AD8365">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7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4"/>
        <w:gridCol w:w="788"/>
        <w:gridCol w:w="872"/>
        <w:gridCol w:w="271"/>
        <w:gridCol w:w="1051"/>
        <w:gridCol w:w="204"/>
        <w:gridCol w:w="930"/>
        <w:gridCol w:w="856"/>
        <w:gridCol w:w="590"/>
        <w:gridCol w:w="72"/>
        <w:gridCol w:w="683"/>
        <w:gridCol w:w="82"/>
        <w:gridCol w:w="588"/>
        <w:gridCol w:w="1108"/>
      </w:tblGrid>
      <w:tr w14:paraId="72334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trPr>
        <w:tc>
          <w:tcPr>
            <w:tcW w:w="1452" w:type="dxa"/>
            <w:gridSpan w:val="2"/>
            <w:noWrap w:val="0"/>
            <w:vAlign w:val="center"/>
          </w:tcPr>
          <w:p w14:paraId="7ED099C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307" w:type="dxa"/>
            <w:gridSpan w:val="12"/>
            <w:noWrap w:val="0"/>
            <w:vAlign w:val="center"/>
          </w:tcPr>
          <w:p w14:paraId="2324E83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家庭医生签约服务补助经费</w:t>
            </w:r>
          </w:p>
        </w:tc>
      </w:tr>
      <w:tr w14:paraId="2F379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trPr>
        <w:tc>
          <w:tcPr>
            <w:tcW w:w="1452" w:type="dxa"/>
            <w:gridSpan w:val="2"/>
            <w:noWrap w:val="0"/>
            <w:vAlign w:val="center"/>
          </w:tcPr>
          <w:p w14:paraId="638ABD2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328" w:type="dxa"/>
            <w:gridSpan w:val="5"/>
            <w:noWrap w:val="0"/>
            <w:vAlign w:val="center"/>
          </w:tcPr>
          <w:p w14:paraId="0772AC8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446" w:type="dxa"/>
            <w:gridSpan w:val="2"/>
            <w:noWrap w:val="0"/>
            <w:vAlign w:val="center"/>
          </w:tcPr>
          <w:p w14:paraId="3DD813C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533" w:type="dxa"/>
            <w:gridSpan w:val="5"/>
            <w:noWrap w:val="0"/>
            <w:vAlign w:val="center"/>
          </w:tcPr>
          <w:p w14:paraId="0C3F6507">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各基层医疗机构</w:t>
            </w:r>
          </w:p>
        </w:tc>
      </w:tr>
      <w:tr w14:paraId="5B54C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1" w:hRule="atLeast"/>
        </w:trPr>
        <w:tc>
          <w:tcPr>
            <w:tcW w:w="1452" w:type="dxa"/>
            <w:gridSpan w:val="2"/>
            <w:vMerge w:val="restart"/>
            <w:noWrap w:val="0"/>
            <w:vAlign w:val="center"/>
          </w:tcPr>
          <w:p w14:paraId="04AB89C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43" w:type="dxa"/>
            <w:gridSpan w:val="2"/>
            <w:noWrap w:val="0"/>
            <w:vAlign w:val="center"/>
          </w:tcPr>
          <w:p w14:paraId="43E5D2EF">
            <w:pPr>
              <w:spacing w:line="240" w:lineRule="auto"/>
              <w:ind w:firstLine="0" w:firstLineChars="0"/>
              <w:jc w:val="center"/>
              <w:rPr>
                <w:rFonts w:hint="eastAsia" w:ascii="宋体" w:hAnsi="宋体" w:eastAsia="宋体" w:cs="宋体"/>
                <w:sz w:val="22"/>
                <w:szCs w:val="22"/>
              </w:rPr>
            </w:pPr>
          </w:p>
        </w:tc>
        <w:tc>
          <w:tcPr>
            <w:tcW w:w="1051" w:type="dxa"/>
            <w:noWrap w:val="0"/>
            <w:vAlign w:val="center"/>
          </w:tcPr>
          <w:p w14:paraId="3491B0D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134" w:type="dxa"/>
            <w:gridSpan w:val="2"/>
            <w:noWrap w:val="0"/>
            <w:vAlign w:val="center"/>
          </w:tcPr>
          <w:p w14:paraId="0199049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446" w:type="dxa"/>
            <w:gridSpan w:val="2"/>
            <w:noWrap w:val="0"/>
            <w:vAlign w:val="center"/>
          </w:tcPr>
          <w:p w14:paraId="57317E8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55" w:type="dxa"/>
            <w:gridSpan w:val="2"/>
            <w:noWrap w:val="0"/>
            <w:vAlign w:val="center"/>
          </w:tcPr>
          <w:p w14:paraId="25E1C3C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70" w:type="dxa"/>
            <w:gridSpan w:val="2"/>
            <w:noWrap w:val="0"/>
            <w:vAlign w:val="center"/>
          </w:tcPr>
          <w:p w14:paraId="5D2E8AA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108" w:type="dxa"/>
            <w:noWrap w:val="0"/>
            <w:vAlign w:val="center"/>
          </w:tcPr>
          <w:p w14:paraId="6F25B75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3DE11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rPr>
        <w:tc>
          <w:tcPr>
            <w:tcW w:w="1452" w:type="dxa"/>
            <w:gridSpan w:val="2"/>
            <w:vMerge w:val="continue"/>
            <w:noWrap w:val="0"/>
            <w:vAlign w:val="center"/>
          </w:tcPr>
          <w:p w14:paraId="6A58755D">
            <w:pPr>
              <w:spacing w:line="240" w:lineRule="auto"/>
              <w:ind w:firstLine="0" w:firstLineChars="0"/>
              <w:jc w:val="center"/>
              <w:rPr>
                <w:rFonts w:hint="eastAsia" w:ascii="宋体" w:hAnsi="宋体" w:eastAsia="宋体" w:cs="宋体"/>
                <w:sz w:val="22"/>
                <w:szCs w:val="22"/>
              </w:rPr>
            </w:pPr>
          </w:p>
        </w:tc>
        <w:tc>
          <w:tcPr>
            <w:tcW w:w="1143" w:type="dxa"/>
            <w:gridSpan w:val="2"/>
            <w:noWrap w:val="0"/>
            <w:vAlign w:val="center"/>
          </w:tcPr>
          <w:p w14:paraId="2B3DA4E5">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2AFB6D8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51" w:type="dxa"/>
            <w:noWrap w:val="0"/>
            <w:vAlign w:val="center"/>
          </w:tcPr>
          <w:p w14:paraId="052437A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43.9</w:t>
            </w:r>
          </w:p>
        </w:tc>
        <w:tc>
          <w:tcPr>
            <w:tcW w:w="1134" w:type="dxa"/>
            <w:gridSpan w:val="2"/>
            <w:noWrap w:val="0"/>
            <w:vAlign w:val="center"/>
          </w:tcPr>
          <w:p w14:paraId="1CE49825">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43.9</w:t>
            </w:r>
          </w:p>
        </w:tc>
        <w:tc>
          <w:tcPr>
            <w:tcW w:w="1446" w:type="dxa"/>
            <w:gridSpan w:val="2"/>
            <w:noWrap w:val="0"/>
            <w:vAlign w:val="center"/>
          </w:tcPr>
          <w:p w14:paraId="677E8C9A">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43.9</w:t>
            </w:r>
          </w:p>
        </w:tc>
        <w:tc>
          <w:tcPr>
            <w:tcW w:w="755" w:type="dxa"/>
            <w:gridSpan w:val="2"/>
            <w:noWrap w:val="0"/>
            <w:vAlign w:val="center"/>
          </w:tcPr>
          <w:p w14:paraId="2C8F668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70" w:type="dxa"/>
            <w:gridSpan w:val="2"/>
            <w:noWrap w:val="0"/>
            <w:vAlign w:val="center"/>
          </w:tcPr>
          <w:p w14:paraId="10E913A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108" w:type="dxa"/>
            <w:noWrap w:val="0"/>
            <w:vAlign w:val="center"/>
          </w:tcPr>
          <w:p w14:paraId="4BE88DD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69365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rPr>
        <w:tc>
          <w:tcPr>
            <w:tcW w:w="1452" w:type="dxa"/>
            <w:gridSpan w:val="2"/>
            <w:vMerge w:val="continue"/>
            <w:noWrap w:val="0"/>
            <w:vAlign w:val="center"/>
          </w:tcPr>
          <w:p w14:paraId="2B314D8C">
            <w:pPr>
              <w:spacing w:line="240" w:lineRule="auto"/>
              <w:ind w:firstLine="0" w:firstLineChars="0"/>
              <w:jc w:val="center"/>
              <w:rPr>
                <w:rFonts w:hint="eastAsia" w:ascii="宋体" w:hAnsi="宋体" w:eastAsia="宋体" w:cs="宋体"/>
                <w:sz w:val="22"/>
                <w:szCs w:val="22"/>
              </w:rPr>
            </w:pPr>
          </w:p>
        </w:tc>
        <w:tc>
          <w:tcPr>
            <w:tcW w:w="1143" w:type="dxa"/>
            <w:gridSpan w:val="2"/>
            <w:noWrap w:val="0"/>
            <w:vAlign w:val="center"/>
          </w:tcPr>
          <w:p w14:paraId="7F3CC55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51" w:type="dxa"/>
            <w:noWrap w:val="0"/>
            <w:vAlign w:val="center"/>
          </w:tcPr>
          <w:p w14:paraId="42568E2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43.9</w:t>
            </w:r>
          </w:p>
        </w:tc>
        <w:tc>
          <w:tcPr>
            <w:tcW w:w="1134" w:type="dxa"/>
            <w:gridSpan w:val="2"/>
            <w:noWrap w:val="0"/>
            <w:vAlign w:val="center"/>
          </w:tcPr>
          <w:p w14:paraId="369AD3D9">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43.9</w:t>
            </w:r>
          </w:p>
        </w:tc>
        <w:tc>
          <w:tcPr>
            <w:tcW w:w="1446" w:type="dxa"/>
            <w:gridSpan w:val="2"/>
            <w:noWrap w:val="0"/>
            <w:vAlign w:val="center"/>
          </w:tcPr>
          <w:p w14:paraId="6C563C3C">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43.9</w:t>
            </w:r>
          </w:p>
        </w:tc>
        <w:tc>
          <w:tcPr>
            <w:tcW w:w="755" w:type="dxa"/>
            <w:gridSpan w:val="2"/>
            <w:noWrap w:val="0"/>
            <w:vAlign w:val="center"/>
          </w:tcPr>
          <w:p w14:paraId="50B9BFC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70" w:type="dxa"/>
            <w:gridSpan w:val="2"/>
            <w:noWrap w:val="0"/>
            <w:vAlign w:val="center"/>
          </w:tcPr>
          <w:p w14:paraId="22C8DD9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108" w:type="dxa"/>
            <w:noWrap w:val="0"/>
            <w:vAlign w:val="center"/>
          </w:tcPr>
          <w:p w14:paraId="3E7C69F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4002F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rPr>
        <w:tc>
          <w:tcPr>
            <w:tcW w:w="1452" w:type="dxa"/>
            <w:gridSpan w:val="2"/>
            <w:vMerge w:val="continue"/>
            <w:noWrap w:val="0"/>
            <w:vAlign w:val="center"/>
          </w:tcPr>
          <w:p w14:paraId="491FF596">
            <w:pPr>
              <w:spacing w:line="240" w:lineRule="auto"/>
              <w:ind w:firstLine="0" w:firstLineChars="0"/>
              <w:jc w:val="center"/>
              <w:rPr>
                <w:rFonts w:hint="eastAsia" w:ascii="宋体" w:hAnsi="宋体" w:eastAsia="宋体" w:cs="宋体"/>
                <w:sz w:val="22"/>
                <w:szCs w:val="22"/>
              </w:rPr>
            </w:pPr>
          </w:p>
        </w:tc>
        <w:tc>
          <w:tcPr>
            <w:tcW w:w="1143" w:type="dxa"/>
            <w:gridSpan w:val="2"/>
            <w:noWrap w:val="0"/>
            <w:vAlign w:val="center"/>
          </w:tcPr>
          <w:p w14:paraId="45D9C50E">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3385C20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51" w:type="dxa"/>
            <w:noWrap w:val="0"/>
            <w:vAlign w:val="center"/>
          </w:tcPr>
          <w:p w14:paraId="0328BFBA">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34" w:type="dxa"/>
            <w:gridSpan w:val="2"/>
            <w:noWrap w:val="0"/>
            <w:vAlign w:val="center"/>
          </w:tcPr>
          <w:p w14:paraId="6C05189C">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446" w:type="dxa"/>
            <w:gridSpan w:val="2"/>
            <w:noWrap w:val="0"/>
            <w:vAlign w:val="center"/>
          </w:tcPr>
          <w:p w14:paraId="5CF268A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55" w:type="dxa"/>
            <w:gridSpan w:val="2"/>
            <w:noWrap w:val="0"/>
            <w:vAlign w:val="center"/>
          </w:tcPr>
          <w:p w14:paraId="2CFEF04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70" w:type="dxa"/>
            <w:gridSpan w:val="2"/>
            <w:noWrap w:val="0"/>
            <w:vAlign w:val="center"/>
          </w:tcPr>
          <w:p w14:paraId="41C8049D">
            <w:pPr>
              <w:spacing w:line="240" w:lineRule="auto"/>
              <w:ind w:firstLine="0" w:firstLineChars="0"/>
              <w:jc w:val="center"/>
              <w:rPr>
                <w:rFonts w:hint="eastAsia" w:ascii="宋体" w:hAnsi="宋体" w:eastAsia="宋体" w:cs="宋体"/>
                <w:sz w:val="22"/>
                <w:szCs w:val="22"/>
              </w:rPr>
            </w:pPr>
          </w:p>
        </w:tc>
        <w:tc>
          <w:tcPr>
            <w:tcW w:w="1108" w:type="dxa"/>
            <w:noWrap w:val="0"/>
            <w:vAlign w:val="center"/>
          </w:tcPr>
          <w:p w14:paraId="4708DE9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7A7A6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trPr>
        <w:tc>
          <w:tcPr>
            <w:tcW w:w="1452" w:type="dxa"/>
            <w:gridSpan w:val="2"/>
            <w:vMerge w:val="continue"/>
            <w:noWrap w:val="0"/>
            <w:vAlign w:val="center"/>
          </w:tcPr>
          <w:p w14:paraId="7AE02E66">
            <w:pPr>
              <w:spacing w:line="240" w:lineRule="auto"/>
              <w:ind w:firstLine="0" w:firstLineChars="0"/>
              <w:jc w:val="center"/>
              <w:rPr>
                <w:rFonts w:hint="eastAsia" w:ascii="宋体" w:hAnsi="宋体" w:eastAsia="宋体" w:cs="宋体"/>
                <w:sz w:val="22"/>
                <w:szCs w:val="22"/>
              </w:rPr>
            </w:pPr>
          </w:p>
        </w:tc>
        <w:tc>
          <w:tcPr>
            <w:tcW w:w="1143" w:type="dxa"/>
            <w:gridSpan w:val="2"/>
            <w:noWrap w:val="0"/>
            <w:vAlign w:val="center"/>
          </w:tcPr>
          <w:p w14:paraId="6E47DF0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51" w:type="dxa"/>
            <w:noWrap w:val="0"/>
            <w:vAlign w:val="center"/>
          </w:tcPr>
          <w:p w14:paraId="2844D13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34" w:type="dxa"/>
            <w:gridSpan w:val="2"/>
            <w:noWrap w:val="0"/>
            <w:vAlign w:val="center"/>
          </w:tcPr>
          <w:p w14:paraId="6CC22BB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446" w:type="dxa"/>
            <w:gridSpan w:val="2"/>
            <w:noWrap w:val="0"/>
            <w:vAlign w:val="center"/>
          </w:tcPr>
          <w:p w14:paraId="1A96B3DE">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55" w:type="dxa"/>
            <w:gridSpan w:val="2"/>
            <w:noWrap w:val="0"/>
            <w:vAlign w:val="center"/>
          </w:tcPr>
          <w:p w14:paraId="6F70FA2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70" w:type="dxa"/>
            <w:gridSpan w:val="2"/>
            <w:noWrap w:val="0"/>
            <w:vAlign w:val="center"/>
          </w:tcPr>
          <w:p w14:paraId="2FCA056F">
            <w:pPr>
              <w:spacing w:line="240" w:lineRule="auto"/>
              <w:ind w:firstLine="0" w:firstLineChars="0"/>
              <w:jc w:val="center"/>
              <w:rPr>
                <w:rFonts w:hint="eastAsia" w:ascii="宋体" w:hAnsi="宋体" w:eastAsia="宋体" w:cs="宋体"/>
                <w:sz w:val="22"/>
                <w:szCs w:val="22"/>
              </w:rPr>
            </w:pPr>
          </w:p>
        </w:tc>
        <w:tc>
          <w:tcPr>
            <w:tcW w:w="1108" w:type="dxa"/>
            <w:noWrap w:val="0"/>
            <w:vAlign w:val="center"/>
          </w:tcPr>
          <w:p w14:paraId="5619AA2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6440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trPr>
        <w:tc>
          <w:tcPr>
            <w:tcW w:w="664" w:type="dxa"/>
            <w:vMerge w:val="restart"/>
            <w:noWrap w:val="0"/>
            <w:vAlign w:val="center"/>
          </w:tcPr>
          <w:p w14:paraId="368B918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116" w:type="dxa"/>
            <w:gridSpan w:val="6"/>
            <w:noWrap w:val="0"/>
            <w:vAlign w:val="center"/>
          </w:tcPr>
          <w:p w14:paraId="7F0A4E3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979" w:type="dxa"/>
            <w:gridSpan w:val="7"/>
            <w:noWrap w:val="0"/>
            <w:vAlign w:val="center"/>
          </w:tcPr>
          <w:p w14:paraId="3EDAFD0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06C6E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3" w:hRule="atLeast"/>
        </w:trPr>
        <w:tc>
          <w:tcPr>
            <w:tcW w:w="664" w:type="dxa"/>
            <w:vMerge w:val="continue"/>
            <w:noWrap w:val="0"/>
            <w:vAlign w:val="center"/>
          </w:tcPr>
          <w:p w14:paraId="25C3F710">
            <w:pPr>
              <w:spacing w:line="240" w:lineRule="auto"/>
              <w:ind w:firstLine="0" w:firstLineChars="0"/>
              <w:jc w:val="center"/>
              <w:rPr>
                <w:rFonts w:hint="eastAsia" w:ascii="宋体" w:hAnsi="宋体" w:eastAsia="宋体" w:cs="宋体"/>
                <w:sz w:val="22"/>
                <w:szCs w:val="22"/>
              </w:rPr>
            </w:pPr>
          </w:p>
        </w:tc>
        <w:tc>
          <w:tcPr>
            <w:tcW w:w="4116" w:type="dxa"/>
            <w:gridSpan w:val="6"/>
            <w:noWrap w:val="0"/>
            <w:vAlign w:val="center"/>
          </w:tcPr>
          <w:p w14:paraId="3ECB469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通过开展家庭签约服务，能最大限度合理截留基层普通病人基层首诊，发现需要上转治疗的，由家庭医生负责联接上级专家及医疗机构给病人提供快捷、高效的专业服务，在解决基层“看病难看病贵”的同时，也极大提高大医院优质医疗资源效益，推进我国医学科学进步发展。</w:t>
            </w:r>
          </w:p>
        </w:tc>
        <w:tc>
          <w:tcPr>
            <w:tcW w:w="3979" w:type="dxa"/>
            <w:gridSpan w:val="7"/>
            <w:noWrap w:val="0"/>
            <w:vAlign w:val="center"/>
          </w:tcPr>
          <w:p w14:paraId="246608B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家庭医生签约服务能力得到提升，家庭医生签约项目得到较好落实，老百兰州新区“333”家庭医生签约服务模式被省卫生健康委推送至国家卫生健康委作为基层卫生典型先进工作经验在全国推广学习，并入选《全国基层卫生综合改革典型案例》</w:t>
            </w:r>
          </w:p>
        </w:tc>
      </w:tr>
      <w:tr w14:paraId="4BCD5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rPr>
        <w:tc>
          <w:tcPr>
            <w:tcW w:w="664" w:type="dxa"/>
            <w:vMerge w:val="restart"/>
            <w:noWrap w:val="0"/>
            <w:vAlign w:val="center"/>
          </w:tcPr>
          <w:p w14:paraId="1B776B07">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88" w:type="dxa"/>
            <w:noWrap w:val="0"/>
            <w:vAlign w:val="center"/>
          </w:tcPr>
          <w:p w14:paraId="4D15DF9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28B0B1E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72" w:type="dxa"/>
            <w:noWrap w:val="0"/>
            <w:vAlign w:val="center"/>
          </w:tcPr>
          <w:p w14:paraId="2401BC06">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196C260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26" w:type="dxa"/>
            <w:gridSpan w:val="3"/>
            <w:noWrap w:val="0"/>
            <w:vAlign w:val="center"/>
          </w:tcPr>
          <w:p w14:paraId="1E6A969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930" w:type="dxa"/>
            <w:noWrap w:val="0"/>
            <w:vAlign w:val="center"/>
          </w:tcPr>
          <w:p w14:paraId="33826DC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56" w:type="dxa"/>
            <w:noWrap w:val="0"/>
            <w:vAlign w:val="center"/>
          </w:tcPr>
          <w:p w14:paraId="6A802F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62" w:type="dxa"/>
            <w:gridSpan w:val="2"/>
            <w:noWrap w:val="0"/>
            <w:vAlign w:val="center"/>
          </w:tcPr>
          <w:p w14:paraId="09B6B66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65" w:type="dxa"/>
            <w:gridSpan w:val="2"/>
            <w:noWrap w:val="0"/>
            <w:vAlign w:val="center"/>
          </w:tcPr>
          <w:p w14:paraId="341499E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96" w:type="dxa"/>
            <w:gridSpan w:val="2"/>
            <w:noWrap w:val="0"/>
            <w:vAlign w:val="center"/>
          </w:tcPr>
          <w:p w14:paraId="5271B0A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088B6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664" w:type="dxa"/>
            <w:vMerge w:val="continue"/>
            <w:noWrap w:val="0"/>
            <w:textDirection w:val="tbRlV"/>
            <w:vAlign w:val="center"/>
          </w:tcPr>
          <w:p w14:paraId="4FC26DF9">
            <w:pPr>
              <w:spacing w:line="240" w:lineRule="auto"/>
              <w:ind w:left="113" w:right="113" w:firstLine="0" w:firstLineChars="0"/>
              <w:jc w:val="center"/>
              <w:rPr>
                <w:rFonts w:hint="eastAsia" w:ascii="宋体" w:hAnsi="宋体" w:eastAsia="宋体" w:cs="宋体"/>
                <w:sz w:val="22"/>
                <w:szCs w:val="22"/>
              </w:rPr>
            </w:pPr>
          </w:p>
        </w:tc>
        <w:tc>
          <w:tcPr>
            <w:tcW w:w="788" w:type="dxa"/>
            <w:vMerge w:val="restart"/>
            <w:noWrap w:val="0"/>
            <w:vAlign w:val="center"/>
          </w:tcPr>
          <w:p w14:paraId="215E19D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298C10A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72" w:type="dxa"/>
            <w:vMerge w:val="restart"/>
            <w:noWrap w:val="0"/>
            <w:vAlign w:val="center"/>
          </w:tcPr>
          <w:p w14:paraId="1AA0773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434162B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26" w:type="dxa"/>
            <w:gridSpan w:val="3"/>
            <w:noWrap w:val="0"/>
            <w:vAlign w:val="top"/>
          </w:tcPr>
          <w:p w14:paraId="05BC77E1">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家庭医生签约服务覆盖率</w:t>
            </w:r>
          </w:p>
        </w:tc>
        <w:tc>
          <w:tcPr>
            <w:tcW w:w="930" w:type="dxa"/>
            <w:noWrap w:val="0"/>
            <w:vAlign w:val="center"/>
          </w:tcPr>
          <w:p w14:paraId="77A2926F">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≥60%</w:t>
            </w:r>
          </w:p>
        </w:tc>
        <w:tc>
          <w:tcPr>
            <w:tcW w:w="856" w:type="dxa"/>
            <w:noWrap w:val="0"/>
            <w:vAlign w:val="center"/>
          </w:tcPr>
          <w:p w14:paraId="38183F7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289190人</w:t>
            </w:r>
          </w:p>
        </w:tc>
        <w:tc>
          <w:tcPr>
            <w:tcW w:w="662" w:type="dxa"/>
            <w:gridSpan w:val="2"/>
            <w:noWrap w:val="0"/>
            <w:vAlign w:val="center"/>
          </w:tcPr>
          <w:p w14:paraId="5DCCDA7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73AE4F5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3E9A83FA">
            <w:pPr>
              <w:spacing w:line="240" w:lineRule="auto"/>
              <w:ind w:firstLine="0" w:firstLineChars="0"/>
              <w:jc w:val="center"/>
              <w:rPr>
                <w:rFonts w:hint="eastAsia" w:ascii="宋体" w:hAnsi="宋体" w:eastAsia="宋体" w:cs="宋体"/>
                <w:sz w:val="22"/>
                <w:szCs w:val="22"/>
              </w:rPr>
            </w:pPr>
          </w:p>
        </w:tc>
      </w:tr>
      <w:tr w14:paraId="60F2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664" w:type="dxa"/>
            <w:vMerge w:val="continue"/>
            <w:noWrap w:val="0"/>
            <w:vAlign w:val="center"/>
          </w:tcPr>
          <w:p w14:paraId="61A960B2">
            <w:pPr>
              <w:spacing w:line="240" w:lineRule="auto"/>
              <w:ind w:firstLine="0" w:firstLineChars="0"/>
              <w:jc w:val="center"/>
              <w:rPr>
                <w:rFonts w:hint="eastAsia" w:ascii="宋体" w:hAnsi="宋体" w:eastAsia="宋体" w:cs="宋体"/>
                <w:sz w:val="22"/>
                <w:szCs w:val="22"/>
              </w:rPr>
            </w:pPr>
          </w:p>
        </w:tc>
        <w:tc>
          <w:tcPr>
            <w:tcW w:w="788" w:type="dxa"/>
            <w:vMerge w:val="continue"/>
            <w:noWrap w:val="0"/>
            <w:vAlign w:val="center"/>
          </w:tcPr>
          <w:p w14:paraId="3B874A12">
            <w:pPr>
              <w:spacing w:line="240" w:lineRule="auto"/>
              <w:ind w:firstLine="0" w:firstLineChars="0"/>
              <w:jc w:val="center"/>
              <w:rPr>
                <w:rFonts w:hint="eastAsia" w:ascii="宋体" w:hAnsi="宋体" w:eastAsia="宋体" w:cs="宋体"/>
                <w:sz w:val="22"/>
                <w:szCs w:val="22"/>
              </w:rPr>
            </w:pPr>
          </w:p>
        </w:tc>
        <w:tc>
          <w:tcPr>
            <w:tcW w:w="872" w:type="dxa"/>
            <w:vMerge w:val="continue"/>
            <w:noWrap w:val="0"/>
            <w:vAlign w:val="center"/>
          </w:tcPr>
          <w:p w14:paraId="7BD71FF1">
            <w:pPr>
              <w:spacing w:line="240" w:lineRule="auto"/>
              <w:ind w:firstLine="0" w:firstLineChars="0"/>
              <w:jc w:val="center"/>
              <w:rPr>
                <w:rFonts w:hint="eastAsia" w:ascii="宋体" w:hAnsi="宋体" w:eastAsia="宋体" w:cs="宋体"/>
                <w:sz w:val="22"/>
                <w:szCs w:val="22"/>
              </w:rPr>
            </w:pPr>
          </w:p>
        </w:tc>
        <w:tc>
          <w:tcPr>
            <w:tcW w:w="1526" w:type="dxa"/>
            <w:gridSpan w:val="3"/>
            <w:noWrap w:val="0"/>
            <w:vAlign w:val="top"/>
          </w:tcPr>
          <w:p w14:paraId="69486571">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重点人群签约服务覆盖率</w:t>
            </w:r>
          </w:p>
        </w:tc>
        <w:tc>
          <w:tcPr>
            <w:tcW w:w="930" w:type="dxa"/>
            <w:noWrap w:val="0"/>
            <w:vAlign w:val="center"/>
          </w:tcPr>
          <w:p w14:paraId="3077B4AC">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应签尽签</w:t>
            </w:r>
          </w:p>
        </w:tc>
        <w:tc>
          <w:tcPr>
            <w:tcW w:w="856" w:type="dxa"/>
            <w:noWrap w:val="0"/>
            <w:vAlign w:val="center"/>
          </w:tcPr>
          <w:p w14:paraId="21437E6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≥70%</w:t>
            </w:r>
          </w:p>
        </w:tc>
        <w:tc>
          <w:tcPr>
            <w:tcW w:w="662" w:type="dxa"/>
            <w:gridSpan w:val="2"/>
            <w:noWrap w:val="0"/>
            <w:vAlign w:val="center"/>
          </w:tcPr>
          <w:p w14:paraId="1839498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6F16B59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272E10AA">
            <w:pPr>
              <w:spacing w:line="240" w:lineRule="auto"/>
              <w:ind w:firstLine="0" w:firstLineChars="0"/>
              <w:jc w:val="center"/>
              <w:rPr>
                <w:rFonts w:hint="eastAsia" w:ascii="宋体" w:hAnsi="宋体" w:eastAsia="宋体" w:cs="宋体"/>
                <w:sz w:val="22"/>
                <w:szCs w:val="22"/>
              </w:rPr>
            </w:pPr>
          </w:p>
        </w:tc>
      </w:tr>
      <w:tr w14:paraId="7130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664" w:type="dxa"/>
            <w:vMerge w:val="continue"/>
            <w:noWrap w:val="0"/>
            <w:vAlign w:val="center"/>
          </w:tcPr>
          <w:p w14:paraId="362D94C1">
            <w:pPr>
              <w:spacing w:line="240" w:lineRule="auto"/>
              <w:ind w:firstLine="0" w:firstLineChars="0"/>
              <w:jc w:val="center"/>
              <w:rPr>
                <w:rFonts w:hint="eastAsia" w:ascii="宋体" w:hAnsi="宋体" w:eastAsia="宋体" w:cs="宋体"/>
                <w:sz w:val="22"/>
                <w:szCs w:val="22"/>
              </w:rPr>
            </w:pPr>
          </w:p>
        </w:tc>
        <w:tc>
          <w:tcPr>
            <w:tcW w:w="788" w:type="dxa"/>
            <w:vMerge w:val="continue"/>
            <w:noWrap w:val="0"/>
            <w:vAlign w:val="center"/>
          </w:tcPr>
          <w:p w14:paraId="68A0A81E">
            <w:pPr>
              <w:spacing w:line="240" w:lineRule="auto"/>
              <w:ind w:firstLine="0" w:firstLineChars="0"/>
              <w:jc w:val="center"/>
              <w:rPr>
                <w:rFonts w:hint="eastAsia" w:ascii="宋体" w:hAnsi="宋体" w:eastAsia="宋体" w:cs="宋体"/>
                <w:sz w:val="22"/>
                <w:szCs w:val="22"/>
              </w:rPr>
            </w:pPr>
          </w:p>
        </w:tc>
        <w:tc>
          <w:tcPr>
            <w:tcW w:w="872" w:type="dxa"/>
            <w:vMerge w:val="continue"/>
            <w:noWrap w:val="0"/>
            <w:vAlign w:val="center"/>
          </w:tcPr>
          <w:p w14:paraId="6F9CEC68">
            <w:pPr>
              <w:spacing w:line="240" w:lineRule="auto"/>
              <w:ind w:firstLine="0" w:firstLineChars="0"/>
              <w:jc w:val="center"/>
              <w:rPr>
                <w:rFonts w:hint="eastAsia" w:ascii="宋体" w:hAnsi="宋体" w:eastAsia="宋体" w:cs="宋体"/>
                <w:sz w:val="22"/>
                <w:szCs w:val="22"/>
              </w:rPr>
            </w:pPr>
          </w:p>
        </w:tc>
        <w:tc>
          <w:tcPr>
            <w:tcW w:w="1526" w:type="dxa"/>
            <w:gridSpan w:val="3"/>
            <w:noWrap w:val="0"/>
            <w:vAlign w:val="top"/>
          </w:tcPr>
          <w:p w14:paraId="1C0AFB5E">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建档立卡贫困户签约服务覆盖率</w:t>
            </w:r>
          </w:p>
        </w:tc>
        <w:tc>
          <w:tcPr>
            <w:tcW w:w="930" w:type="dxa"/>
            <w:noWrap w:val="0"/>
            <w:vAlign w:val="center"/>
          </w:tcPr>
          <w:p w14:paraId="598605E2">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≥95%</w:t>
            </w:r>
          </w:p>
        </w:tc>
        <w:tc>
          <w:tcPr>
            <w:tcW w:w="856" w:type="dxa"/>
            <w:noWrap w:val="0"/>
            <w:vAlign w:val="center"/>
          </w:tcPr>
          <w:p w14:paraId="0A1493CA">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662" w:type="dxa"/>
            <w:gridSpan w:val="2"/>
            <w:noWrap w:val="0"/>
            <w:vAlign w:val="center"/>
          </w:tcPr>
          <w:p w14:paraId="3C18BAA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1E09284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5EDCE1ED">
            <w:pPr>
              <w:spacing w:line="240" w:lineRule="auto"/>
              <w:ind w:firstLine="0" w:firstLineChars="0"/>
              <w:jc w:val="center"/>
              <w:rPr>
                <w:rFonts w:hint="eastAsia" w:ascii="宋体" w:hAnsi="宋体" w:eastAsia="宋体" w:cs="宋体"/>
                <w:sz w:val="22"/>
                <w:szCs w:val="22"/>
              </w:rPr>
            </w:pPr>
          </w:p>
        </w:tc>
      </w:tr>
      <w:tr w14:paraId="32989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rPr>
        <w:tc>
          <w:tcPr>
            <w:tcW w:w="664" w:type="dxa"/>
            <w:vMerge w:val="continue"/>
            <w:noWrap w:val="0"/>
            <w:vAlign w:val="center"/>
          </w:tcPr>
          <w:p w14:paraId="47EA8218">
            <w:pPr>
              <w:spacing w:line="240" w:lineRule="auto"/>
              <w:ind w:firstLine="0" w:firstLineChars="0"/>
              <w:jc w:val="center"/>
              <w:rPr>
                <w:rFonts w:hint="eastAsia" w:ascii="宋体" w:hAnsi="宋体" w:eastAsia="宋体" w:cs="宋体"/>
                <w:sz w:val="22"/>
                <w:szCs w:val="22"/>
              </w:rPr>
            </w:pPr>
          </w:p>
        </w:tc>
        <w:tc>
          <w:tcPr>
            <w:tcW w:w="788" w:type="dxa"/>
            <w:vMerge w:val="continue"/>
            <w:noWrap w:val="0"/>
            <w:vAlign w:val="center"/>
          </w:tcPr>
          <w:p w14:paraId="50ED4A8E">
            <w:pPr>
              <w:spacing w:line="240" w:lineRule="auto"/>
              <w:ind w:firstLine="0" w:firstLineChars="0"/>
              <w:jc w:val="center"/>
              <w:rPr>
                <w:rFonts w:hint="eastAsia" w:ascii="宋体" w:hAnsi="宋体" w:eastAsia="宋体" w:cs="宋体"/>
                <w:sz w:val="22"/>
                <w:szCs w:val="22"/>
              </w:rPr>
            </w:pPr>
          </w:p>
        </w:tc>
        <w:tc>
          <w:tcPr>
            <w:tcW w:w="872" w:type="dxa"/>
            <w:noWrap w:val="0"/>
            <w:vAlign w:val="center"/>
          </w:tcPr>
          <w:p w14:paraId="3DD892E9">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2498475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26" w:type="dxa"/>
            <w:gridSpan w:val="3"/>
            <w:noWrap w:val="0"/>
            <w:vAlign w:val="top"/>
          </w:tcPr>
          <w:p w14:paraId="329052CB">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签约服务履约率</w:t>
            </w:r>
          </w:p>
        </w:tc>
        <w:tc>
          <w:tcPr>
            <w:tcW w:w="930" w:type="dxa"/>
            <w:noWrap w:val="0"/>
            <w:vAlign w:val="center"/>
          </w:tcPr>
          <w:p w14:paraId="739B2135">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856" w:type="dxa"/>
            <w:noWrap w:val="0"/>
            <w:vAlign w:val="center"/>
          </w:tcPr>
          <w:p w14:paraId="3A9264B6">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662" w:type="dxa"/>
            <w:gridSpan w:val="2"/>
            <w:noWrap w:val="0"/>
            <w:vAlign w:val="center"/>
          </w:tcPr>
          <w:p w14:paraId="06191F4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2F9290D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6A222642">
            <w:pPr>
              <w:spacing w:line="240" w:lineRule="auto"/>
              <w:ind w:firstLine="0" w:firstLineChars="0"/>
              <w:jc w:val="center"/>
              <w:rPr>
                <w:rFonts w:hint="eastAsia" w:ascii="宋体" w:hAnsi="宋体" w:eastAsia="宋体" w:cs="宋体"/>
                <w:sz w:val="22"/>
                <w:szCs w:val="22"/>
              </w:rPr>
            </w:pPr>
          </w:p>
        </w:tc>
      </w:tr>
      <w:tr w14:paraId="3C294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6" w:hRule="atLeast"/>
        </w:trPr>
        <w:tc>
          <w:tcPr>
            <w:tcW w:w="664" w:type="dxa"/>
            <w:vMerge w:val="continue"/>
            <w:noWrap w:val="0"/>
            <w:vAlign w:val="center"/>
          </w:tcPr>
          <w:p w14:paraId="2D197FB2">
            <w:pPr>
              <w:spacing w:line="240" w:lineRule="auto"/>
              <w:ind w:firstLine="0" w:firstLineChars="0"/>
              <w:jc w:val="center"/>
              <w:rPr>
                <w:rFonts w:hint="eastAsia" w:ascii="宋体" w:hAnsi="宋体" w:eastAsia="宋体" w:cs="宋体"/>
                <w:sz w:val="22"/>
                <w:szCs w:val="22"/>
              </w:rPr>
            </w:pPr>
          </w:p>
        </w:tc>
        <w:tc>
          <w:tcPr>
            <w:tcW w:w="788" w:type="dxa"/>
            <w:vMerge w:val="continue"/>
            <w:noWrap w:val="0"/>
            <w:vAlign w:val="center"/>
          </w:tcPr>
          <w:p w14:paraId="4BDBA81C">
            <w:pPr>
              <w:spacing w:line="240" w:lineRule="auto"/>
              <w:ind w:firstLine="0" w:firstLineChars="0"/>
              <w:jc w:val="center"/>
              <w:rPr>
                <w:rFonts w:hint="eastAsia" w:ascii="宋体" w:hAnsi="宋体" w:eastAsia="宋体" w:cs="宋体"/>
                <w:sz w:val="22"/>
                <w:szCs w:val="22"/>
              </w:rPr>
            </w:pPr>
          </w:p>
        </w:tc>
        <w:tc>
          <w:tcPr>
            <w:tcW w:w="872" w:type="dxa"/>
            <w:vMerge w:val="restart"/>
            <w:noWrap w:val="0"/>
            <w:vAlign w:val="center"/>
          </w:tcPr>
          <w:p w14:paraId="79F0851A">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62B58B3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526" w:type="dxa"/>
            <w:gridSpan w:val="3"/>
            <w:noWrap w:val="0"/>
            <w:vAlign w:val="top"/>
          </w:tcPr>
          <w:p w14:paraId="7B2D512F">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签约后随访及时率</w:t>
            </w:r>
          </w:p>
        </w:tc>
        <w:tc>
          <w:tcPr>
            <w:tcW w:w="930" w:type="dxa"/>
            <w:noWrap w:val="0"/>
            <w:vAlign w:val="center"/>
          </w:tcPr>
          <w:p w14:paraId="206172F1">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856" w:type="dxa"/>
            <w:noWrap w:val="0"/>
            <w:vAlign w:val="center"/>
          </w:tcPr>
          <w:p w14:paraId="5C649B97">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662" w:type="dxa"/>
            <w:gridSpan w:val="2"/>
            <w:noWrap w:val="0"/>
            <w:vAlign w:val="center"/>
          </w:tcPr>
          <w:p w14:paraId="0059AEA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620AED0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3BA0B864">
            <w:pPr>
              <w:spacing w:line="240" w:lineRule="auto"/>
              <w:ind w:firstLine="0" w:firstLineChars="0"/>
              <w:jc w:val="center"/>
              <w:rPr>
                <w:rFonts w:hint="eastAsia" w:ascii="宋体" w:hAnsi="宋体" w:eastAsia="宋体" w:cs="宋体"/>
                <w:sz w:val="22"/>
                <w:szCs w:val="22"/>
              </w:rPr>
            </w:pPr>
          </w:p>
        </w:tc>
      </w:tr>
      <w:tr w14:paraId="479CA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664" w:type="dxa"/>
            <w:vMerge w:val="continue"/>
            <w:noWrap w:val="0"/>
            <w:vAlign w:val="center"/>
          </w:tcPr>
          <w:p w14:paraId="04FA026D">
            <w:pPr>
              <w:spacing w:line="240" w:lineRule="auto"/>
              <w:ind w:firstLine="0" w:firstLineChars="0"/>
              <w:jc w:val="center"/>
              <w:rPr>
                <w:rFonts w:hint="eastAsia" w:ascii="宋体" w:hAnsi="宋体" w:eastAsia="宋体" w:cs="宋体"/>
                <w:sz w:val="22"/>
                <w:szCs w:val="22"/>
              </w:rPr>
            </w:pPr>
          </w:p>
        </w:tc>
        <w:tc>
          <w:tcPr>
            <w:tcW w:w="788" w:type="dxa"/>
            <w:vMerge w:val="continue"/>
            <w:noWrap w:val="0"/>
            <w:vAlign w:val="center"/>
          </w:tcPr>
          <w:p w14:paraId="346F0BC1">
            <w:pPr>
              <w:spacing w:line="240" w:lineRule="auto"/>
              <w:ind w:firstLine="0" w:firstLineChars="0"/>
              <w:jc w:val="center"/>
              <w:rPr>
                <w:rFonts w:hint="eastAsia" w:ascii="宋体" w:hAnsi="宋体" w:eastAsia="宋体" w:cs="宋体"/>
                <w:sz w:val="22"/>
                <w:szCs w:val="22"/>
              </w:rPr>
            </w:pPr>
          </w:p>
        </w:tc>
        <w:tc>
          <w:tcPr>
            <w:tcW w:w="872" w:type="dxa"/>
            <w:vMerge w:val="continue"/>
            <w:noWrap w:val="0"/>
            <w:vAlign w:val="center"/>
          </w:tcPr>
          <w:p w14:paraId="5D409C21">
            <w:pPr>
              <w:spacing w:line="240" w:lineRule="auto"/>
              <w:ind w:firstLine="0" w:firstLineChars="0"/>
              <w:jc w:val="center"/>
              <w:rPr>
                <w:rFonts w:hint="eastAsia" w:ascii="宋体" w:hAnsi="宋体" w:eastAsia="宋体" w:cs="宋体"/>
                <w:sz w:val="22"/>
                <w:szCs w:val="22"/>
              </w:rPr>
            </w:pPr>
          </w:p>
        </w:tc>
        <w:tc>
          <w:tcPr>
            <w:tcW w:w="1526" w:type="dxa"/>
            <w:gridSpan w:val="3"/>
            <w:noWrap w:val="0"/>
            <w:vAlign w:val="center"/>
          </w:tcPr>
          <w:p w14:paraId="57311A1B">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解决群众“看病难看病贵”问题</w:t>
            </w:r>
          </w:p>
        </w:tc>
        <w:tc>
          <w:tcPr>
            <w:tcW w:w="930" w:type="dxa"/>
            <w:noWrap w:val="0"/>
            <w:vAlign w:val="center"/>
          </w:tcPr>
          <w:p w14:paraId="18A00B0A">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856" w:type="dxa"/>
            <w:noWrap w:val="0"/>
            <w:vAlign w:val="center"/>
          </w:tcPr>
          <w:p w14:paraId="480407B3">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662" w:type="dxa"/>
            <w:gridSpan w:val="2"/>
            <w:noWrap w:val="0"/>
            <w:vAlign w:val="center"/>
          </w:tcPr>
          <w:p w14:paraId="1660468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1343C83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10699580">
            <w:pPr>
              <w:spacing w:line="240" w:lineRule="auto"/>
              <w:ind w:firstLine="0" w:firstLineChars="0"/>
              <w:jc w:val="center"/>
              <w:rPr>
                <w:rFonts w:hint="eastAsia" w:ascii="宋体" w:hAnsi="宋体" w:eastAsia="宋体" w:cs="宋体"/>
                <w:sz w:val="22"/>
                <w:szCs w:val="22"/>
              </w:rPr>
            </w:pPr>
          </w:p>
        </w:tc>
      </w:tr>
      <w:tr w14:paraId="730D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664" w:type="dxa"/>
            <w:vMerge w:val="continue"/>
            <w:noWrap w:val="0"/>
            <w:textDirection w:val="tbRlV"/>
            <w:vAlign w:val="center"/>
          </w:tcPr>
          <w:p w14:paraId="18DED8FD">
            <w:pPr>
              <w:spacing w:line="240" w:lineRule="auto"/>
              <w:ind w:firstLine="0" w:firstLineChars="0"/>
              <w:jc w:val="center"/>
              <w:rPr>
                <w:rFonts w:hint="eastAsia" w:ascii="宋体" w:hAnsi="宋体" w:eastAsia="宋体" w:cs="宋体"/>
                <w:sz w:val="22"/>
                <w:szCs w:val="22"/>
              </w:rPr>
            </w:pPr>
          </w:p>
        </w:tc>
        <w:tc>
          <w:tcPr>
            <w:tcW w:w="788" w:type="dxa"/>
            <w:vMerge w:val="restart"/>
            <w:noWrap w:val="0"/>
            <w:vAlign w:val="center"/>
          </w:tcPr>
          <w:p w14:paraId="4744C156">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2340F7F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72" w:type="dxa"/>
            <w:noWrap w:val="0"/>
            <w:vAlign w:val="center"/>
          </w:tcPr>
          <w:p w14:paraId="57486A5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526" w:type="dxa"/>
            <w:gridSpan w:val="3"/>
            <w:noWrap w:val="0"/>
            <w:vAlign w:val="center"/>
          </w:tcPr>
          <w:p w14:paraId="4D58C0D1">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增加慢病患者就医便利</w:t>
            </w:r>
          </w:p>
        </w:tc>
        <w:tc>
          <w:tcPr>
            <w:tcW w:w="930" w:type="dxa"/>
            <w:noWrap w:val="0"/>
            <w:vAlign w:val="center"/>
          </w:tcPr>
          <w:p w14:paraId="34AFDE25">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856" w:type="dxa"/>
            <w:noWrap w:val="0"/>
            <w:vAlign w:val="center"/>
          </w:tcPr>
          <w:p w14:paraId="213433B3">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逐步提升</w:t>
            </w:r>
          </w:p>
        </w:tc>
        <w:tc>
          <w:tcPr>
            <w:tcW w:w="662" w:type="dxa"/>
            <w:gridSpan w:val="2"/>
            <w:noWrap w:val="0"/>
            <w:vAlign w:val="center"/>
          </w:tcPr>
          <w:p w14:paraId="3896EC3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7292796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14803512">
            <w:pPr>
              <w:spacing w:line="240" w:lineRule="auto"/>
              <w:ind w:firstLine="0" w:firstLineChars="0"/>
              <w:jc w:val="center"/>
              <w:rPr>
                <w:rFonts w:hint="eastAsia" w:ascii="宋体" w:hAnsi="宋体" w:eastAsia="宋体" w:cs="宋体"/>
                <w:sz w:val="22"/>
                <w:szCs w:val="22"/>
              </w:rPr>
            </w:pPr>
          </w:p>
        </w:tc>
      </w:tr>
      <w:tr w14:paraId="2B5A9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70" w:hRule="atLeast"/>
        </w:trPr>
        <w:tc>
          <w:tcPr>
            <w:tcW w:w="664" w:type="dxa"/>
            <w:vMerge w:val="continue"/>
            <w:noWrap w:val="0"/>
            <w:textDirection w:val="tbRlV"/>
            <w:vAlign w:val="center"/>
          </w:tcPr>
          <w:p w14:paraId="5DFB8E77">
            <w:pPr>
              <w:spacing w:line="240" w:lineRule="auto"/>
              <w:ind w:firstLine="0" w:firstLineChars="0"/>
              <w:jc w:val="center"/>
              <w:rPr>
                <w:rFonts w:hint="eastAsia" w:ascii="宋体" w:hAnsi="宋体" w:eastAsia="宋体" w:cs="宋体"/>
                <w:sz w:val="22"/>
                <w:szCs w:val="22"/>
              </w:rPr>
            </w:pPr>
          </w:p>
        </w:tc>
        <w:tc>
          <w:tcPr>
            <w:tcW w:w="788" w:type="dxa"/>
            <w:vMerge w:val="continue"/>
            <w:noWrap w:val="0"/>
            <w:vAlign w:val="center"/>
          </w:tcPr>
          <w:p w14:paraId="0D7C18AB">
            <w:pPr>
              <w:spacing w:line="240" w:lineRule="auto"/>
              <w:ind w:firstLine="0" w:firstLineChars="0"/>
              <w:jc w:val="center"/>
              <w:rPr>
                <w:rFonts w:hint="eastAsia" w:ascii="宋体" w:hAnsi="宋体" w:eastAsia="宋体" w:cs="宋体"/>
                <w:sz w:val="22"/>
                <w:szCs w:val="22"/>
              </w:rPr>
            </w:pPr>
          </w:p>
        </w:tc>
        <w:tc>
          <w:tcPr>
            <w:tcW w:w="872" w:type="dxa"/>
            <w:noWrap w:val="0"/>
            <w:vAlign w:val="center"/>
          </w:tcPr>
          <w:p w14:paraId="20CC141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526" w:type="dxa"/>
            <w:gridSpan w:val="3"/>
            <w:noWrap w:val="0"/>
            <w:vAlign w:val="center"/>
          </w:tcPr>
          <w:p w14:paraId="7AD80927">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完善分级诊疗，降低群众看病就医负担</w:t>
            </w:r>
          </w:p>
        </w:tc>
        <w:tc>
          <w:tcPr>
            <w:tcW w:w="930" w:type="dxa"/>
            <w:noWrap w:val="0"/>
            <w:vAlign w:val="center"/>
          </w:tcPr>
          <w:p w14:paraId="760A1E44">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逐步完善</w:t>
            </w:r>
          </w:p>
        </w:tc>
        <w:tc>
          <w:tcPr>
            <w:tcW w:w="856" w:type="dxa"/>
            <w:noWrap w:val="0"/>
            <w:vAlign w:val="center"/>
          </w:tcPr>
          <w:p w14:paraId="7B427DBA">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逐步完善</w:t>
            </w:r>
          </w:p>
        </w:tc>
        <w:tc>
          <w:tcPr>
            <w:tcW w:w="662" w:type="dxa"/>
            <w:gridSpan w:val="2"/>
            <w:noWrap w:val="0"/>
            <w:vAlign w:val="center"/>
          </w:tcPr>
          <w:p w14:paraId="04BA20E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2410D36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3053F693">
            <w:pPr>
              <w:spacing w:line="240" w:lineRule="auto"/>
              <w:ind w:firstLine="0" w:firstLineChars="0"/>
              <w:jc w:val="center"/>
              <w:rPr>
                <w:rFonts w:hint="eastAsia" w:ascii="宋体" w:hAnsi="宋体" w:eastAsia="宋体" w:cs="宋体"/>
                <w:sz w:val="22"/>
                <w:szCs w:val="22"/>
              </w:rPr>
            </w:pPr>
          </w:p>
        </w:tc>
      </w:tr>
      <w:tr w14:paraId="1A6A1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0" w:hRule="atLeast"/>
        </w:trPr>
        <w:tc>
          <w:tcPr>
            <w:tcW w:w="664" w:type="dxa"/>
            <w:vMerge w:val="continue"/>
            <w:noWrap w:val="0"/>
            <w:vAlign w:val="center"/>
          </w:tcPr>
          <w:p w14:paraId="68C9CB8E">
            <w:pPr>
              <w:spacing w:line="240" w:lineRule="auto"/>
              <w:ind w:firstLine="0" w:firstLineChars="0"/>
              <w:jc w:val="center"/>
              <w:rPr>
                <w:rFonts w:hint="eastAsia" w:ascii="宋体" w:hAnsi="宋体" w:eastAsia="宋体" w:cs="宋体"/>
                <w:sz w:val="22"/>
                <w:szCs w:val="22"/>
              </w:rPr>
            </w:pPr>
          </w:p>
        </w:tc>
        <w:tc>
          <w:tcPr>
            <w:tcW w:w="788" w:type="dxa"/>
            <w:noWrap w:val="0"/>
            <w:vAlign w:val="center"/>
          </w:tcPr>
          <w:p w14:paraId="67550AC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72" w:type="dxa"/>
            <w:noWrap w:val="0"/>
            <w:vAlign w:val="center"/>
          </w:tcPr>
          <w:p w14:paraId="6563F14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526" w:type="dxa"/>
            <w:gridSpan w:val="3"/>
            <w:noWrap w:val="0"/>
            <w:vAlign w:val="center"/>
          </w:tcPr>
          <w:p w14:paraId="2B1AA586">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重点服务对象满意度</w:t>
            </w:r>
          </w:p>
        </w:tc>
        <w:tc>
          <w:tcPr>
            <w:tcW w:w="930" w:type="dxa"/>
            <w:noWrap w:val="0"/>
            <w:vAlign w:val="center"/>
          </w:tcPr>
          <w:p w14:paraId="4520B6C4">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≥80%</w:t>
            </w:r>
          </w:p>
        </w:tc>
        <w:tc>
          <w:tcPr>
            <w:tcW w:w="856" w:type="dxa"/>
            <w:noWrap w:val="0"/>
            <w:vAlign w:val="center"/>
          </w:tcPr>
          <w:p w14:paraId="49A3D824">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≥80%</w:t>
            </w:r>
          </w:p>
        </w:tc>
        <w:tc>
          <w:tcPr>
            <w:tcW w:w="662" w:type="dxa"/>
            <w:gridSpan w:val="2"/>
            <w:noWrap w:val="0"/>
            <w:vAlign w:val="center"/>
          </w:tcPr>
          <w:p w14:paraId="12E20FB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5" w:type="dxa"/>
            <w:gridSpan w:val="2"/>
            <w:noWrap w:val="0"/>
            <w:vAlign w:val="center"/>
          </w:tcPr>
          <w:p w14:paraId="2271B98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96" w:type="dxa"/>
            <w:gridSpan w:val="2"/>
            <w:noWrap w:val="0"/>
            <w:vAlign w:val="center"/>
          </w:tcPr>
          <w:p w14:paraId="329D719A">
            <w:pPr>
              <w:spacing w:line="240" w:lineRule="auto"/>
              <w:ind w:firstLine="0" w:firstLineChars="0"/>
              <w:jc w:val="center"/>
              <w:rPr>
                <w:rFonts w:hint="eastAsia" w:ascii="宋体" w:hAnsi="宋体" w:eastAsia="宋体" w:cs="宋体"/>
                <w:sz w:val="22"/>
                <w:szCs w:val="22"/>
              </w:rPr>
            </w:pPr>
          </w:p>
        </w:tc>
      </w:tr>
      <w:tr w14:paraId="519D9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trPr>
        <w:tc>
          <w:tcPr>
            <w:tcW w:w="5636" w:type="dxa"/>
            <w:gridSpan w:val="8"/>
            <w:noWrap w:val="0"/>
            <w:vAlign w:val="center"/>
          </w:tcPr>
          <w:p w14:paraId="59268D2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62" w:type="dxa"/>
            <w:gridSpan w:val="2"/>
            <w:noWrap w:val="0"/>
            <w:vAlign w:val="center"/>
          </w:tcPr>
          <w:p w14:paraId="1107FE0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65" w:type="dxa"/>
            <w:gridSpan w:val="2"/>
            <w:noWrap w:val="0"/>
            <w:vAlign w:val="center"/>
          </w:tcPr>
          <w:p w14:paraId="263E210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696" w:type="dxa"/>
            <w:gridSpan w:val="2"/>
            <w:noWrap w:val="0"/>
            <w:vAlign w:val="center"/>
          </w:tcPr>
          <w:p w14:paraId="326E24BA">
            <w:pPr>
              <w:spacing w:line="240" w:lineRule="auto"/>
              <w:ind w:firstLine="0" w:firstLineChars="0"/>
              <w:jc w:val="center"/>
              <w:rPr>
                <w:rFonts w:hint="eastAsia" w:ascii="宋体" w:hAnsi="宋体" w:eastAsia="宋体" w:cs="宋体"/>
                <w:sz w:val="22"/>
                <w:szCs w:val="22"/>
              </w:rPr>
            </w:pPr>
          </w:p>
        </w:tc>
      </w:tr>
      <w:tr w14:paraId="1F5F7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664" w:type="dxa"/>
            <w:noWrap w:val="0"/>
            <w:vAlign w:val="center"/>
          </w:tcPr>
          <w:p w14:paraId="68AE8C7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8095" w:type="dxa"/>
            <w:gridSpan w:val="13"/>
            <w:noWrap w:val="0"/>
            <w:vAlign w:val="center"/>
          </w:tcPr>
          <w:p w14:paraId="22852BD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145130BE">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144F961D">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2FC8DAB5">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0BC1657D">
      <w:pPr>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附件12</w:t>
      </w:r>
    </w:p>
    <w:p w14:paraId="709235FF">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41883696">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37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6"/>
        <w:gridCol w:w="753"/>
        <w:gridCol w:w="834"/>
        <w:gridCol w:w="260"/>
        <w:gridCol w:w="1006"/>
        <w:gridCol w:w="194"/>
        <w:gridCol w:w="889"/>
        <w:gridCol w:w="819"/>
        <w:gridCol w:w="565"/>
        <w:gridCol w:w="69"/>
        <w:gridCol w:w="654"/>
        <w:gridCol w:w="77"/>
        <w:gridCol w:w="565"/>
        <w:gridCol w:w="1058"/>
      </w:tblGrid>
      <w:tr w14:paraId="76225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1389" w:type="dxa"/>
            <w:gridSpan w:val="2"/>
            <w:noWrap w:val="0"/>
            <w:vAlign w:val="center"/>
          </w:tcPr>
          <w:p w14:paraId="50AFD1E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6990" w:type="dxa"/>
            <w:gridSpan w:val="12"/>
            <w:noWrap w:val="0"/>
            <w:vAlign w:val="center"/>
          </w:tcPr>
          <w:p w14:paraId="0E5E972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人口监测工作经费</w:t>
            </w:r>
          </w:p>
        </w:tc>
      </w:tr>
      <w:tr w14:paraId="11D79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1389" w:type="dxa"/>
            <w:gridSpan w:val="2"/>
            <w:noWrap w:val="0"/>
            <w:vAlign w:val="center"/>
          </w:tcPr>
          <w:p w14:paraId="16B3822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183" w:type="dxa"/>
            <w:gridSpan w:val="5"/>
            <w:noWrap w:val="0"/>
            <w:vAlign w:val="center"/>
          </w:tcPr>
          <w:p w14:paraId="2E3F2ED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384" w:type="dxa"/>
            <w:gridSpan w:val="2"/>
            <w:noWrap w:val="0"/>
            <w:vAlign w:val="center"/>
          </w:tcPr>
          <w:p w14:paraId="0484D26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23" w:type="dxa"/>
            <w:gridSpan w:val="5"/>
            <w:noWrap w:val="0"/>
            <w:vAlign w:val="center"/>
          </w:tcPr>
          <w:p w14:paraId="5CF40C9A">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各医疗机构</w:t>
            </w:r>
          </w:p>
        </w:tc>
      </w:tr>
      <w:tr w14:paraId="7499E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atLeast"/>
        </w:trPr>
        <w:tc>
          <w:tcPr>
            <w:tcW w:w="1389" w:type="dxa"/>
            <w:gridSpan w:val="2"/>
            <w:vMerge w:val="restart"/>
            <w:noWrap w:val="0"/>
            <w:vAlign w:val="center"/>
          </w:tcPr>
          <w:p w14:paraId="7E4A73C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094" w:type="dxa"/>
            <w:gridSpan w:val="2"/>
            <w:noWrap w:val="0"/>
            <w:vAlign w:val="center"/>
          </w:tcPr>
          <w:p w14:paraId="0DC07D58">
            <w:pPr>
              <w:spacing w:line="240" w:lineRule="auto"/>
              <w:ind w:firstLine="0" w:firstLineChars="0"/>
              <w:jc w:val="center"/>
              <w:rPr>
                <w:rFonts w:hint="eastAsia" w:ascii="宋体" w:hAnsi="宋体" w:eastAsia="宋体" w:cs="宋体"/>
                <w:sz w:val="22"/>
                <w:szCs w:val="22"/>
              </w:rPr>
            </w:pPr>
          </w:p>
        </w:tc>
        <w:tc>
          <w:tcPr>
            <w:tcW w:w="1006" w:type="dxa"/>
            <w:noWrap w:val="0"/>
            <w:vAlign w:val="center"/>
          </w:tcPr>
          <w:p w14:paraId="3FCD527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83" w:type="dxa"/>
            <w:gridSpan w:val="2"/>
            <w:noWrap w:val="0"/>
            <w:vAlign w:val="center"/>
          </w:tcPr>
          <w:p w14:paraId="0676272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384" w:type="dxa"/>
            <w:gridSpan w:val="2"/>
            <w:noWrap w:val="0"/>
            <w:vAlign w:val="center"/>
          </w:tcPr>
          <w:p w14:paraId="722E747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23" w:type="dxa"/>
            <w:gridSpan w:val="2"/>
            <w:noWrap w:val="0"/>
            <w:vAlign w:val="center"/>
          </w:tcPr>
          <w:p w14:paraId="113CFCD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42" w:type="dxa"/>
            <w:gridSpan w:val="2"/>
            <w:noWrap w:val="0"/>
            <w:vAlign w:val="center"/>
          </w:tcPr>
          <w:p w14:paraId="011A00B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58" w:type="dxa"/>
            <w:noWrap w:val="0"/>
            <w:vAlign w:val="center"/>
          </w:tcPr>
          <w:p w14:paraId="557553E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34FBB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9" w:hRule="atLeast"/>
        </w:trPr>
        <w:tc>
          <w:tcPr>
            <w:tcW w:w="1389" w:type="dxa"/>
            <w:gridSpan w:val="2"/>
            <w:vMerge w:val="continue"/>
            <w:noWrap w:val="0"/>
            <w:vAlign w:val="center"/>
          </w:tcPr>
          <w:p w14:paraId="19CED902">
            <w:pPr>
              <w:spacing w:line="240" w:lineRule="auto"/>
              <w:ind w:firstLine="0" w:firstLineChars="0"/>
              <w:jc w:val="center"/>
              <w:rPr>
                <w:rFonts w:hint="eastAsia" w:ascii="宋体" w:hAnsi="宋体" w:eastAsia="宋体" w:cs="宋体"/>
                <w:sz w:val="22"/>
                <w:szCs w:val="22"/>
              </w:rPr>
            </w:pPr>
          </w:p>
        </w:tc>
        <w:tc>
          <w:tcPr>
            <w:tcW w:w="1094" w:type="dxa"/>
            <w:gridSpan w:val="2"/>
            <w:noWrap w:val="0"/>
            <w:vAlign w:val="center"/>
          </w:tcPr>
          <w:p w14:paraId="1D4E17A8">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47259EB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06" w:type="dxa"/>
            <w:noWrap w:val="0"/>
            <w:vAlign w:val="center"/>
          </w:tcPr>
          <w:p w14:paraId="2256EF0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083" w:type="dxa"/>
            <w:gridSpan w:val="2"/>
            <w:noWrap w:val="0"/>
            <w:vAlign w:val="center"/>
          </w:tcPr>
          <w:p w14:paraId="43813E6C">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384" w:type="dxa"/>
            <w:gridSpan w:val="2"/>
            <w:noWrap w:val="0"/>
            <w:vAlign w:val="center"/>
          </w:tcPr>
          <w:p w14:paraId="72F85058">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723" w:type="dxa"/>
            <w:gridSpan w:val="2"/>
            <w:noWrap w:val="0"/>
            <w:vAlign w:val="center"/>
          </w:tcPr>
          <w:p w14:paraId="6A39AE1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42" w:type="dxa"/>
            <w:gridSpan w:val="2"/>
            <w:noWrap w:val="0"/>
            <w:vAlign w:val="center"/>
          </w:tcPr>
          <w:p w14:paraId="5C17282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58" w:type="dxa"/>
            <w:noWrap w:val="0"/>
            <w:vAlign w:val="center"/>
          </w:tcPr>
          <w:p w14:paraId="02F614E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19EF7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9" w:hRule="atLeast"/>
        </w:trPr>
        <w:tc>
          <w:tcPr>
            <w:tcW w:w="1389" w:type="dxa"/>
            <w:gridSpan w:val="2"/>
            <w:vMerge w:val="continue"/>
            <w:noWrap w:val="0"/>
            <w:vAlign w:val="center"/>
          </w:tcPr>
          <w:p w14:paraId="78252131">
            <w:pPr>
              <w:spacing w:line="240" w:lineRule="auto"/>
              <w:ind w:firstLine="0" w:firstLineChars="0"/>
              <w:jc w:val="center"/>
              <w:rPr>
                <w:rFonts w:hint="eastAsia" w:ascii="宋体" w:hAnsi="宋体" w:eastAsia="宋体" w:cs="宋体"/>
                <w:sz w:val="22"/>
                <w:szCs w:val="22"/>
              </w:rPr>
            </w:pPr>
          </w:p>
        </w:tc>
        <w:tc>
          <w:tcPr>
            <w:tcW w:w="1094" w:type="dxa"/>
            <w:gridSpan w:val="2"/>
            <w:noWrap w:val="0"/>
            <w:vAlign w:val="center"/>
          </w:tcPr>
          <w:p w14:paraId="7B801A5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06" w:type="dxa"/>
            <w:noWrap w:val="0"/>
            <w:vAlign w:val="center"/>
          </w:tcPr>
          <w:p w14:paraId="2C00411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083" w:type="dxa"/>
            <w:gridSpan w:val="2"/>
            <w:noWrap w:val="0"/>
            <w:vAlign w:val="center"/>
          </w:tcPr>
          <w:p w14:paraId="3AA3079D">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1384" w:type="dxa"/>
            <w:gridSpan w:val="2"/>
            <w:noWrap w:val="0"/>
            <w:vAlign w:val="center"/>
          </w:tcPr>
          <w:p w14:paraId="254D929C">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5</w:t>
            </w:r>
          </w:p>
        </w:tc>
        <w:tc>
          <w:tcPr>
            <w:tcW w:w="723" w:type="dxa"/>
            <w:gridSpan w:val="2"/>
            <w:noWrap w:val="0"/>
            <w:vAlign w:val="center"/>
          </w:tcPr>
          <w:p w14:paraId="3D1F079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2" w:type="dxa"/>
            <w:gridSpan w:val="2"/>
            <w:noWrap w:val="0"/>
            <w:vAlign w:val="center"/>
          </w:tcPr>
          <w:p w14:paraId="6B37AAB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58" w:type="dxa"/>
            <w:noWrap w:val="0"/>
            <w:vAlign w:val="center"/>
          </w:tcPr>
          <w:p w14:paraId="6C87F32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FC1E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9" w:hRule="atLeast"/>
        </w:trPr>
        <w:tc>
          <w:tcPr>
            <w:tcW w:w="1389" w:type="dxa"/>
            <w:gridSpan w:val="2"/>
            <w:vMerge w:val="continue"/>
            <w:noWrap w:val="0"/>
            <w:vAlign w:val="center"/>
          </w:tcPr>
          <w:p w14:paraId="5153C7F0">
            <w:pPr>
              <w:spacing w:line="240" w:lineRule="auto"/>
              <w:ind w:firstLine="0" w:firstLineChars="0"/>
              <w:jc w:val="center"/>
              <w:rPr>
                <w:rFonts w:hint="eastAsia" w:ascii="宋体" w:hAnsi="宋体" w:eastAsia="宋体" w:cs="宋体"/>
                <w:sz w:val="22"/>
                <w:szCs w:val="22"/>
              </w:rPr>
            </w:pPr>
          </w:p>
        </w:tc>
        <w:tc>
          <w:tcPr>
            <w:tcW w:w="1094" w:type="dxa"/>
            <w:gridSpan w:val="2"/>
            <w:noWrap w:val="0"/>
            <w:vAlign w:val="center"/>
          </w:tcPr>
          <w:p w14:paraId="188A14C2">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3D64415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06" w:type="dxa"/>
            <w:noWrap w:val="0"/>
            <w:vAlign w:val="center"/>
          </w:tcPr>
          <w:p w14:paraId="7CD14C8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3" w:type="dxa"/>
            <w:gridSpan w:val="2"/>
            <w:noWrap w:val="0"/>
            <w:vAlign w:val="center"/>
          </w:tcPr>
          <w:p w14:paraId="58014579">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384" w:type="dxa"/>
            <w:gridSpan w:val="2"/>
            <w:noWrap w:val="0"/>
            <w:vAlign w:val="center"/>
          </w:tcPr>
          <w:p w14:paraId="34663C7E">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23" w:type="dxa"/>
            <w:gridSpan w:val="2"/>
            <w:noWrap w:val="0"/>
            <w:vAlign w:val="center"/>
          </w:tcPr>
          <w:p w14:paraId="2F7B151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2" w:type="dxa"/>
            <w:gridSpan w:val="2"/>
            <w:noWrap w:val="0"/>
            <w:vAlign w:val="center"/>
          </w:tcPr>
          <w:p w14:paraId="02C85A3A">
            <w:pPr>
              <w:spacing w:line="240" w:lineRule="auto"/>
              <w:ind w:firstLine="0" w:firstLineChars="0"/>
              <w:jc w:val="center"/>
              <w:rPr>
                <w:rFonts w:hint="eastAsia" w:ascii="宋体" w:hAnsi="宋体" w:eastAsia="宋体" w:cs="宋体"/>
                <w:sz w:val="22"/>
                <w:szCs w:val="22"/>
              </w:rPr>
            </w:pPr>
          </w:p>
        </w:tc>
        <w:tc>
          <w:tcPr>
            <w:tcW w:w="1058" w:type="dxa"/>
            <w:noWrap w:val="0"/>
            <w:vAlign w:val="center"/>
          </w:tcPr>
          <w:p w14:paraId="11F343D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2474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1389" w:type="dxa"/>
            <w:gridSpan w:val="2"/>
            <w:vMerge w:val="continue"/>
            <w:noWrap w:val="0"/>
            <w:vAlign w:val="center"/>
          </w:tcPr>
          <w:p w14:paraId="3914652A">
            <w:pPr>
              <w:spacing w:line="240" w:lineRule="auto"/>
              <w:ind w:firstLine="0" w:firstLineChars="0"/>
              <w:jc w:val="center"/>
              <w:rPr>
                <w:rFonts w:hint="eastAsia" w:ascii="宋体" w:hAnsi="宋体" w:eastAsia="宋体" w:cs="宋体"/>
                <w:sz w:val="22"/>
                <w:szCs w:val="22"/>
              </w:rPr>
            </w:pPr>
          </w:p>
        </w:tc>
        <w:tc>
          <w:tcPr>
            <w:tcW w:w="1094" w:type="dxa"/>
            <w:gridSpan w:val="2"/>
            <w:noWrap w:val="0"/>
            <w:vAlign w:val="center"/>
          </w:tcPr>
          <w:p w14:paraId="3128936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06" w:type="dxa"/>
            <w:noWrap w:val="0"/>
            <w:vAlign w:val="center"/>
          </w:tcPr>
          <w:p w14:paraId="7653062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3" w:type="dxa"/>
            <w:gridSpan w:val="2"/>
            <w:noWrap w:val="0"/>
            <w:vAlign w:val="center"/>
          </w:tcPr>
          <w:p w14:paraId="2AC7A2B4">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384" w:type="dxa"/>
            <w:gridSpan w:val="2"/>
            <w:noWrap w:val="0"/>
            <w:vAlign w:val="center"/>
          </w:tcPr>
          <w:p w14:paraId="1891C746">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23" w:type="dxa"/>
            <w:gridSpan w:val="2"/>
            <w:noWrap w:val="0"/>
            <w:vAlign w:val="center"/>
          </w:tcPr>
          <w:p w14:paraId="042D49C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2" w:type="dxa"/>
            <w:gridSpan w:val="2"/>
            <w:noWrap w:val="0"/>
            <w:vAlign w:val="center"/>
          </w:tcPr>
          <w:p w14:paraId="5D4F03D8">
            <w:pPr>
              <w:spacing w:line="240" w:lineRule="auto"/>
              <w:ind w:firstLine="0" w:firstLineChars="0"/>
              <w:jc w:val="center"/>
              <w:rPr>
                <w:rFonts w:hint="eastAsia" w:ascii="宋体" w:hAnsi="宋体" w:eastAsia="宋体" w:cs="宋体"/>
                <w:sz w:val="22"/>
                <w:szCs w:val="22"/>
              </w:rPr>
            </w:pPr>
          </w:p>
        </w:tc>
        <w:tc>
          <w:tcPr>
            <w:tcW w:w="1058" w:type="dxa"/>
            <w:noWrap w:val="0"/>
            <w:vAlign w:val="center"/>
          </w:tcPr>
          <w:p w14:paraId="6AC95B8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687A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636" w:type="dxa"/>
            <w:vMerge w:val="restart"/>
            <w:noWrap w:val="0"/>
            <w:vAlign w:val="center"/>
          </w:tcPr>
          <w:p w14:paraId="7D579C5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3936" w:type="dxa"/>
            <w:gridSpan w:val="6"/>
            <w:noWrap w:val="0"/>
            <w:vAlign w:val="center"/>
          </w:tcPr>
          <w:p w14:paraId="6E6CA85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807" w:type="dxa"/>
            <w:gridSpan w:val="7"/>
            <w:noWrap w:val="0"/>
            <w:vAlign w:val="center"/>
          </w:tcPr>
          <w:p w14:paraId="3118413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3BF0C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6" w:hRule="atLeast"/>
        </w:trPr>
        <w:tc>
          <w:tcPr>
            <w:tcW w:w="636" w:type="dxa"/>
            <w:vMerge w:val="continue"/>
            <w:noWrap w:val="0"/>
            <w:vAlign w:val="center"/>
          </w:tcPr>
          <w:p w14:paraId="1328B918">
            <w:pPr>
              <w:spacing w:line="240" w:lineRule="auto"/>
              <w:ind w:firstLine="0" w:firstLineChars="0"/>
              <w:jc w:val="center"/>
              <w:rPr>
                <w:rFonts w:hint="eastAsia" w:ascii="宋体" w:hAnsi="宋体" w:eastAsia="宋体" w:cs="宋体"/>
                <w:sz w:val="22"/>
                <w:szCs w:val="22"/>
              </w:rPr>
            </w:pPr>
          </w:p>
        </w:tc>
        <w:tc>
          <w:tcPr>
            <w:tcW w:w="3936" w:type="dxa"/>
            <w:gridSpan w:val="6"/>
            <w:noWrap w:val="0"/>
            <w:vAlign w:val="center"/>
          </w:tcPr>
          <w:p w14:paraId="6F67C27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健全覆盖全人群、全生命周期的人口监测体系，密切监测生育形势和人口变动趋势，稳妥有序实施一对夫妻可以生育三个子女政策</w:t>
            </w:r>
          </w:p>
        </w:tc>
        <w:tc>
          <w:tcPr>
            <w:tcW w:w="3807" w:type="dxa"/>
            <w:gridSpan w:val="7"/>
            <w:noWrap w:val="0"/>
            <w:vAlign w:val="center"/>
          </w:tcPr>
          <w:p w14:paraId="40B54FE4">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每季度上报人口监测情况，出台《兰州新区优化生育政策促进人口长期均衡发展实施细则》，全面实行生育登记全程网办</w:t>
            </w:r>
          </w:p>
        </w:tc>
      </w:tr>
      <w:tr w14:paraId="54A22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9" w:hRule="atLeast"/>
        </w:trPr>
        <w:tc>
          <w:tcPr>
            <w:tcW w:w="636" w:type="dxa"/>
            <w:vMerge w:val="restart"/>
            <w:noWrap w:val="0"/>
            <w:vAlign w:val="center"/>
          </w:tcPr>
          <w:p w14:paraId="44426745">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53" w:type="dxa"/>
            <w:noWrap w:val="0"/>
            <w:vAlign w:val="center"/>
          </w:tcPr>
          <w:p w14:paraId="3C9BA401">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4CECFF9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4" w:type="dxa"/>
            <w:noWrap w:val="0"/>
            <w:vAlign w:val="center"/>
          </w:tcPr>
          <w:p w14:paraId="7708D019">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5FFB343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60" w:type="dxa"/>
            <w:gridSpan w:val="3"/>
            <w:noWrap w:val="0"/>
            <w:vAlign w:val="center"/>
          </w:tcPr>
          <w:p w14:paraId="2A944D0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889" w:type="dxa"/>
            <w:noWrap w:val="0"/>
            <w:vAlign w:val="center"/>
          </w:tcPr>
          <w:p w14:paraId="1E75803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19" w:type="dxa"/>
            <w:noWrap w:val="0"/>
            <w:vAlign w:val="center"/>
          </w:tcPr>
          <w:p w14:paraId="3BAD4D6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34" w:type="dxa"/>
            <w:gridSpan w:val="2"/>
            <w:noWrap w:val="0"/>
            <w:vAlign w:val="center"/>
          </w:tcPr>
          <w:p w14:paraId="5A4F921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31" w:type="dxa"/>
            <w:gridSpan w:val="2"/>
            <w:noWrap w:val="0"/>
            <w:vAlign w:val="center"/>
          </w:tcPr>
          <w:p w14:paraId="6881FFE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23" w:type="dxa"/>
            <w:gridSpan w:val="2"/>
            <w:noWrap w:val="0"/>
            <w:vAlign w:val="center"/>
          </w:tcPr>
          <w:p w14:paraId="4BA0407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3BF85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0" w:hRule="atLeast"/>
        </w:trPr>
        <w:tc>
          <w:tcPr>
            <w:tcW w:w="636" w:type="dxa"/>
            <w:vMerge w:val="continue"/>
            <w:noWrap w:val="0"/>
            <w:textDirection w:val="tbRlV"/>
            <w:vAlign w:val="center"/>
          </w:tcPr>
          <w:p w14:paraId="0B3BF9A2">
            <w:pPr>
              <w:spacing w:line="240" w:lineRule="auto"/>
              <w:ind w:left="113" w:right="113" w:firstLine="0" w:firstLineChars="0"/>
              <w:jc w:val="center"/>
              <w:rPr>
                <w:rFonts w:hint="eastAsia" w:ascii="宋体" w:hAnsi="宋体" w:eastAsia="宋体" w:cs="宋体"/>
                <w:sz w:val="22"/>
                <w:szCs w:val="22"/>
              </w:rPr>
            </w:pPr>
          </w:p>
        </w:tc>
        <w:tc>
          <w:tcPr>
            <w:tcW w:w="753" w:type="dxa"/>
            <w:vMerge w:val="restart"/>
            <w:noWrap w:val="0"/>
            <w:vAlign w:val="center"/>
          </w:tcPr>
          <w:p w14:paraId="1AF664AA">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398F7C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4" w:type="dxa"/>
            <w:noWrap w:val="0"/>
            <w:vAlign w:val="center"/>
          </w:tcPr>
          <w:p w14:paraId="09D84060">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3D973E0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60" w:type="dxa"/>
            <w:gridSpan w:val="3"/>
            <w:noWrap w:val="0"/>
            <w:vAlign w:val="center"/>
          </w:tcPr>
          <w:p w14:paraId="6F1A5C73">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定时更新人口信息系统信息</w:t>
            </w:r>
          </w:p>
        </w:tc>
        <w:tc>
          <w:tcPr>
            <w:tcW w:w="889" w:type="dxa"/>
            <w:noWrap w:val="0"/>
            <w:vAlign w:val="center"/>
          </w:tcPr>
          <w:p w14:paraId="42D765E0">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每季度</w:t>
            </w:r>
          </w:p>
        </w:tc>
        <w:tc>
          <w:tcPr>
            <w:tcW w:w="819" w:type="dxa"/>
            <w:noWrap w:val="0"/>
            <w:vAlign w:val="center"/>
          </w:tcPr>
          <w:p w14:paraId="6477D933">
            <w:pPr>
              <w:keepNext w:val="0"/>
              <w:keepLines w:val="0"/>
              <w:widowControl/>
              <w:suppressLineNumbers w:val="0"/>
              <w:ind w:left="0" w:leftChars="0" w:firstLine="0" w:firstLineChars="0"/>
              <w:jc w:val="both"/>
              <w:textAlignment w:val="center"/>
              <w:rPr>
                <w:rFonts w:hint="default" w:ascii="宋体" w:hAnsi="宋体" w:eastAsia="宋体" w:cs="宋体"/>
                <w:sz w:val="22"/>
                <w:szCs w:val="22"/>
                <w:lang w:val="en-US" w:eastAsia="zh-CN"/>
              </w:rPr>
            </w:pPr>
            <w:r>
              <w:rPr>
                <w:rFonts w:hint="eastAsia" w:ascii="宋体" w:hAnsi="宋体" w:eastAsia="宋体" w:cs="宋体"/>
                <w:i w:val="0"/>
                <w:snapToGrid w:val="0"/>
                <w:color w:val="000000"/>
                <w:kern w:val="0"/>
                <w:sz w:val="20"/>
                <w:szCs w:val="20"/>
                <w:u w:val="none"/>
                <w:lang w:val="en-US" w:eastAsia="zh-CN" w:bidi="ar"/>
              </w:rPr>
              <w:t>每季度</w:t>
            </w:r>
          </w:p>
        </w:tc>
        <w:tc>
          <w:tcPr>
            <w:tcW w:w="634" w:type="dxa"/>
            <w:gridSpan w:val="2"/>
            <w:noWrap w:val="0"/>
            <w:vAlign w:val="center"/>
          </w:tcPr>
          <w:p w14:paraId="06D111B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1" w:type="dxa"/>
            <w:gridSpan w:val="2"/>
            <w:noWrap w:val="0"/>
            <w:vAlign w:val="center"/>
          </w:tcPr>
          <w:p w14:paraId="367CD3FA">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23" w:type="dxa"/>
            <w:gridSpan w:val="2"/>
            <w:noWrap w:val="0"/>
            <w:vAlign w:val="center"/>
          </w:tcPr>
          <w:p w14:paraId="6E579E67">
            <w:pPr>
              <w:spacing w:line="240" w:lineRule="auto"/>
              <w:ind w:firstLine="0" w:firstLineChars="0"/>
              <w:jc w:val="center"/>
              <w:rPr>
                <w:rFonts w:hint="eastAsia" w:ascii="宋体" w:hAnsi="宋体" w:eastAsia="宋体" w:cs="宋体"/>
                <w:sz w:val="22"/>
                <w:szCs w:val="22"/>
              </w:rPr>
            </w:pPr>
          </w:p>
        </w:tc>
      </w:tr>
      <w:tr w14:paraId="23E33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0" w:hRule="atLeast"/>
        </w:trPr>
        <w:tc>
          <w:tcPr>
            <w:tcW w:w="636" w:type="dxa"/>
            <w:vMerge w:val="continue"/>
            <w:noWrap w:val="0"/>
            <w:vAlign w:val="center"/>
          </w:tcPr>
          <w:p w14:paraId="469330DB">
            <w:pPr>
              <w:spacing w:line="240" w:lineRule="auto"/>
              <w:ind w:firstLine="0" w:firstLineChars="0"/>
              <w:jc w:val="center"/>
              <w:rPr>
                <w:rFonts w:hint="eastAsia" w:ascii="宋体" w:hAnsi="宋体" w:eastAsia="宋体" w:cs="宋体"/>
                <w:sz w:val="22"/>
                <w:szCs w:val="22"/>
              </w:rPr>
            </w:pPr>
          </w:p>
        </w:tc>
        <w:tc>
          <w:tcPr>
            <w:tcW w:w="753" w:type="dxa"/>
            <w:vMerge w:val="continue"/>
            <w:noWrap w:val="0"/>
            <w:vAlign w:val="center"/>
          </w:tcPr>
          <w:p w14:paraId="4DC238B4">
            <w:pPr>
              <w:spacing w:line="240" w:lineRule="auto"/>
              <w:ind w:firstLine="0" w:firstLineChars="0"/>
              <w:jc w:val="center"/>
              <w:rPr>
                <w:rFonts w:hint="eastAsia" w:ascii="宋体" w:hAnsi="宋体" w:eastAsia="宋体" w:cs="宋体"/>
                <w:sz w:val="22"/>
                <w:szCs w:val="22"/>
              </w:rPr>
            </w:pPr>
          </w:p>
        </w:tc>
        <w:tc>
          <w:tcPr>
            <w:tcW w:w="834" w:type="dxa"/>
            <w:noWrap w:val="0"/>
            <w:vAlign w:val="center"/>
          </w:tcPr>
          <w:p w14:paraId="39AA65E6">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094CAB8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60" w:type="dxa"/>
            <w:gridSpan w:val="3"/>
            <w:noWrap w:val="0"/>
            <w:vAlign w:val="center"/>
          </w:tcPr>
          <w:p w14:paraId="5587AB49">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人员基本信息准确率</w:t>
            </w:r>
          </w:p>
        </w:tc>
        <w:tc>
          <w:tcPr>
            <w:tcW w:w="889" w:type="dxa"/>
            <w:noWrap w:val="0"/>
            <w:vAlign w:val="center"/>
          </w:tcPr>
          <w:p w14:paraId="0417BCCF">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≥95%</w:t>
            </w:r>
          </w:p>
        </w:tc>
        <w:tc>
          <w:tcPr>
            <w:tcW w:w="819" w:type="dxa"/>
            <w:noWrap w:val="0"/>
            <w:vAlign w:val="center"/>
          </w:tcPr>
          <w:p w14:paraId="68D0C5C0">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≥95%</w:t>
            </w:r>
          </w:p>
        </w:tc>
        <w:tc>
          <w:tcPr>
            <w:tcW w:w="634" w:type="dxa"/>
            <w:gridSpan w:val="2"/>
            <w:noWrap w:val="0"/>
            <w:vAlign w:val="center"/>
          </w:tcPr>
          <w:p w14:paraId="2DD0C47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1" w:type="dxa"/>
            <w:gridSpan w:val="2"/>
            <w:noWrap w:val="0"/>
            <w:vAlign w:val="center"/>
          </w:tcPr>
          <w:p w14:paraId="45AA49DB">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23" w:type="dxa"/>
            <w:gridSpan w:val="2"/>
            <w:noWrap w:val="0"/>
            <w:vAlign w:val="center"/>
          </w:tcPr>
          <w:p w14:paraId="205886DF">
            <w:pPr>
              <w:spacing w:line="240" w:lineRule="auto"/>
              <w:ind w:firstLine="0" w:firstLineChars="0"/>
              <w:jc w:val="center"/>
              <w:rPr>
                <w:rFonts w:hint="eastAsia" w:ascii="宋体" w:hAnsi="宋体" w:eastAsia="宋体" w:cs="宋体"/>
                <w:sz w:val="22"/>
                <w:szCs w:val="22"/>
              </w:rPr>
            </w:pPr>
          </w:p>
        </w:tc>
      </w:tr>
      <w:tr w14:paraId="5D003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9" w:hRule="atLeast"/>
        </w:trPr>
        <w:tc>
          <w:tcPr>
            <w:tcW w:w="636" w:type="dxa"/>
            <w:vMerge w:val="continue"/>
            <w:noWrap w:val="0"/>
            <w:vAlign w:val="center"/>
          </w:tcPr>
          <w:p w14:paraId="0880B2CD">
            <w:pPr>
              <w:spacing w:line="240" w:lineRule="auto"/>
              <w:ind w:firstLine="0" w:firstLineChars="0"/>
              <w:jc w:val="center"/>
              <w:rPr>
                <w:rFonts w:hint="eastAsia" w:ascii="宋体" w:hAnsi="宋体" w:eastAsia="宋体" w:cs="宋体"/>
                <w:sz w:val="22"/>
                <w:szCs w:val="22"/>
              </w:rPr>
            </w:pPr>
          </w:p>
        </w:tc>
        <w:tc>
          <w:tcPr>
            <w:tcW w:w="753" w:type="dxa"/>
            <w:vMerge w:val="continue"/>
            <w:noWrap w:val="0"/>
            <w:vAlign w:val="center"/>
          </w:tcPr>
          <w:p w14:paraId="0E2AB906">
            <w:pPr>
              <w:spacing w:line="240" w:lineRule="auto"/>
              <w:ind w:firstLine="0" w:firstLineChars="0"/>
              <w:jc w:val="center"/>
              <w:rPr>
                <w:rFonts w:hint="eastAsia" w:ascii="宋体" w:hAnsi="宋体" w:eastAsia="宋体" w:cs="宋体"/>
                <w:sz w:val="22"/>
                <w:szCs w:val="22"/>
              </w:rPr>
            </w:pPr>
          </w:p>
        </w:tc>
        <w:tc>
          <w:tcPr>
            <w:tcW w:w="834" w:type="dxa"/>
            <w:noWrap w:val="0"/>
            <w:vAlign w:val="center"/>
          </w:tcPr>
          <w:p w14:paraId="72BA9394">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1BD0F75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460" w:type="dxa"/>
            <w:gridSpan w:val="3"/>
            <w:noWrap w:val="0"/>
            <w:vAlign w:val="center"/>
          </w:tcPr>
          <w:p w14:paraId="7D53299B">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经费到位及时率</w:t>
            </w:r>
          </w:p>
        </w:tc>
        <w:tc>
          <w:tcPr>
            <w:tcW w:w="889" w:type="dxa"/>
            <w:noWrap w:val="0"/>
            <w:vAlign w:val="center"/>
          </w:tcPr>
          <w:p w14:paraId="7BB57202">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100%</w:t>
            </w:r>
          </w:p>
        </w:tc>
        <w:tc>
          <w:tcPr>
            <w:tcW w:w="819" w:type="dxa"/>
            <w:noWrap w:val="0"/>
            <w:vAlign w:val="center"/>
          </w:tcPr>
          <w:p w14:paraId="2BF1ED3C">
            <w:pPr>
              <w:keepNext w:val="0"/>
              <w:keepLines w:val="0"/>
              <w:widowControl/>
              <w:suppressLineNumbers w:val="0"/>
              <w:ind w:firstLine="400" w:firstLineChars="20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100%</w:t>
            </w:r>
          </w:p>
        </w:tc>
        <w:tc>
          <w:tcPr>
            <w:tcW w:w="634" w:type="dxa"/>
            <w:gridSpan w:val="2"/>
            <w:noWrap w:val="0"/>
            <w:vAlign w:val="center"/>
          </w:tcPr>
          <w:p w14:paraId="76FFFEA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1" w:type="dxa"/>
            <w:gridSpan w:val="2"/>
            <w:noWrap w:val="0"/>
            <w:vAlign w:val="center"/>
          </w:tcPr>
          <w:p w14:paraId="0C3B361B">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23" w:type="dxa"/>
            <w:gridSpan w:val="2"/>
            <w:noWrap w:val="0"/>
            <w:vAlign w:val="center"/>
          </w:tcPr>
          <w:p w14:paraId="00B3664B">
            <w:pPr>
              <w:spacing w:line="240" w:lineRule="auto"/>
              <w:ind w:firstLine="0" w:firstLineChars="0"/>
              <w:jc w:val="center"/>
              <w:rPr>
                <w:rFonts w:hint="eastAsia" w:ascii="宋体" w:hAnsi="宋体" w:eastAsia="宋体" w:cs="宋体"/>
                <w:sz w:val="22"/>
                <w:szCs w:val="22"/>
              </w:rPr>
            </w:pPr>
          </w:p>
        </w:tc>
      </w:tr>
      <w:tr w14:paraId="21C1D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trPr>
        <w:tc>
          <w:tcPr>
            <w:tcW w:w="636" w:type="dxa"/>
            <w:vMerge w:val="continue"/>
            <w:noWrap w:val="0"/>
            <w:textDirection w:val="tbRlV"/>
            <w:vAlign w:val="center"/>
          </w:tcPr>
          <w:p w14:paraId="71603932">
            <w:pPr>
              <w:spacing w:line="240" w:lineRule="auto"/>
              <w:ind w:firstLine="0" w:firstLineChars="0"/>
              <w:jc w:val="center"/>
              <w:rPr>
                <w:rFonts w:hint="eastAsia" w:ascii="宋体" w:hAnsi="宋体" w:eastAsia="宋体" w:cs="宋体"/>
                <w:sz w:val="22"/>
                <w:szCs w:val="22"/>
              </w:rPr>
            </w:pPr>
          </w:p>
        </w:tc>
        <w:tc>
          <w:tcPr>
            <w:tcW w:w="753" w:type="dxa"/>
            <w:vMerge w:val="restart"/>
            <w:noWrap w:val="0"/>
            <w:vAlign w:val="center"/>
          </w:tcPr>
          <w:p w14:paraId="569D7C44">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39AB6C0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34" w:type="dxa"/>
            <w:noWrap w:val="0"/>
            <w:vAlign w:val="center"/>
          </w:tcPr>
          <w:p w14:paraId="4F51E80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460" w:type="dxa"/>
            <w:gridSpan w:val="3"/>
            <w:noWrap w:val="0"/>
            <w:vAlign w:val="center"/>
          </w:tcPr>
          <w:p w14:paraId="7CBE3DB3">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保障实施三孩政策</w:t>
            </w:r>
          </w:p>
        </w:tc>
        <w:tc>
          <w:tcPr>
            <w:tcW w:w="889" w:type="dxa"/>
            <w:noWrap w:val="0"/>
            <w:vAlign w:val="center"/>
          </w:tcPr>
          <w:p w14:paraId="6D83C3C3">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中长期</w:t>
            </w:r>
          </w:p>
        </w:tc>
        <w:tc>
          <w:tcPr>
            <w:tcW w:w="819" w:type="dxa"/>
            <w:noWrap w:val="0"/>
            <w:vAlign w:val="center"/>
          </w:tcPr>
          <w:p w14:paraId="5A146E77">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中长期</w:t>
            </w:r>
          </w:p>
        </w:tc>
        <w:tc>
          <w:tcPr>
            <w:tcW w:w="634" w:type="dxa"/>
            <w:gridSpan w:val="2"/>
            <w:noWrap w:val="0"/>
            <w:vAlign w:val="center"/>
          </w:tcPr>
          <w:p w14:paraId="3041159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1" w:type="dxa"/>
            <w:gridSpan w:val="2"/>
            <w:noWrap w:val="0"/>
            <w:vAlign w:val="center"/>
          </w:tcPr>
          <w:p w14:paraId="7651A054">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23" w:type="dxa"/>
            <w:gridSpan w:val="2"/>
            <w:noWrap w:val="0"/>
            <w:vAlign w:val="center"/>
          </w:tcPr>
          <w:p w14:paraId="22701B2B">
            <w:pPr>
              <w:spacing w:line="240" w:lineRule="auto"/>
              <w:ind w:firstLine="0" w:firstLineChars="0"/>
              <w:jc w:val="center"/>
              <w:rPr>
                <w:rFonts w:hint="eastAsia" w:ascii="宋体" w:hAnsi="宋体" w:eastAsia="宋体" w:cs="宋体"/>
                <w:sz w:val="22"/>
                <w:szCs w:val="22"/>
              </w:rPr>
            </w:pPr>
          </w:p>
        </w:tc>
      </w:tr>
      <w:tr w14:paraId="33273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2" w:hRule="atLeast"/>
        </w:trPr>
        <w:tc>
          <w:tcPr>
            <w:tcW w:w="636" w:type="dxa"/>
            <w:vMerge w:val="continue"/>
            <w:noWrap w:val="0"/>
            <w:textDirection w:val="tbRlV"/>
            <w:vAlign w:val="center"/>
          </w:tcPr>
          <w:p w14:paraId="72394489">
            <w:pPr>
              <w:spacing w:line="240" w:lineRule="auto"/>
              <w:ind w:firstLine="0" w:firstLineChars="0"/>
              <w:jc w:val="center"/>
              <w:rPr>
                <w:rFonts w:hint="eastAsia" w:ascii="宋体" w:hAnsi="宋体" w:eastAsia="宋体" w:cs="宋体"/>
                <w:sz w:val="22"/>
                <w:szCs w:val="22"/>
              </w:rPr>
            </w:pPr>
          </w:p>
        </w:tc>
        <w:tc>
          <w:tcPr>
            <w:tcW w:w="753" w:type="dxa"/>
            <w:vMerge w:val="continue"/>
            <w:noWrap w:val="0"/>
            <w:vAlign w:val="center"/>
          </w:tcPr>
          <w:p w14:paraId="547880F8">
            <w:pPr>
              <w:spacing w:line="240" w:lineRule="auto"/>
              <w:ind w:firstLine="0" w:firstLineChars="0"/>
              <w:jc w:val="center"/>
              <w:rPr>
                <w:rFonts w:hint="eastAsia" w:ascii="宋体" w:hAnsi="宋体" w:eastAsia="宋体" w:cs="宋体"/>
                <w:sz w:val="22"/>
                <w:szCs w:val="22"/>
              </w:rPr>
            </w:pPr>
          </w:p>
        </w:tc>
        <w:tc>
          <w:tcPr>
            <w:tcW w:w="834" w:type="dxa"/>
            <w:noWrap w:val="0"/>
            <w:vAlign w:val="center"/>
          </w:tcPr>
          <w:p w14:paraId="1616EAA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460" w:type="dxa"/>
            <w:gridSpan w:val="3"/>
            <w:noWrap w:val="0"/>
            <w:vAlign w:val="center"/>
          </w:tcPr>
          <w:p w14:paraId="1C936ACA">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健全覆盖全人群、全生命周期的人口监测体系</w:t>
            </w:r>
          </w:p>
        </w:tc>
        <w:tc>
          <w:tcPr>
            <w:tcW w:w="889" w:type="dxa"/>
            <w:noWrap w:val="0"/>
            <w:vAlign w:val="center"/>
          </w:tcPr>
          <w:p w14:paraId="1F1B8C87">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不断完善</w:t>
            </w:r>
          </w:p>
        </w:tc>
        <w:tc>
          <w:tcPr>
            <w:tcW w:w="819" w:type="dxa"/>
            <w:noWrap w:val="0"/>
            <w:vAlign w:val="center"/>
          </w:tcPr>
          <w:p w14:paraId="3286B8C5">
            <w:pPr>
              <w:keepNext w:val="0"/>
              <w:keepLines w:val="0"/>
              <w:widowControl/>
              <w:suppressLineNumbers w:val="0"/>
              <w:ind w:left="0" w:leftChars="0" w:firstLine="0" w:firstLineChars="0"/>
              <w:jc w:val="both"/>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不断完善</w:t>
            </w:r>
          </w:p>
        </w:tc>
        <w:tc>
          <w:tcPr>
            <w:tcW w:w="634" w:type="dxa"/>
            <w:gridSpan w:val="2"/>
            <w:noWrap w:val="0"/>
            <w:vAlign w:val="center"/>
          </w:tcPr>
          <w:p w14:paraId="780E0D5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1" w:type="dxa"/>
            <w:gridSpan w:val="2"/>
            <w:noWrap w:val="0"/>
            <w:vAlign w:val="center"/>
          </w:tcPr>
          <w:p w14:paraId="7470FB8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1623" w:type="dxa"/>
            <w:gridSpan w:val="2"/>
            <w:noWrap w:val="0"/>
            <w:vAlign w:val="center"/>
          </w:tcPr>
          <w:p w14:paraId="5E9ADA18">
            <w:pPr>
              <w:spacing w:line="240" w:lineRule="auto"/>
              <w:ind w:firstLine="0" w:firstLineChars="0"/>
              <w:jc w:val="center"/>
              <w:rPr>
                <w:rFonts w:hint="eastAsia" w:ascii="宋体" w:hAnsi="宋体" w:eastAsia="宋体" w:cs="宋体"/>
                <w:sz w:val="22"/>
                <w:szCs w:val="22"/>
              </w:rPr>
            </w:pPr>
          </w:p>
        </w:tc>
      </w:tr>
      <w:tr w14:paraId="1DDFF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4" w:hRule="atLeast"/>
        </w:trPr>
        <w:tc>
          <w:tcPr>
            <w:tcW w:w="636" w:type="dxa"/>
            <w:vMerge w:val="continue"/>
            <w:noWrap w:val="0"/>
            <w:vAlign w:val="center"/>
          </w:tcPr>
          <w:p w14:paraId="1303626E">
            <w:pPr>
              <w:spacing w:line="240" w:lineRule="auto"/>
              <w:ind w:firstLine="0" w:firstLineChars="0"/>
              <w:jc w:val="center"/>
              <w:rPr>
                <w:rFonts w:hint="eastAsia" w:ascii="宋体" w:hAnsi="宋体" w:eastAsia="宋体" w:cs="宋体"/>
                <w:sz w:val="22"/>
                <w:szCs w:val="22"/>
              </w:rPr>
            </w:pPr>
          </w:p>
        </w:tc>
        <w:tc>
          <w:tcPr>
            <w:tcW w:w="753" w:type="dxa"/>
            <w:noWrap w:val="0"/>
            <w:vAlign w:val="center"/>
          </w:tcPr>
          <w:p w14:paraId="757FAE5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34" w:type="dxa"/>
            <w:noWrap w:val="0"/>
            <w:vAlign w:val="center"/>
          </w:tcPr>
          <w:p w14:paraId="7879681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460" w:type="dxa"/>
            <w:gridSpan w:val="3"/>
            <w:noWrap w:val="0"/>
            <w:vAlign w:val="center"/>
          </w:tcPr>
          <w:p w14:paraId="77C682EF">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群众满意度</w:t>
            </w:r>
          </w:p>
        </w:tc>
        <w:tc>
          <w:tcPr>
            <w:tcW w:w="889" w:type="dxa"/>
            <w:noWrap w:val="0"/>
            <w:vAlign w:val="center"/>
          </w:tcPr>
          <w:p w14:paraId="0BB79280">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≥80%</w:t>
            </w:r>
          </w:p>
        </w:tc>
        <w:tc>
          <w:tcPr>
            <w:tcW w:w="819" w:type="dxa"/>
            <w:noWrap w:val="0"/>
            <w:vAlign w:val="center"/>
          </w:tcPr>
          <w:p w14:paraId="4AFCC356">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0"/>
                <w:szCs w:val="20"/>
                <w:u w:val="none"/>
                <w:lang w:val="en-US" w:eastAsia="zh-CN" w:bidi="ar"/>
              </w:rPr>
              <w:t>≥80%</w:t>
            </w:r>
          </w:p>
        </w:tc>
        <w:tc>
          <w:tcPr>
            <w:tcW w:w="634" w:type="dxa"/>
            <w:gridSpan w:val="2"/>
            <w:noWrap w:val="0"/>
            <w:vAlign w:val="center"/>
          </w:tcPr>
          <w:p w14:paraId="323638A7">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31" w:type="dxa"/>
            <w:gridSpan w:val="2"/>
            <w:noWrap w:val="0"/>
            <w:vAlign w:val="center"/>
          </w:tcPr>
          <w:p w14:paraId="1F921C63">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23" w:type="dxa"/>
            <w:gridSpan w:val="2"/>
            <w:noWrap w:val="0"/>
            <w:vAlign w:val="center"/>
          </w:tcPr>
          <w:p w14:paraId="5CF964B3">
            <w:pPr>
              <w:spacing w:line="240" w:lineRule="auto"/>
              <w:ind w:firstLine="0" w:firstLineChars="0"/>
              <w:jc w:val="center"/>
              <w:rPr>
                <w:rFonts w:hint="eastAsia" w:ascii="宋体" w:hAnsi="宋体" w:eastAsia="宋体" w:cs="宋体"/>
                <w:sz w:val="22"/>
                <w:szCs w:val="22"/>
              </w:rPr>
            </w:pPr>
          </w:p>
        </w:tc>
      </w:tr>
      <w:tr w14:paraId="77127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5391" w:type="dxa"/>
            <w:gridSpan w:val="8"/>
            <w:noWrap w:val="0"/>
            <w:vAlign w:val="center"/>
          </w:tcPr>
          <w:p w14:paraId="40D7911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34" w:type="dxa"/>
            <w:gridSpan w:val="2"/>
            <w:noWrap w:val="0"/>
            <w:vAlign w:val="center"/>
          </w:tcPr>
          <w:p w14:paraId="31B0D0E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31" w:type="dxa"/>
            <w:gridSpan w:val="2"/>
            <w:noWrap w:val="0"/>
            <w:vAlign w:val="center"/>
          </w:tcPr>
          <w:p w14:paraId="7212C47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623" w:type="dxa"/>
            <w:gridSpan w:val="2"/>
            <w:noWrap w:val="0"/>
            <w:vAlign w:val="center"/>
          </w:tcPr>
          <w:p w14:paraId="6C89D1D1">
            <w:pPr>
              <w:spacing w:line="240" w:lineRule="auto"/>
              <w:ind w:firstLine="0" w:firstLineChars="0"/>
              <w:jc w:val="center"/>
              <w:rPr>
                <w:rFonts w:hint="eastAsia" w:ascii="宋体" w:hAnsi="宋体" w:eastAsia="宋体" w:cs="宋体"/>
                <w:sz w:val="22"/>
                <w:szCs w:val="22"/>
              </w:rPr>
            </w:pPr>
          </w:p>
        </w:tc>
      </w:tr>
      <w:tr w14:paraId="1FC96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7" w:hRule="atLeast"/>
        </w:trPr>
        <w:tc>
          <w:tcPr>
            <w:tcW w:w="636" w:type="dxa"/>
            <w:noWrap w:val="0"/>
            <w:vAlign w:val="center"/>
          </w:tcPr>
          <w:p w14:paraId="380F3BA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743" w:type="dxa"/>
            <w:gridSpan w:val="13"/>
            <w:noWrap w:val="0"/>
            <w:vAlign w:val="center"/>
          </w:tcPr>
          <w:p w14:paraId="7A0B0F1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无。</w:t>
            </w:r>
          </w:p>
        </w:tc>
      </w:tr>
    </w:tbl>
    <w:p w14:paraId="1CC0E79E">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648CC51E">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3600AD24">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15503161">
      <w:pPr>
        <w:ind w:firstLine="432"/>
        <w:rPr>
          <w:rFonts w:ascii="宋体" w:hAnsi="宋体" w:eastAsia="宋体" w:cs="宋体"/>
          <w:spacing w:val="-2"/>
          <w:sz w:val="22"/>
          <w:szCs w:val="22"/>
        </w:rPr>
      </w:pPr>
    </w:p>
    <w:p w14:paraId="7BE569AB">
      <w:pPr>
        <w:ind w:firstLine="432"/>
        <w:rPr>
          <w:rFonts w:ascii="宋体" w:hAnsi="宋体" w:eastAsia="宋体" w:cs="宋体"/>
          <w:spacing w:val="-2"/>
          <w:sz w:val="22"/>
          <w:szCs w:val="22"/>
        </w:rPr>
      </w:pPr>
    </w:p>
    <w:p w14:paraId="2BB3F77E">
      <w:pPr>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附件13</w:t>
      </w:r>
    </w:p>
    <w:p w14:paraId="08C5B645">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45EA2EE4">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71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2"/>
        <w:gridCol w:w="784"/>
        <w:gridCol w:w="868"/>
        <w:gridCol w:w="272"/>
        <w:gridCol w:w="1047"/>
        <w:gridCol w:w="201"/>
        <w:gridCol w:w="925"/>
        <w:gridCol w:w="854"/>
        <w:gridCol w:w="587"/>
        <w:gridCol w:w="73"/>
        <w:gridCol w:w="680"/>
        <w:gridCol w:w="82"/>
        <w:gridCol w:w="586"/>
        <w:gridCol w:w="1098"/>
      </w:tblGrid>
      <w:tr w14:paraId="18183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1446" w:type="dxa"/>
            <w:gridSpan w:val="2"/>
            <w:noWrap w:val="0"/>
            <w:vAlign w:val="center"/>
          </w:tcPr>
          <w:p w14:paraId="566CC54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273" w:type="dxa"/>
            <w:gridSpan w:val="12"/>
            <w:noWrap w:val="0"/>
            <w:vAlign w:val="center"/>
          </w:tcPr>
          <w:p w14:paraId="136C725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医养结合工作经费</w:t>
            </w:r>
          </w:p>
        </w:tc>
      </w:tr>
      <w:tr w14:paraId="7325D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1446" w:type="dxa"/>
            <w:gridSpan w:val="2"/>
            <w:noWrap w:val="0"/>
            <w:vAlign w:val="center"/>
          </w:tcPr>
          <w:p w14:paraId="7DC9FCD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313" w:type="dxa"/>
            <w:gridSpan w:val="5"/>
            <w:noWrap w:val="0"/>
            <w:vAlign w:val="center"/>
          </w:tcPr>
          <w:p w14:paraId="6EE7E3E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441" w:type="dxa"/>
            <w:gridSpan w:val="2"/>
            <w:noWrap w:val="0"/>
            <w:vAlign w:val="center"/>
          </w:tcPr>
          <w:p w14:paraId="7D30CA6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519" w:type="dxa"/>
            <w:gridSpan w:val="5"/>
            <w:noWrap w:val="0"/>
            <w:vAlign w:val="center"/>
          </w:tcPr>
          <w:p w14:paraId="6CFF48B3">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各基层医疗机构</w:t>
            </w:r>
          </w:p>
        </w:tc>
      </w:tr>
      <w:tr w14:paraId="03411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1446" w:type="dxa"/>
            <w:gridSpan w:val="2"/>
            <w:vMerge w:val="restart"/>
            <w:noWrap w:val="0"/>
            <w:vAlign w:val="center"/>
          </w:tcPr>
          <w:p w14:paraId="18C3EE1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40" w:type="dxa"/>
            <w:gridSpan w:val="2"/>
            <w:noWrap w:val="0"/>
            <w:vAlign w:val="center"/>
          </w:tcPr>
          <w:p w14:paraId="65A6C892">
            <w:pPr>
              <w:spacing w:line="240" w:lineRule="auto"/>
              <w:ind w:firstLine="0" w:firstLineChars="0"/>
              <w:jc w:val="center"/>
              <w:rPr>
                <w:rFonts w:hint="eastAsia" w:ascii="宋体" w:hAnsi="宋体" w:eastAsia="宋体" w:cs="宋体"/>
                <w:sz w:val="22"/>
                <w:szCs w:val="22"/>
              </w:rPr>
            </w:pPr>
          </w:p>
        </w:tc>
        <w:tc>
          <w:tcPr>
            <w:tcW w:w="1047" w:type="dxa"/>
            <w:noWrap w:val="0"/>
            <w:vAlign w:val="center"/>
          </w:tcPr>
          <w:p w14:paraId="3D7632D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126" w:type="dxa"/>
            <w:gridSpan w:val="2"/>
            <w:noWrap w:val="0"/>
            <w:vAlign w:val="center"/>
          </w:tcPr>
          <w:p w14:paraId="41562A8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441" w:type="dxa"/>
            <w:gridSpan w:val="2"/>
            <w:noWrap w:val="0"/>
            <w:vAlign w:val="center"/>
          </w:tcPr>
          <w:p w14:paraId="7CFB2F0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53" w:type="dxa"/>
            <w:gridSpan w:val="2"/>
            <w:noWrap w:val="0"/>
            <w:vAlign w:val="center"/>
          </w:tcPr>
          <w:p w14:paraId="041C1C4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68" w:type="dxa"/>
            <w:gridSpan w:val="2"/>
            <w:noWrap w:val="0"/>
            <w:vAlign w:val="center"/>
          </w:tcPr>
          <w:p w14:paraId="3CD456F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98" w:type="dxa"/>
            <w:noWrap w:val="0"/>
            <w:vAlign w:val="center"/>
          </w:tcPr>
          <w:p w14:paraId="4779256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6A96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1446" w:type="dxa"/>
            <w:gridSpan w:val="2"/>
            <w:vMerge w:val="continue"/>
            <w:noWrap w:val="0"/>
            <w:vAlign w:val="center"/>
          </w:tcPr>
          <w:p w14:paraId="34434C53">
            <w:pPr>
              <w:spacing w:line="240" w:lineRule="auto"/>
              <w:ind w:firstLine="0" w:firstLineChars="0"/>
              <w:jc w:val="center"/>
              <w:rPr>
                <w:rFonts w:hint="eastAsia" w:ascii="宋体" w:hAnsi="宋体" w:eastAsia="宋体" w:cs="宋体"/>
                <w:sz w:val="22"/>
                <w:szCs w:val="22"/>
              </w:rPr>
            </w:pPr>
          </w:p>
        </w:tc>
        <w:tc>
          <w:tcPr>
            <w:tcW w:w="1140" w:type="dxa"/>
            <w:gridSpan w:val="2"/>
            <w:noWrap w:val="0"/>
            <w:vAlign w:val="center"/>
          </w:tcPr>
          <w:p w14:paraId="4AFDDB37">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6D959A9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47" w:type="dxa"/>
            <w:noWrap w:val="0"/>
            <w:vAlign w:val="center"/>
          </w:tcPr>
          <w:p w14:paraId="16D97A9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126" w:type="dxa"/>
            <w:gridSpan w:val="2"/>
            <w:noWrap w:val="0"/>
            <w:vAlign w:val="center"/>
          </w:tcPr>
          <w:p w14:paraId="3CFAE7BE">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1441" w:type="dxa"/>
            <w:gridSpan w:val="2"/>
            <w:noWrap w:val="0"/>
            <w:vAlign w:val="center"/>
          </w:tcPr>
          <w:p w14:paraId="285EE9C1">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753" w:type="dxa"/>
            <w:gridSpan w:val="2"/>
            <w:noWrap w:val="0"/>
            <w:vAlign w:val="center"/>
          </w:tcPr>
          <w:p w14:paraId="26F90A7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68" w:type="dxa"/>
            <w:gridSpan w:val="2"/>
            <w:noWrap w:val="0"/>
            <w:vAlign w:val="center"/>
          </w:tcPr>
          <w:p w14:paraId="67CA0A7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98" w:type="dxa"/>
            <w:noWrap w:val="0"/>
            <w:vAlign w:val="center"/>
          </w:tcPr>
          <w:p w14:paraId="7A2F59E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4A04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1446" w:type="dxa"/>
            <w:gridSpan w:val="2"/>
            <w:vMerge w:val="continue"/>
            <w:noWrap w:val="0"/>
            <w:vAlign w:val="center"/>
          </w:tcPr>
          <w:p w14:paraId="6D1D1B3E">
            <w:pPr>
              <w:spacing w:line="240" w:lineRule="auto"/>
              <w:ind w:firstLine="0" w:firstLineChars="0"/>
              <w:jc w:val="center"/>
              <w:rPr>
                <w:rFonts w:hint="eastAsia" w:ascii="宋体" w:hAnsi="宋体" w:eastAsia="宋体" w:cs="宋体"/>
                <w:sz w:val="22"/>
                <w:szCs w:val="22"/>
              </w:rPr>
            </w:pPr>
          </w:p>
        </w:tc>
        <w:tc>
          <w:tcPr>
            <w:tcW w:w="1140" w:type="dxa"/>
            <w:gridSpan w:val="2"/>
            <w:noWrap w:val="0"/>
            <w:vAlign w:val="center"/>
          </w:tcPr>
          <w:p w14:paraId="0305C26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47" w:type="dxa"/>
            <w:noWrap w:val="0"/>
            <w:vAlign w:val="center"/>
          </w:tcPr>
          <w:p w14:paraId="795194B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126" w:type="dxa"/>
            <w:gridSpan w:val="2"/>
            <w:noWrap w:val="0"/>
            <w:vAlign w:val="center"/>
          </w:tcPr>
          <w:p w14:paraId="7C992AB0">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1441" w:type="dxa"/>
            <w:gridSpan w:val="2"/>
            <w:noWrap w:val="0"/>
            <w:vAlign w:val="center"/>
          </w:tcPr>
          <w:p w14:paraId="644748DE">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c>
          <w:tcPr>
            <w:tcW w:w="753" w:type="dxa"/>
            <w:gridSpan w:val="2"/>
            <w:noWrap w:val="0"/>
            <w:vAlign w:val="center"/>
          </w:tcPr>
          <w:p w14:paraId="7DCC485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68" w:type="dxa"/>
            <w:gridSpan w:val="2"/>
            <w:noWrap w:val="0"/>
            <w:vAlign w:val="center"/>
          </w:tcPr>
          <w:p w14:paraId="3B06E764">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98" w:type="dxa"/>
            <w:noWrap w:val="0"/>
            <w:vAlign w:val="center"/>
          </w:tcPr>
          <w:p w14:paraId="033F64A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6576D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1446" w:type="dxa"/>
            <w:gridSpan w:val="2"/>
            <w:vMerge w:val="continue"/>
            <w:noWrap w:val="0"/>
            <w:vAlign w:val="center"/>
          </w:tcPr>
          <w:p w14:paraId="19A25C15">
            <w:pPr>
              <w:spacing w:line="240" w:lineRule="auto"/>
              <w:ind w:firstLine="0" w:firstLineChars="0"/>
              <w:jc w:val="center"/>
              <w:rPr>
                <w:rFonts w:hint="eastAsia" w:ascii="宋体" w:hAnsi="宋体" w:eastAsia="宋体" w:cs="宋体"/>
                <w:sz w:val="22"/>
                <w:szCs w:val="22"/>
              </w:rPr>
            </w:pPr>
          </w:p>
        </w:tc>
        <w:tc>
          <w:tcPr>
            <w:tcW w:w="1140" w:type="dxa"/>
            <w:gridSpan w:val="2"/>
            <w:noWrap w:val="0"/>
            <w:vAlign w:val="center"/>
          </w:tcPr>
          <w:p w14:paraId="0310839F">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27C52CC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47" w:type="dxa"/>
            <w:noWrap w:val="0"/>
            <w:vAlign w:val="center"/>
          </w:tcPr>
          <w:p w14:paraId="2ADA2FA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26" w:type="dxa"/>
            <w:gridSpan w:val="2"/>
            <w:noWrap w:val="0"/>
            <w:vAlign w:val="center"/>
          </w:tcPr>
          <w:p w14:paraId="62525E0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441" w:type="dxa"/>
            <w:gridSpan w:val="2"/>
            <w:noWrap w:val="0"/>
            <w:vAlign w:val="center"/>
          </w:tcPr>
          <w:p w14:paraId="326BBA3F">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53" w:type="dxa"/>
            <w:gridSpan w:val="2"/>
            <w:noWrap w:val="0"/>
            <w:vAlign w:val="center"/>
          </w:tcPr>
          <w:p w14:paraId="4FF4DED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68" w:type="dxa"/>
            <w:gridSpan w:val="2"/>
            <w:noWrap w:val="0"/>
            <w:vAlign w:val="center"/>
          </w:tcPr>
          <w:p w14:paraId="7FB08672">
            <w:pPr>
              <w:spacing w:line="240" w:lineRule="auto"/>
              <w:ind w:firstLine="0" w:firstLineChars="0"/>
              <w:jc w:val="center"/>
              <w:rPr>
                <w:rFonts w:hint="eastAsia" w:ascii="宋体" w:hAnsi="宋体" w:eastAsia="宋体" w:cs="宋体"/>
                <w:sz w:val="22"/>
                <w:szCs w:val="22"/>
              </w:rPr>
            </w:pPr>
          </w:p>
        </w:tc>
        <w:tc>
          <w:tcPr>
            <w:tcW w:w="1098" w:type="dxa"/>
            <w:noWrap w:val="0"/>
            <w:vAlign w:val="center"/>
          </w:tcPr>
          <w:p w14:paraId="3F0D103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4C3DF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1446" w:type="dxa"/>
            <w:gridSpan w:val="2"/>
            <w:vMerge w:val="continue"/>
            <w:noWrap w:val="0"/>
            <w:vAlign w:val="center"/>
          </w:tcPr>
          <w:p w14:paraId="01209E45">
            <w:pPr>
              <w:spacing w:line="240" w:lineRule="auto"/>
              <w:ind w:firstLine="0" w:firstLineChars="0"/>
              <w:jc w:val="center"/>
              <w:rPr>
                <w:rFonts w:hint="eastAsia" w:ascii="宋体" w:hAnsi="宋体" w:eastAsia="宋体" w:cs="宋体"/>
                <w:sz w:val="22"/>
                <w:szCs w:val="22"/>
              </w:rPr>
            </w:pPr>
          </w:p>
        </w:tc>
        <w:tc>
          <w:tcPr>
            <w:tcW w:w="1140" w:type="dxa"/>
            <w:gridSpan w:val="2"/>
            <w:noWrap w:val="0"/>
            <w:vAlign w:val="center"/>
          </w:tcPr>
          <w:p w14:paraId="7E92889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47" w:type="dxa"/>
            <w:noWrap w:val="0"/>
            <w:vAlign w:val="center"/>
          </w:tcPr>
          <w:p w14:paraId="3BB56B9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26" w:type="dxa"/>
            <w:gridSpan w:val="2"/>
            <w:noWrap w:val="0"/>
            <w:vAlign w:val="center"/>
          </w:tcPr>
          <w:p w14:paraId="029CA56F">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1441" w:type="dxa"/>
            <w:gridSpan w:val="2"/>
            <w:noWrap w:val="0"/>
            <w:vAlign w:val="center"/>
          </w:tcPr>
          <w:p w14:paraId="3E53F30D">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0</w:t>
            </w:r>
          </w:p>
        </w:tc>
        <w:tc>
          <w:tcPr>
            <w:tcW w:w="753" w:type="dxa"/>
            <w:gridSpan w:val="2"/>
            <w:noWrap w:val="0"/>
            <w:vAlign w:val="center"/>
          </w:tcPr>
          <w:p w14:paraId="23A3FD6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68" w:type="dxa"/>
            <w:gridSpan w:val="2"/>
            <w:noWrap w:val="0"/>
            <w:vAlign w:val="center"/>
          </w:tcPr>
          <w:p w14:paraId="68C82522">
            <w:pPr>
              <w:spacing w:line="240" w:lineRule="auto"/>
              <w:ind w:firstLine="0" w:firstLineChars="0"/>
              <w:jc w:val="center"/>
              <w:rPr>
                <w:rFonts w:hint="eastAsia" w:ascii="宋体" w:hAnsi="宋体" w:eastAsia="宋体" w:cs="宋体"/>
                <w:sz w:val="22"/>
                <w:szCs w:val="22"/>
              </w:rPr>
            </w:pPr>
          </w:p>
        </w:tc>
        <w:tc>
          <w:tcPr>
            <w:tcW w:w="1098" w:type="dxa"/>
            <w:noWrap w:val="0"/>
            <w:vAlign w:val="center"/>
          </w:tcPr>
          <w:p w14:paraId="7878258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096A5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662" w:type="dxa"/>
            <w:vMerge w:val="restart"/>
            <w:noWrap w:val="0"/>
            <w:vAlign w:val="center"/>
          </w:tcPr>
          <w:p w14:paraId="7BA28EC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097" w:type="dxa"/>
            <w:gridSpan w:val="6"/>
            <w:noWrap w:val="0"/>
            <w:vAlign w:val="center"/>
          </w:tcPr>
          <w:p w14:paraId="505F59F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960" w:type="dxa"/>
            <w:gridSpan w:val="7"/>
            <w:noWrap w:val="0"/>
            <w:vAlign w:val="center"/>
          </w:tcPr>
          <w:p w14:paraId="13A14DC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32311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4" w:hRule="atLeast"/>
        </w:trPr>
        <w:tc>
          <w:tcPr>
            <w:tcW w:w="662" w:type="dxa"/>
            <w:vMerge w:val="continue"/>
            <w:noWrap w:val="0"/>
            <w:vAlign w:val="center"/>
          </w:tcPr>
          <w:p w14:paraId="40535F69">
            <w:pPr>
              <w:spacing w:line="240" w:lineRule="auto"/>
              <w:ind w:firstLine="0" w:firstLineChars="0"/>
              <w:jc w:val="center"/>
              <w:rPr>
                <w:rFonts w:hint="eastAsia" w:ascii="宋体" w:hAnsi="宋体" w:eastAsia="宋体" w:cs="宋体"/>
                <w:sz w:val="22"/>
                <w:szCs w:val="22"/>
              </w:rPr>
            </w:pPr>
          </w:p>
        </w:tc>
        <w:tc>
          <w:tcPr>
            <w:tcW w:w="4097" w:type="dxa"/>
            <w:gridSpan w:val="6"/>
            <w:noWrap w:val="0"/>
            <w:vAlign w:val="center"/>
          </w:tcPr>
          <w:p w14:paraId="0CD8699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重点为失能、慢性病、高龄、残疾等行动不便或确有困难的老年人提供医养结合服务。支持老年医学科和安宁疗护科发展，支持医疗资源丰富地区的二级及以下医疗卫生机构转型，开展康复、护理以及医养结合服务。推动建设老年友善医疗卫生机构，方便老年人看病就医。</w:t>
            </w:r>
          </w:p>
        </w:tc>
        <w:tc>
          <w:tcPr>
            <w:tcW w:w="3960" w:type="dxa"/>
            <w:gridSpan w:val="7"/>
            <w:noWrap w:val="0"/>
            <w:vAlign w:val="center"/>
          </w:tcPr>
          <w:p w14:paraId="5C8617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为1096名失能老年人开展上门评估服务。为855名失能老年人开展上门康复、护理指导、心理支持服务。为22352名老年人建立居民健康档案，签约老年人数20476人，签约覆盖率98%；共为18561名老年人开展上门巡诊、健康检查、保健咨询等服务。</w:t>
            </w:r>
          </w:p>
        </w:tc>
      </w:tr>
      <w:tr w14:paraId="3992D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trPr>
        <w:tc>
          <w:tcPr>
            <w:tcW w:w="662" w:type="dxa"/>
            <w:vMerge w:val="restart"/>
            <w:noWrap w:val="0"/>
            <w:vAlign w:val="center"/>
          </w:tcPr>
          <w:p w14:paraId="20A89CDA">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84" w:type="dxa"/>
            <w:noWrap w:val="0"/>
            <w:vAlign w:val="center"/>
          </w:tcPr>
          <w:p w14:paraId="44F28F81">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651C4B1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68" w:type="dxa"/>
            <w:noWrap w:val="0"/>
            <w:vAlign w:val="center"/>
          </w:tcPr>
          <w:p w14:paraId="0C39CBE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321D217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20" w:type="dxa"/>
            <w:gridSpan w:val="3"/>
            <w:noWrap w:val="0"/>
            <w:vAlign w:val="center"/>
          </w:tcPr>
          <w:p w14:paraId="1FB1A59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925" w:type="dxa"/>
            <w:noWrap w:val="0"/>
            <w:vAlign w:val="center"/>
          </w:tcPr>
          <w:p w14:paraId="5DB1A05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54" w:type="dxa"/>
            <w:noWrap w:val="0"/>
            <w:vAlign w:val="center"/>
          </w:tcPr>
          <w:p w14:paraId="72B5B80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60" w:type="dxa"/>
            <w:gridSpan w:val="2"/>
            <w:noWrap w:val="0"/>
            <w:vAlign w:val="center"/>
          </w:tcPr>
          <w:p w14:paraId="0D0CD4C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62" w:type="dxa"/>
            <w:gridSpan w:val="2"/>
            <w:noWrap w:val="0"/>
            <w:vAlign w:val="center"/>
          </w:tcPr>
          <w:p w14:paraId="6EA5D00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84" w:type="dxa"/>
            <w:gridSpan w:val="2"/>
            <w:noWrap w:val="0"/>
            <w:vAlign w:val="center"/>
          </w:tcPr>
          <w:p w14:paraId="02F2613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57293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0" w:hRule="atLeast"/>
        </w:trPr>
        <w:tc>
          <w:tcPr>
            <w:tcW w:w="662" w:type="dxa"/>
            <w:vMerge w:val="continue"/>
            <w:noWrap w:val="0"/>
            <w:textDirection w:val="tbRlV"/>
            <w:vAlign w:val="center"/>
          </w:tcPr>
          <w:p w14:paraId="62EA9A62">
            <w:pPr>
              <w:spacing w:line="240" w:lineRule="auto"/>
              <w:ind w:left="113" w:right="113" w:firstLine="0" w:firstLineChars="0"/>
              <w:jc w:val="center"/>
              <w:rPr>
                <w:rFonts w:hint="eastAsia" w:ascii="宋体" w:hAnsi="宋体" w:eastAsia="宋体" w:cs="宋体"/>
                <w:sz w:val="22"/>
                <w:szCs w:val="22"/>
              </w:rPr>
            </w:pPr>
          </w:p>
        </w:tc>
        <w:tc>
          <w:tcPr>
            <w:tcW w:w="784" w:type="dxa"/>
            <w:vMerge w:val="restart"/>
            <w:noWrap w:val="0"/>
            <w:vAlign w:val="center"/>
          </w:tcPr>
          <w:p w14:paraId="1C732FA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43B16F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68" w:type="dxa"/>
            <w:vMerge w:val="restart"/>
            <w:noWrap w:val="0"/>
            <w:vAlign w:val="center"/>
          </w:tcPr>
          <w:p w14:paraId="2CA657D8">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285812A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20" w:type="dxa"/>
            <w:gridSpan w:val="3"/>
            <w:noWrap w:val="0"/>
            <w:vAlign w:val="top"/>
          </w:tcPr>
          <w:p w14:paraId="4417C317">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65岁及以上老年人医养结合服务率</w:t>
            </w:r>
          </w:p>
        </w:tc>
        <w:tc>
          <w:tcPr>
            <w:tcW w:w="925" w:type="dxa"/>
            <w:noWrap w:val="0"/>
            <w:vAlign w:val="center"/>
          </w:tcPr>
          <w:p w14:paraId="3D7BC315">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70%</w:t>
            </w:r>
          </w:p>
        </w:tc>
        <w:tc>
          <w:tcPr>
            <w:tcW w:w="854" w:type="dxa"/>
            <w:noWrap w:val="0"/>
            <w:vAlign w:val="center"/>
          </w:tcPr>
          <w:p w14:paraId="1EE56A4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i w:val="0"/>
                <w:iCs w:val="0"/>
                <w:snapToGrid w:val="0"/>
                <w:color w:val="000000"/>
                <w:kern w:val="0"/>
                <w:sz w:val="20"/>
                <w:szCs w:val="20"/>
                <w:u w:val="none"/>
                <w:lang w:val="en-US" w:eastAsia="zh-CN" w:bidi="ar"/>
              </w:rPr>
              <w:t>≥70%</w:t>
            </w:r>
          </w:p>
        </w:tc>
        <w:tc>
          <w:tcPr>
            <w:tcW w:w="660" w:type="dxa"/>
            <w:gridSpan w:val="2"/>
            <w:noWrap w:val="0"/>
            <w:vAlign w:val="center"/>
          </w:tcPr>
          <w:p w14:paraId="5D3EC47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62" w:type="dxa"/>
            <w:gridSpan w:val="2"/>
            <w:noWrap w:val="0"/>
            <w:vAlign w:val="center"/>
          </w:tcPr>
          <w:p w14:paraId="7EE8F7AE">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84" w:type="dxa"/>
            <w:gridSpan w:val="2"/>
            <w:noWrap w:val="0"/>
            <w:vAlign w:val="center"/>
          </w:tcPr>
          <w:p w14:paraId="57F65CD9">
            <w:pPr>
              <w:spacing w:line="240" w:lineRule="auto"/>
              <w:ind w:firstLine="0" w:firstLineChars="0"/>
              <w:jc w:val="center"/>
              <w:rPr>
                <w:rFonts w:hint="eastAsia" w:ascii="宋体" w:hAnsi="宋体" w:eastAsia="宋体" w:cs="宋体"/>
                <w:sz w:val="22"/>
                <w:szCs w:val="22"/>
              </w:rPr>
            </w:pPr>
          </w:p>
        </w:tc>
      </w:tr>
      <w:tr w14:paraId="54819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0" w:hRule="atLeast"/>
        </w:trPr>
        <w:tc>
          <w:tcPr>
            <w:tcW w:w="662" w:type="dxa"/>
            <w:vMerge w:val="continue"/>
            <w:noWrap w:val="0"/>
            <w:vAlign w:val="center"/>
          </w:tcPr>
          <w:p w14:paraId="0F9727D3">
            <w:pPr>
              <w:spacing w:line="240" w:lineRule="auto"/>
              <w:ind w:firstLine="0" w:firstLineChars="0"/>
              <w:jc w:val="center"/>
              <w:rPr>
                <w:rFonts w:hint="eastAsia" w:ascii="宋体" w:hAnsi="宋体" w:eastAsia="宋体" w:cs="宋体"/>
                <w:sz w:val="22"/>
                <w:szCs w:val="22"/>
              </w:rPr>
            </w:pPr>
          </w:p>
        </w:tc>
        <w:tc>
          <w:tcPr>
            <w:tcW w:w="784" w:type="dxa"/>
            <w:vMerge w:val="continue"/>
            <w:noWrap w:val="0"/>
            <w:vAlign w:val="center"/>
          </w:tcPr>
          <w:p w14:paraId="01BD86B1">
            <w:pPr>
              <w:spacing w:line="240" w:lineRule="auto"/>
              <w:ind w:firstLine="0" w:firstLineChars="0"/>
              <w:jc w:val="center"/>
              <w:rPr>
                <w:rFonts w:hint="eastAsia" w:ascii="宋体" w:hAnsi="宋体" w:eastAsia="宋体" w:cs="宋体"/>
                <w:sz w:val="22"/>
                <w:szCs w:val="22"/>
              </w:rPr>
            </w:pPr>
          </w:p>
        </w:tc>
        <w:tc>
          <w:tcPr>
            <w:tcW w:w="868" w:type="dxa"/>
            <w:vMerge w:val="continue"/>
            <w:noWrap w:val="0"/>
            <w:vAlign w:val="center"/>
          </w:tcPr>
          <w:p w14:paraId="7DA92281">
            <w:pPr>
              <w:spacing w:line="240" w:lineRule="auto"/>
              <w:ind w:firstLine="0" w:firstLineChars="0"/>
              <w:jc w:val="center"/>
              <w:rPr>
                <w:rFonts w:hint="eastAsia" w:ascii="宋体" w:hAnsi="宋体" w:eastAsia="宋体" w:cs="宋体"/>
                <w:sz w:val="22"/>
                <w:szCs w:val="22"/>
              </w:rPr>
            </w:pPr>
          </w:p>
        </w:tc>
        <w:tc>
          <w:tcPr>
            <w:tcW w:w="1520" w:type="dxa"/>
            <w:gridSpan w:val="3"/>
            <w:noWrap w:val="0"/>
            <w:vAlign w:val="top"/>
          </w:tcPr>
          <w:p w14:paraId="7EA71F29">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失能老年人健康指导率</w:t>
            </w:r>
          </w:p>
        </w:tc>
        <w:tc>
          <w:tcPr>
            <w:tcW w:w="925" w:type="dxa"/>
            <w:noWrap w:val="0"/>
            <w:vAlign w:val="center"/>
          </w:tcPr>
          <w:p w14:paraId="5798A0AF">
            <w:pPr>
              <w:keepNext w:val="0"/>
              <w:keepLines w:val="0"/>
              <w:widowControl/>
              <w:suppressLineNumbers w:val="0"/>
              <w:ind w:left="0" w:leftChars="0" w:firstLine="0" w:firstLineChars="0"/>
              <w:jc w:val="center"/>
              <w:textAlignment w:val="center"/>
              <w:rPr>
                <w:rFonts w:hint="default" w:ascii="宋体" w:hAnsi="宋体" w:eastAsia="宋体" w:cs="宋体"/>
                <w:sz w:val="22"/>
                <w:szCs w:val="22"/>
                <w:lang w:val="en-US"/>
              </w:rPr>
            </w:pPr>
            <w:r>
              <w:rPr>
                <w:rFonts w:hint="eastAsia" w:ascii="宋体" w:hAnsi="宋体" w:eastAsia="宋体" w:cs="宋体"/>
                <w:i w:val="0"/>
                <w:iCs w:val="0"/>
                <w:snapToGrid w:val="0"/>
                <w:color w:val="000000"/>
                <w:kern w:val="0"/>
                <w:sz w:val="20"/>
                <w:szCs w:val="20"/>
                <w:u w:val="none"/>
                <w:lang w:val="en-US" w:eastAsia="zh-CN" w:bidi="ar"/>
              </w:rPr>
              <w:t>100%</w:t>
            </w:r>
          </w:p>
        </w:tc>
        <w:tc>
          <w:tcPr>
            <w:tcW w:w="854" w:type="dxa"/>
            <w:noWrap w:val="0"/>
            <w:vAlign w:val="center"/>
          </w:tcPr>
          <w:p w14:paraId="39F987A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100%</w:t>
            </w:r>
          </w:p>
        </w:tc>
        <w:tc>
          <w:tcPr>
            <w:tcW w:w="660" w:type="dxa"/>
            <w:gridSpan w:val="2"/>
            <w:noWrap w:val="0"/>
            <w:vAlign w:val="center"/>
          </w:tcPr>
          <w:p w14:paraId="58B966B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62" w:type="dxa"/>
            <w:gridSpan w:val="2"/>
            <w:noWrap w:val="0"/>
            <w:vAlign w:val="center"/>
          </w:tcPr>
          <w:p w14:paraId="499C38E1">
            <w:pPr>
              <w:spacing w:line="240" w:lineRule="auto"/>
              <w:ind w:firstLine="0" w:firstLineChars="0"/>
              <w:jc w:val="center"/>
              <w:rPr>
                <w:rFonts w:hint="default" w:ascii="宋体" w:hAnsi="宋体" w:eastAsia="宋体" w:cs="宋体"/>
                <w:sz w:val="22"/>
                <w:szCs w:val="22"/>
                <w:lang w:val="en-US"/>
              </w:rPr>
            </w:pPr>
            <w:r>
              <w:rPr>
                <w:rFonts w:hint="eastAsia" w:ascii="宋体" w:hAnsi="宋体" w:eastAsia="宋体" w:cs="宋体"/>
                <w:sz w:val="22"/>
                <w:szCs w:val="22"/>
                <w:lang w:val="en-US" w:eastAsia="zh-CN"/>
              </w:rPr>
              <w:t>15</w:t>
            </w:r>
          </w:p>
        </w:tc>
        <w:tc>
          <w:tcPr>
            <w:tcW w:w="1684" w:type="dxa"/>
            <w:gridSpan w:val="2"/>
            <w:noWrap w:val="0"/>
            <w:vAlign w:val="center"/>
          </w:tcPr>
          <w:p w14:paraId="2F5E6DA9">
            <w:pPr>
              <w:spacing w:line="240" w:lineRule="auto"/>
              <w:ind w:firstLine="0" w:firstLineChars="0"/>
              <w:jc w:val="center"/>
              <w:rPr>
                <w:rFonts w:hint="eastAsia" w:ascii="宋体" w:hAnsi="宋体" w:eastAsia="宋体" w:cs="宋体"/>
                <w:sz w:val="22"/>
                <w:szCs w:val="22"/>
              </w:rPr>
            </w:pPr>
          </w:p>
        </w:tc>
      </w:tr>
      <w:tr w14:paraId="1D257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62" w:hRule="atLeast"/>
        </w:trPr>
        <w:tc>
          <w:tcPr>
            <w:tcW w:w="662" w:type="dxa"/>
            <w:vMerge w:val="continue"/>
            <w:noWrap w:val="0"/>
            <w:vAlign w:val="center"/>
          </w:tcPr>
          <w:p w14:paraId="1778CA73">
            <w:pPr>
              <w:spacing w:line="240" w:lineRule="auto"/>
              <w:ind w:firstLine="0" w:firstLineChars="0"/>
              <w:jc w:val="center"/>
              <w:rPr>
                <w:rFonts w:hint="eastAsia" w:ascii="宋体" w:hAnsi="宋体" w:eastAsia="宋体" w:cs="宋体"/>
                <w:sz w:val="22"/>
                <w:szCs w:val="22"/>
              </w:rPr>
            </w:pPr>
          </w:p>
        </w:tc>
        <w:tc>
          <w:tcPr>
            <w:tcW w:w="784" w:type="dxa"/>
            <w:vMerge w:val="continue"/>
            <w:noWrap w:val="0"/>
            <w:vAlign w:val="center"/>
          </w:tcPr>
          <w:p w14:paraId="49593EEB">
            <w:pPr>
              <w:spacing w:line="240" w:lineRule="auto"/>
              <w:ind w:firstLine="0" w:firstLineChars="0"/>
              <w:jc w:val="center"/>
              <w:rPr>
                <w:rFonts w:hint="eastAsia" w:ascii="宋体" w:hAnsi="宋体" w:eastAsia="宋体" w:cs="宋体"/>
                <w:sz w:val="22"/>
                <w:szCs w:val="22"/>
              </w:rPr>
            </w:pPr>
          </w:p>
        </w:tc>
        <w:tc>
          <w:tcPr>
            <w:tcW w:w="868" w:type="dxa"/>
            <w:vMerge w:val="restart"/>
            <w:noWrap w:val="0"/>
            <w:vAlign w:val="center"/>
          </w:tcPr>
          <w:p w14:paraId="0594828B">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381D4FE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520" w:type="dxa"/>
            <w:gridSpan w:val="3"/>
            <w:noWrap w:val="0"/>
            <w:vAlign w:val="top"/>
          </w:tcPr>
          <w:p w14:paraId="18752D9E">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65岁及以上老年人医养结合服务、失能老年人健康指导地市主动监测频次</w:t>
            </w:r>
          </w:p>
        </w:tc>
        <w:tc>
          <w:tcPr>
            <w:tcW w:w="925" w:type="dxa"/>
            <w:noWrap w:val="0"/>
            <w:vAlign w:val="center"/>
          </w:tcPr>
          <w:p w14:paraId="00090BF4">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季度监测</w:t>
            </w:r>
          </w:p>
        </w:tc>
        <w:tc>
          <w:tcPr>
            <w:tcW w:w="854" w:type="dxa"/>
            <w:noWrap w:val="0"/>
            <w:vAlign w:val="center"/>
          </w:tcPr>
          <w:p w14:paraId="7D7F6980">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季度监测</w:t>
            </w:r>
          </w:p>
        </w:tc>
        <w:tc>
          <w:tcPr>
            <w:tcW w:w="660" w:type="dxa"/>
            <w:gridSpan w:val="2"/>
            <w:noWrap w:val="0"/>
            <w:vAlign w:val="center"/>
          </w:tcPr>
          <w:p w14:paraId="4B3BBFB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2" w:type="dxa"/>
            <w:gridSpan w:val="2"/>
            <w:noWrap w:val="0"/>
            <w:vAlign w:val="center"/>
          </w:tcPr>
          <w:p w14:paraId="657A90C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84" w:type="dxa"/>
            <w:gridSpan w:val="2"/>
            <w:noWrap w:val="0"/>
            <w:vAlign w:val="center"/>
          </w:tcPr>
          <w:p w14:paraId="4D7C7D94">
            <w:pPr>
              <w:spacing w:line="240" w:lineRule="auto"/>
              <w:ind w:firstLine="0" w:firstLineChars="0"/>
              <w:jc w:val="center"/>
              <w:rPr>
                <w:rFonts w:hint="eastAsia" w:ascii="宋体" w:hAnsi="宋体" w:eastAsia="宋体" w:cs="宋体"/>
                <w:sz w:val="22"/>
                <w:szCs w:val="22"/>
              </w:rPr>
            </w:pPr>
          </w:p>
        </w:tc>
      </w:tr>
      <w:tr w14:paraId="640AA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trPr>
        <w:tc>
          <w:tcPr>
            <w:tcW w:w="662" w:type="dxa"/>
            <w:vMerge w:val="continue"/>
            <w:noWrap w:val="0"/>
            <w:vAlign w:val="center"/>
          </w:tcPr>
          <w:p w14:paraId="501876B0">
            <w:pPr>
              <w:spacing w:line="240" w:lineRule="auto"/>
              <w:ind w:firstLine="0" w:firstLineChars="0"/>
              <w:jc w:val="center"/>
              <w:rPr>
                <w:rFonts w:hint="eastAsia" w:ascii="宋体" w:hAnsi="宋体" w:eastAsia="宋体" w:cs="宋体"/>
                <w:sz w:val="22"/>
                <w:szCs w:val="22"/>
              </w:rPr>
            </w:pPr>
          </w:p>
        </w:tc>
        <w:tc>
          <w:tcPr>
            <w:tcW w:w="784" w:type="dxa"/>
            <w:vMerge w:val="continue"/>
            <w:noWrap w:val="0"/>
            <w:vAlign w:val="center"/>
          </w:tcPr>
          <w:p w14:paraId="12B0862D">
            <w:pPr>
              <w:spacing w:line="240" w:lineRule="auto"/>
              <w:ind w:firstLine="0" w:firstLineChars="0"/>
              <w:jc w:val="center"/>
              <w:rPr>
                <w:rFonts w:hint="eastAsia" w:ascii="宋体" w:hAnsi="宋体" w:eastAsia="宋体" w:cs="宋体"/>
                <w:sz w:val="22"/>
                <w:szCs w:val="22"/>
              </w:rPr>
            </w:pPr>
          </w:p>
        </w:tc>
        <w:tc>
          <w:tcPr>
            <w:tcW w:w="868" w:type="dxa"/>
            <w:vMerge w:val="continue"/>
            <w:noWrap w:val="0"/>
            <w:vAlign w:val="center"/>
          </w:tcPr>
          <w:p w14:paraId="452E55F9">
            <w:pPr>
              <w:spacing w:line="240" w:lineRule="auto"/>
              <w:ind w:firstLine="0" w:firstLineChars="0"/>
              <w:jc w:val="center"/>
              <w:rPr>
                <w:rFonts w:hint="eastAsia" w:ascii="宋体" w:hAnsi="宋体" w:eastAsia="宋体" w:cs="宋体"/>
                <w:spacing w:val="-3"/>
                <w:sz w:val="22"/>
                <w:szCs w:val="22"/>
              </w:rPr>
            </w:pPr>
          </w:p>
        </w:tc>
        <w:tc>
          <w:tcPr>
            <w:tcW w:w="1520" w:type="dxa"/>
            <w:gridSpan w:val="3"/>
            <w:noWrap w:val="0"/>
            <w:vAlign w:val="top"/>
          </w:tcPr>
          <w:p w14:paraId="3E177BB6">
            <w:pPr>
              <w:keepNext w:val="0"/>
              <w:keepLines w:val="0"/>
              <w:widowControl/>
              <w:suppressLineNumbers w:val="0"/>
              <w:ind w:left="0" w:leftChars="0" w:firstLine="0" w:firstLineChars="0"/>
              <w:jc w:val="center"/>
              <w:textAlignment w:val="top"/>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65岁及以上老年人医养结合服务、失能老年人健康指导地市主动监测上报频次</w:t>
            </w:r>
          </w:p>
        </w:tc>
        <w:tc>
          <w:tcPr>
            <w:tcW w:w="925" w:type="dxa"/>
            <w:noWrap w:val="0"/>
            <w:vAlign w:val="center"/>
          </w:tcPr>
          <w:p w14:paraId="1FA62AB9">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季度上报</w:t>
            </w:r>
          </w:p>
        </w:tc>
        <w:tc>
          <w:tcPr>
            <w:tcW w:w="854" w:type="dxa"/>
            <w:noWrap w:val="0"/>
            <w:vAlign w:val="center"/>
          </w:tcPr>
          <w:p w14:paraId="38F57518">
            <w:pPr>
              <w:keepNext w:val="0"/>
              <w:keepLines w:val="0"/>
              <w:widowControl/>
              <w:suppressLineNumbers w:val="0"/>
              <w:ind w:left="0" w:leftChars="0" w:firstLine="0" w:firstLineChars="0"/>
              <w:jc w:val="center"/>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季度上报</w:t>
            </w:r>
          </w:p>
        </w:tc>
        <w:tc>
          <w:tcPr>
            <w:tcW w:w="660" w:type="dxa"/>
            <w:gridSpan w:val="2"/>
            <w:noWrap w:val="0"/>
            <w:vAlign w:val="center"/>
          </w:tcPr>
          <w:p w14:paraId="43044D3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2" w:type="dxa"/>
            <w:gridSpan w:val="2"/>
            <w:noWrap w:val="0"/>
            <w:vAlign w:val="center"/>
          </w:tcPr>
          <w:p w14:paraId="3373280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684" w:type="dxa"/>
            <w:gridSpan w:val="2"/>
            <w:noWrap w:val="0"/>
            <w:vAlign w:val="center"/>
          </w:tcPr>
          <w:p w14:paraId="3FF81122">
            <w:pPr>
              <w:spacing w:line="240" w:lineRule="auto"/>
              <w:ind w:firstLine="0" w:firstLineChars="0"/>
              <w:jc w:val="center"/>
              <w:rPr>
                <w:rFonts w:hint="eastAsia" w:ascii="宋体" w:hAnsi="宋体" w:eastAsia="宋体" w:cs="宋体"/>
                <w:sz w:val="22"/>
                <w:szCs w:val="22"/>
              </w:rPr>
            </w:pPr>
          </w:p>
        </w:tc>
      </w:tr>
      <w:tr w14:paraId="71B82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1" w:hRule="atLeast"/>
        </w:trPr>
        <w:tc>
          <w:tcPr>
            <w:tcW w:w="662" w:type="dxa"/>
            <w:vMerge w:val="continue"/>
            <w:noWrap w:val="0"/>
            <w:vAlign w:val="center"/>
          </w:tcPr>
          <w:p w14:paraId="2BDF5909">
            <w:pPr>
              <w:spacing w:line="240" w:lineRule="auto"/>
              <w:ind w:firstLine="0" w:firstLineChars="0"/>
              <w:jc w:val="center"/>
              <w:rPr>
                <w:rFonts w:hint="eastAsia" w:ascii="宋体" w:hAnsi="宋体" w:eastAsia="宋体" w:cs="宋体"/>
                <w:sz w:val="22"/>
                <w:szCs w:val="22"/>
              </w:rPr>
            </w:pPr>
          </w:p>
        </w:tc>
        <w:tc>
          <w:tcPr>
            <w:tcW w:w="784" w:type="dxa"/>
            <w:vMerge w:val="continue"/>
            <w:noWrap w:val="0"/>
            <w:vAlign w:val="center"/>
          </w:tcPr>
          <w:p w14:paraId="5E649F39">
            <w:pPr>
              <w:spacing w:line="240" w:lineRule="auto"/>
              <w:ind w:firstLine="0" w:firstLineChars="0"/>
              <w:jc w:val="center"/>
              <w:rPr>
                <w:rFonts w:hint="eastAsia" w:ascii="宋体" w:hAnsi="宋体" w:eastAsia="宋体" w:cs="宋体"/>
                <w:sz w:val="22"/>
                <w:szCs w:val="22"/>
              </w:rPr>
            </w:pPr>
          </w:p>
        </w:tc>
        <w:tc>
          <w:tcPr>
            <w:tcW w:w="868" w:type="dxa"/>
            <w:noWrap w:val="0"/>
            <w:vAlign w:val="center"/>
          </w:tcPr>
          <w:p w14:paraId="0A5BE5C3">
            <w:pPr>
              <w:spacing w:line="240" w:lineRule="auto"/>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58970A7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520" w:type="dxa"/>
            <w:gridSpan w:val="3"/>
            <w:noWrap w:val="0"/>
            <w:vAlign w:val="top"/>
          </w:tcPr>
          <w:p w14:paraId="065DFCB5">
            <w:pPr>
              <w:keepNext w:val="0"/>
              <w:keepLines w:val="0"/>
              <w:widowControl/>
              <w:suppressLineNumbers w:val="0"/>
              <w:ind w:left="0" w:leftChars="0" w:firstLine="0" w:firstLineChars="0"/>
              <w:jc w:val="center"/>
              <w:textAlignment w:val="top"/>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录入信息并上报项目工作进展</w:t>
            </w:r>
          </w:p>
        </w:tc>
        <w:tc>
          <w:tcPr>
            <w:tcW w:w="925" w:type="dxa"/>
            <w:noWrap w:val="0"/>
            <w:vAlign w:val="center"/>
          </w:tcPr>
          <w:p w14:paraId="1A7706D1">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及时录入信息，每季度报进展</w:t>
            </w:r>
          </w:p>
        </w:tc>
        <w:tc>
          <w:tcPr>
            <w:tcW w:w="854" w:type="dxa"/>
            <w:noWrap w:val="0"/>
            <w:vAlign w:val="center"/>
          </w:tcPr>
          <w:p w14:paraId="7447FBB5">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及时录入信息，每季度报进展</w:t>
            </w:r>
          </w:p>
        </w:tc>
        <w:tc>
          <w:tcPr>
            <w:tcW w:w="660" w:type="dxa"/>
            <w:gridSpan w:val="2"/>
            <w:noWrap w:val="0"/>
            <w:vAlign w:val="center"/>
          </w:tcPr>
          <w:p w14:paraId="7BB8ACC1">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2" w:type="dxa"/>
            <w:gridSpan w:val="2"/>
            <w:noWrap w:val="0"/>
            <w:vAlign w:val="center"/>
          </w:tcPr>
          <w:p w14:paraId="5B1E2F5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84" w:type="dxa"/>
            <w:gridSpan w:val="2"/>
            <w:noWrap w:val="0"/>
            <w:vAlign w:val="center"/>
          </w:tcPr>
          <w:p w14:paraId="70223A69">
            <w:pPr>
              <w:spacing w:line="240" w:lineRule="auto"/>
              <w:ind w:firstLine="0" w:firstLineChars="0"/>
              <w:jc w:val="center"/>
              <w:rPr>
                <w:rFonts w:hint="eastAsia" w:ascii="宋体" w:hAnsi="宋体" w:eastAsia="宋体" w:cs="宋体"/>
                <w:sz w:val="22"/>
                <w:szCs w:val="22"/>
              </w:rPr>
            </w:pPr>
          </w:p>
        </w:tc>
      </w:tr>
      <w:tr w14:paraId="38C3F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1" w:hRule="atLeast"/>
        </w:trPr>
        <w:tc>
          <w:tcPr>
            <w:tcW w:w="662" w:type="dxa"/>
            <w:vMerge w:val="continue"/>
            <w:noWrap w:val="0"/>
            <w:textDirection w:val="tbRlV"/>
            <w:vAlign w:val="center"/>
          </w:tcPr>
          <w:p w14:paraId="02876175">
            <w:pPr>
              <w:spacing w:line="240" w:lineRule="auto"/>
              <w:ind w:firstLine="0" w:firstLineChars="0"/>
              <w:jc w:val="center"/>
              <w:rPr>
                <w:rFonts w:hint="eastAsia" w:ascii="宋体" w:hAnsi="宋体" w:eastAsia="宋体" w:cs="宋体"/>
                <w:sz w:val="22"/>
                <w:szCs w:val="22"/>
              </w:rPr>
            </w:pPr>
          </w:p>
        </w:tc>
        <w:tc>
          <w:tcPr>
            <w:tcW w:w="784" w:type="dxa"/>
            <w:vMerge w:val="restart"/>
            <w:noWrap w:val="0"/>
            <w:vAlign w:val="center"/>
          </w:tcPr>
          <w:p w14:paraId="36EB9FF4">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5918538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68" w:type="dxa"/>
            <w:noWrap w:val="0"/>
            <w:vAlign w:val="center"/>
          </w:tcPr>
          <w:p w14:paraId="1EAEBEB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520" w:type="dxa"/>
            <w:gridSpan w:val="3"/>
            <w:noWrap w:val="0"/>
            <w:vAlign w:val="center"/>
          </w:tcPr>
          <w:p w14:paraId="1F87D291">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提高老年人生活质量和健康水平，改善失能老年人的生活质量。</w:t>
            </w:r>
          </w:p>
        </w:tc>
        <w:tc>
          <w:tcPr>
            <w:tcW w:w="925" w:type="dxa"/>
            <w:noWrap w:val="0"/>
            <w:vAlign w:val="center"/>
          </w:tcPr>
          <w:p w14:paraId="265E0013">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854" w:type="dxa"/>
            <w:noWrap w:val="0"/>
            <w:vAlign w:val="center"/>
          </w:tcPr>
          <w:p w14:paraId="05B2BCC0">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660" w:type="dxa"/>
            <w:gridSpan w:val="2"/>
            <w:noWrap w:val="0"/>
            <w:vAlign w:val="center"/>
          </w:tcPr>
          <w:p w14:paraId="6B17896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2" w:type="dxa"/>
            <w:gridSpan w:val="2"/>
            <w:noWrap w:val="0"/>
            <w:vAlign w:val="center"/>
          </w:tcPr>
          <w:p w14:paraId="736B506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84" w:type="dxa"/>
            <w:gridSpan w:val="2"/>
            <w:noWrap w:val="0"/>
            <w:vAlign w:val="center"/>
          </w:tcPr>
          <w:p w14:paraId="44AAF9BA">
            <w:pPr>
              <w:spacing w:line="240" w:lineRule="auto"/>
              <w:ind w:firstLine="0" w:firstLineChars="0"/>
              <w:jc w:val="center"/>
              <w:rPr>
                <w:rFonts w:hint="eastAsia" w:ascii="宋体" w:hAnsi="宋体" w:eastAsia="宋体" w:cs="宋体"/>
                <w:sz w:val="22"/>
                <w:szCs w:val="22"/>
              </w:rPr>
            </w:pPr>
          </w:p>
        </w:tc>
      </w:tr>
      <w:tr w14:paraId="79B9A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0" w:hRule="atLeast"/>
        </w:trPr>
        <w:tc>
          <w:tcPr>
            <w:tcW w:w="662" w:type="dxa"/>
            <w:vMerge w:val="continue"/>
            <w:noWrap w:val="0"/>
            <w:textDirection w:val="tbRlV"/>
            <w:vAlign w:val="center"/>
          </w:tcPr>
          <w:p w14:paraId="2652BD35">
            <w:pPr>
              <w:spacing w:line="240" w:lineRule="auto"/>
              <w:ind w:firstLine="0" w:firstLineChars="0"/>
              <w:jc w:val="center"/>
              <w:rPr>
                <w:rFonts w:hint="eastAsia" w:ascii="宋体" w:hAnsi="宋体" w:eastAsia="宋体" w:cs="宋体"/>
                <w:sz w:val="22"/>
                <w:szCs w:val="22"/>
              </w:rPr>
            </w:pPr>
          </w:p>
        </w:tc>
        <w:tc>
          <w:tcPr>
            <w:tcW w:w="784" w:type="dxa"/>
            <w:vMerge w:val="continue"/>
            <w:noWrap w:val="0"/>
            <w:vAlign w:val="center"/>
          </w:tcPr>
          <w:p w14:paraId="16ECD271">
            <w:pPr>
              <w:spacing w:line="240" w:lineRule="auto"/>
              <w:ind w:firstLine="0" w:firstLineChars="0"/>
              <w:jc w:val="center"/>
              <w:rPr>
                <w:rFonts w:hint="eastAsia" w:ascii="宋体" w:hAnsi="宋体" w:eastAsia="宋体" w:cs="宋体"/>
                <w:sz w:val="22"/>
                <w:szCs w:val="22"/>
              </w:rPr>
            </w:pPr>
          </w:p>
        </w:tc>
        <w:tc>
          <w:tcPr>
            <w:tcW w:w="868" w:type="dxa"/>
            <w:noWrap w:val="0"/>
            <w:vAlign w:val="center"/>
          </w:tcPr>
          <w:p w14:paraId="66B837D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520" w:type="dxa"/>
            <w:gridSpan w:val="3"/>
            <w:noWrap w:val="0"/>
            <w:vAlign w:val="center"/>
          </w:tcPr>
          <w:p w14:paraId="17E8121D">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推动老年人健康服务体系逐步完善。</w:t>
            </w:r>
          </w:p>
        </w:tc>
        <w:tc>
          <w:tcPr>
            <w:tcW w:w="925" w:type="dxa"/>
            <w:noWrap w:val="0"/>
            <w:vAlign w:val="center"/>
          </w:tcPr>
          <w:p w14:paraId="6138EFBB">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854" w:type="dxa"/>
            <w:noWrap w:val="0"/>
            <w:vAlign w:val="center"/>
          </w:tcPr>
          <w:p w14:paraId="42AF0E3B">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中长期</w:t>
            </w:r>
          </w:p>
        </w:tc>
        <w:tc>
          <w:tcPr>
            <w:tcW w:w="660" w:type="dxa"/>
            <w:gridSpan w:val="2"/>
            <w:noWrap w:val="0"/>
            <w:vAlign w:val="center"/>
          </w:tcPr>
          <w:p w14:paraId="3A40FFB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2" w:type="dxa"/>
            <w:gridSpan w:val="2"/>
            <w:noWrap w:val="0"/>
            <w:vAlign w:val="center"/>
          </w:tcPr>
          <w:p w14:paraId="2010D71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84" w:type="dxa"/>
            <w:gridSpan w:val="2"/>
            <w:noWrap w:val="0"/>
            <w:vAlign w:val="center"/>
          </w:tcPr>
          <w:p w14:paraId="318F3731">
            <w:pPr>
              <w:spacing w:line="240" w:lineRule="auto"/>
              <w:ind w:firstLine="0" w:firstLineChars="0"/>
              <w:jc w:val="center"/>
              <w:rPr>
                <w:rFonts w:hint="eastAsia" w:ascii="宋体" w:hAnsi="宋体" w:eastAsia="宋体" w:cs="宋体"/>
                <w:sz w:val="22"/>
                <w:szCs w:val="22"/>
              </w:rPr>
            </w:pPr>
          </w:p>
        </w:tc>
      </w:tr>
      <w:tr w14:paraId="16B07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0" w:hRule="atLeast"/>
        </w:trPr>
        <w:tc>
          <w:tcPr>
            <w:tcW w:w="662" w:type="dxa"/>
            <w:vMerge w:val="continue"/>
            <w:noWrap w:val="0"/>
            <w:vAlign w:val="center"/>
          </w:tcPr>
          <w:p w14:paraId="6C474BF0">
            <w:pPr>
              <w:spacing w:line="240" w:lineRule="auto"/>
              <w:ind w:firstLine="0" w:firstLineChars="0"/>
              <w:jc w:val="center"/>
              <w:rPr>
                <w:rFonts w:hint="eastAsia" w:ascii="宋体" w:hAnsi="宋体" w:eastAsia="宋体" w:cs="宋体"/>
                <w:sz w:val="22"/>
                <w:szCs w:val="22"/>
              </w:rPr>
            </w:pPr>
          </w:p>
        </w:tc>
        <w:tc>
          <w:tcPr>
            <w:tcW w:w="784" w:type="dxa"/>
            <w:noWrap w:val="0"/>
            <w:vAlign w:val="center"/>
          </w:tcPr>
          <w:p w14:paraId="2D5514A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68" w:type="dxa"/>
            <w:noWrap w:val="0"/>
            <w:vAlign w:val="center"/>
          </w:tcPr>
          <w:p w14:paraId="0D569AC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指</w:t>
            </w:r>
            <w:r>
              <w:rPr>
                <w:rFonts w:hint="eastAsia" w:ascii="宋体" w:hAnsi="宋体" w:eastAsia="宋体" w:cs="宋体"/>
                <w:spacing w:val="-3"/>
                <w:sz w:val="22"/>
                <w:szCs w:val="22"/>
                <w:lang w:eastAsia="zh-CN"/>
              </w:rPr>
              <w:t xml:space="preserve">  </w:t>
            </w:r>
            <w:r>
              <w:rPr>
                <w:rFonts w:hint="eastAsia" w:ascii="宋体" w:hAnsi="宋体" w:eastAsia="宋体" w:cs="宋体"/>
                <w:sz w:val="22"/>
                <w:szCs w:val="22"/>
              </w:rPr>
              <w:t>标</w:t>
            </w:r>
          </w:p>
        </w:tc>
        <w:tc>
          <w:tcPr>
            <w:tcW w:w="1520" w:type="dxa"/>
            <w:gridSpan w:val="3"/>
            <w:noWrap w:val="0"/>
            <w:vAlign w:val="center"/>
          </w:tcPr>
          <w:p w14:paraId="753FE765">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服务对象满意度</w:t>
            </w:r>
          </w:p>
        </w:tc>
        <w:tc>
          <w:tcPr>
            <w:tcW w:w="925" w:type="dxa"/>
            <w:noWrap w:val="0"/>
            <w:vAlign w:val="center"/>
          </w:tcPr>
          <w:p w14:paraId="41E6B01E">
            <w:pPr>
              <w:keepNext w:val="0"/>
              <w:keepLines w:val="0"/>
              <w:widowControl/>
              <w:suppressLineNumbers w:val="0"/>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≥80%</w:t>
            </w:r>
          </w:p>
        </w:tc>
        <w:tc>
          <w:tcPr>
            <w:tcW w:w="854" w:type="dxa"/>
            <w:noWrap w:val="0"/>
            <w:vAlign w:val="center"/>
          </w:tcPr>
          <w:p w14:paraId="574F0F24">
            <w:pPr>
              <w:keepNext w:val="0"/>
              <w:keepLines w:val="0"/>
              <w:widowControl/>
              <w:suppressLineNumbers w:val="0"/>
              <w:ind w:left="0" w:leftChars="0" w:firstLine="0" w:firstLineChars="0"/>
              <w:jc w:val="both"/>
              <w:textAlignment w:val="center"/>
              <w:rPr>
                <w:rFonts w:hint="eastAsia" w:ascii="宋体" w:hAnsi="宋体" w:eastAsia="宋体" w:cs="宋体"/>
                <w:sz w:val="22"/>
                <w:szCs w:val="22"/>
              </w:rPr>
            </w:pPr>
            <w:r>
              <w:rPr>
                <w:rFonts w:hint="eastAsia" w:ascii="宋体" w:hAnsi="宋体" w:eastAsia="宋体" w:cs="宋体"/>
                <w:i w:val="0"/>
                <w:iCs w:val="0"/>
                <w:snapToGrid w:val="0"/>
                <w:color w:val="000000"/>
                <w:kern w:val="0"/>
                <w:sz w:val="20"/>
                <w:szCs w:val="20"/>
                <w:u w:val="none"/>
                <w:lang w:val="en-US" w:eastAsia="zh-CN" w:bidi="ar"/>
              </w:rPr>
              <w:t>≥80%</w:t>
            </w:r>
          </w:p>
        </w:tc>
        <w:tc>
          <w:tcPr>
            <w:tcW w:w="660" w:type="dxa"/>
            <w:gridSpan w:val="2"/>
            <w:noWrap w:val="0"/>
            <w:vAlign w:val="center"/>
          </w:tcPr>
          <w:p w14:paraId="56021C3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62" w:type="dxa"/>
            <w:gridSpan w:val="2"/>
            <w:noWrap w:val="0"/>
            <w:vAlign w:val="center"/>
          </w:tcPr>
          <w:p w14:paraId="77477CB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84" w:type="dxa"/>
            <w:gridSpan w:val="2"/>
            <w:noWrap w:val="0"/>
            <w:vAlign w:val="center"/>
          </w:tcPr>
          <w:p w14:paraId="338E0028">
            <w:pPr>
              <w:spacing w:line="240" w:lineRule="auto"/>
              <w:ind w:firstLine="0" w:firstLineChars="0"/>
              <w:jc w:val="center"/>
              <w:rPr>
                <w:rFonts w:hint="eastAsia" w:ascii="宋体" w:hAnsi="宋体" w:eastAsia="宋体" w:cs="宋体"/>
                <w:sz w:val="22"/>
                <w:szCs w:val="22"/>
              </w:rPr>
            </w:pPr>
          </w:p>
        </w:tc>
      </w:tr>
      <w:tr w14:paraId="7CD4B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5613" w:type="dxa"/>
            <w:gridSpan w:val="8"/>
            <w:noWrap w:val="0"/>
            <w:vAlign w:val="center"/>
          </w:tcPr>
          <w:p w14:paraId="6A6DDD4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60" w:type="dxa"/>
            <w:gridSpan w:val="2"/>
            <w:noWrap w:val="0"/>
            <w:vAlign w:val="center"/>
          </w:tcPr>
          <w:p w14:paraId="45F6C95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62" w:type="dxa"/>
            <w:gridSpan w:val="2"/>
            <w:noWrap w:val="0"/>
            <w:vAlign w:val="center"/>
          </w:tcPr>
          <w:p w14:paraId="2A46C4A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684" w:type="dxa"/>
            <w:gridSpan w:val="2"/>
            <w:noWrap w:val="0"/>
            <w:vAlign w:val="center"/>
          </w:tcPr>
          <w:p w14:paraId="2655D7F6">
            <w:pPr>
              <w:spacing w:line="240" w:lineRule="auto"/>
              <w:ind w:firstLine="0" w:firstLineChars="0"/>
              <w:jc w:val="center"/>
              <w:rPr>
                <w:rFonts w:hint="eastAsia" w:ascii="宋体" w:hAnsi="宋体" w:eastAsia="宋体" w:cs="宋体"/>
                <w:sz w:val="22"/>
                <w:szCs w:val="22"/>
              </w:rPr>
            </w:pPr>
          </w:p>
        </w:tc>
      </w:tr>
      <w:tr w14:paraId="06F91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trPr>
        <w:tc>
          <w:tcPr>
            <w:tcW w:w="662" w:type="dxa"/>
            <w:noWrap w:val="0"/>
            <w:vAlign w:val="center"/>
          </w:tcPr>
          <w:p w14:paraId="47C16DD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8057" w:type="dxa"/>
            <w:gridSpan w:val="13"/>
            <w:noWrap w:val="0"/>
            <w:vAlign w:val="center"/>
          </w:tcPr>
          <w:p w14:paraId="25EE360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无</w:t>
            </w:r>
          </w:p>
        </w:tc>
      </w:tr>
    </w:tbl>
    <w:p w14:paraId="73D14B54">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2D87EAE4">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169AC3DB">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4A8FD17B">
      <w:pPr>
        <w:ind w:firstLine="432"/>
        <w:rPr>
          <w:rFonts w:ascii="宋体" w:hAnsi="宋体" w:eastAsia="宋体" w:cs="宋体"/>
          <w:spacing w:val="-2"/>
          <w:sz w:val="22"/>
          <w:szCs w:val="22"/>
        </w:rPr>
      </w:pPr>
    </w:p>
    <w:tbl>
      <w:tblPr>
        <w:tblStyle w:val="15"/>
        <w:tblW w:w="88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0"/>
        <w:gridCol w:w="283"/>
        <w:gridCol w:w="332"/>
        <w:gridCol w:w="145"/>
        <w:gridCol w:w="573"/>
        <w:gridCol w:w="109"/>
        <w:gridCol w:w="532"/>
        <w:gridCol w:w="831"/>
        <w:gridCol w:w="4"/>
        <w:gridCol w:w="106"/>
        <w:gridCol w:w="573"/>
        <w:gridCol w:w="187"/>
        <w:gridCol w:w="291"/>
        <w:gridCol w:w="653"/>
        <w:gridCol w:w="415"/>
        <w:gridCol w:w="428"/>
        <w:gridCol w:w="466"/>
        <w:gridCol w:w="369"/>
        <w:gridCol w:w="223"/>
        <w:gridCol w:w="77"/>
        <w:gridCol w:w="122"/>
        <w:gridCol w:w="468"/>
        <w:gridCol w:w="569"/>
        <w:gridCol w:w="114"/>
        <w:gridCol w:w="445"/>
      </w:tblGrid>
      <w:tr w14:paraId="7794C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8266" w:type="dxa"/>
            <w:gridSpan w:val="23"/>
            <w:tcBorders>
              <w:top w:val="nil"/>
              <w:left w:val="nil"/>
              <w:bottom w:val="nil"/>
              <w:right w:val="nil"/>
            </w:tcBorders>
            <w:shd w:val="clear" w:color="auto" w:fill="auto"/>
            <w:vAlign w:val="center"/>
          </w:tcPr>
          <w:p w14:paraId="768F23EC">
            <w:pPr>
              <w:spacing w:before="111" w:line="560" w:lineRule="exact"/>
              <w:ind w:firstLine="0" w:firstLineChars="0"/>
              <w:outlineLvl w:val="1"/>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b/>
                <w:bCs/>
                <w:lang w:val="en-US" w:eastAsia="zh-CN"/>
              </w:rPr>
              <w:t>附件14</w:t>
            </w:r>
          </w:p>
          <w:p w14:paraId="1D6BA9F9">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预算项目支出绩效自评表</w:t>
            </w:r>
            <w:r>
              <w:rPr>
                <w:rFonts w:hint="eastAsia" w:ascii="宋体" w:hAnsi="宋体" w:eastAsia="宋体" w:cs="宋体"/>
                <w:i w:val="0"/>
                <w:iCs w:val="0"/>
                <w:color w:val="000000"/>
                <w:kern w:val="0"/>
                <w:sz w:val="36"/>
                <w:szCs w:val="36"/>
                <w:u w:val="none"/>
                <w:lang w:val="en-US" w:eastAsia="zh-CN" w:bidi="ar"/>
              </w:rPr>
              <w:br w:type="textWrapping"/>
            </w:r>
            <w:r>
              <w:rPr>
                <w:rFonts w:hint="eastAsia" w:ascii="宋体" w:hAnsi="宋体" w:eastAsia="宋体" w:cs="宋体"/>
                <w:i w:val="0"/>
                <w:iCs w:val="0"/>
                <w:color w:val="000000"/>
                <w:kern w:val="0"/>
                <w:sz w:val="36"/>
                <w:szCs w:val="36"/>
                <w:u w:val="none"/>
                <w:lang w:val="en-US" w:eastAsia="zh-CN" w:bidi="ar"/>
              </w:rPr>
              <w:t>（2023年度）</w:t>
            </w:r>
          </w:p>
        </w:tc>
      </w:tr>
      <w:tr w14:paraId="4A006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12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7F44192">
            <w:pPr>
              <w:keepNext w:val="0"/>
              <w:keepLines w:val="0"/>
              <w:widowControl/>
              <w:suppressLineNumbers w:val="0"/>
              <w:ind w:left="0" w:leftChars="0" w:firstLine="0" w:firstLineChars="0"/>
              <w:jc w:val="both"/>
              <w:textAlignment w:val="center"/>
              <w:rPr>
                <w:rFonts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项目名称</w:t>
            </w:r>
          </w:p>
        </w:tc>
        <w:tc>
          <w:tcPr>
            <w:tcW w:w="6996"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72C285B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爱国卫生与健康教育</w:t>
            </w:r>
          </w:p>
        </w:tc>
      </w:tr>
      <w:tr w14:paraId="0CA99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12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197DA2">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主管部门</w:t>
            </w:r>
          </w:p>
        </w:tc>
        <w:tc>
          <w:tcPr>
            <w:tcW w:w="6996"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087D3E06">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兰州新区卫生健康委员会</w:t>
            </w:r>
          </w:p>
        </w:tc>
      </w:tr>
      <w:tr w14:paraId="073F1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127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18DEE2">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资金情况</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（万元）</w:t>
            </w:r>
          </w:p>
        </w:tc>
        <w:tc>
          <w:tcPr>
            <w:tcW w:w="1214" w:type="dxa"/>
            <w:gridSpan w:val="3"/>
            <w:tcBorders>
              <w:top w:val="nil"/>
              <w:left w:val="single" w:color="000000" w:sz="4" w:space="0"/>
              <w:bottom w:val="single" w:color="000000" w:sz="4" w:space="0"/>
              <w:right w:val="single" w:color="000000" w:sz="4" w:space="0"/>
            </w:tcBorders>
            <w:shd w:val="clear" w:color="auto" w:fill="auto"/>
            <w:vAlign w:val="center"/>
          </w:tcPr>
          <w:p w14:paraId="3D221626">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iCs w:val="0"/>
                <w:color w:val="000000"/>
                <w:sz w:val="21"/>
                <w:szCs w:val="21"/>
                <w:u w:val="none"/>
              </w:rPr>
            </w:pPr>
          </w:p>
        </w:tc>
        <w:tc>
          <w:tcPr>
            <w:tcW w:w="941" w:type="dxa"/>
            <w:gridSpan w:val="3"/>
            <w:tcBorders>
              <w:top w:val="nil"/>
              <w:left w:val="single" w:color="000000" w:sz="4" w:space="0"/>
              <w:bottom w:val="single" w:color="000000" w:sz="4" w:space="0"/>
              <w:right w:val="single" w:color="000000" w:sz="4" w:space="0"/>
            </w:tcBorders>
            <w:shd w:val="clear" w:color="auto" w:fill="auto"/>
            <w:vAlign w:val="center"/>
          </w:tcPr>
          <w:p w14:paraId="117AE38D">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1051" w:type="dxa"/>
            <w:gridSpan w:val="3"/>
            <w:tcBorders>
              <w:top w:val="nil"/>
              <w:left w:val="single" w:color="000000" w:sz="4" w:space="0"/>
              <w:bottom w:val="single" w:color="000000" w:sz="4" w:space="0"/>
              <w:right w:val="single" w:color="000000" w:sz="4" w:space="0"/>
            </w:tcBorders>
            <w:shd w:val="clear" w:color="auto" w:fill="auto"/>
            <w:vAlign w:val="center"/>
          </w:tcPr>
          <w:p w14:paraId="17C8503C">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全年预算数</w:t>
            </w:r>
          </w:p>
        </w:tc>
        <w:tc>
          <w:tcPr>
            <w:tcW w:w="1496" w:type="dxa"/>
            <w:gridSpan w:val="3"/>
            <w:tcBorders>
              <w:top w:val="nil"/>
              <w:left w:val="single" w:color="000000" w:sz="4" w:space="0"/>
              <w:bottom w:val="single" w:color="000000" w:sz="4" w:space="0"/>
              <w:right w:val="nil"/>
            </w:tcBorders>
            <w:shd w:val="clear" w:color="auto" w:fill="auto"/>
            <w:vAlign w:val="center"/>
          </w:tcPr>
          <w:p w14:paraId="6618E745">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全年执行数</w:t>
            </w:r>
          </w:p>
        </w:tc>
        <w:tc>
          <w:tcPr>
            <w:tcW w:w="1058" w:type="dxa"/>
            <w:gridSpan w:val="3"/>
            <w:tcBorders>
              <w:top w:val="nil"/>
              <w:left w:val="single" w:color="000000" w:sz="4" w:space="0"/>
              <w:bottom w:val="single" w:color="000000" w:sz="4" w:space="0"/>
              <w:right w:val="single" w:color="000000" w:sz="4" w:space="0"/>
            </w:tcBorders>
            <w:shd w:val="clear" w:color="auto" w:fill="auto"/>
            <w:vAlign w:val="center"/>
          </w:tcPr>
          <w:p w14:paraId="26DD67AA">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分值</w:t>
            </w:r>
          </w:p>
        </w:tc>
        <w:tc>
          <w:tcPr>
            <w:tcW w:w="667" w:type="dxa"/>
            <w:gridSpan w:val="3"/>
            <w:tcBorders>
              <w:top w:val="nil"/>
              <w:left w:val="single" w:color="000000" w:sz="4" w:space="0"/>
              <w:bottom w:val="single" w:color="000000" w:sz="4" w:space="0"/>
              <w:right w:val="single" w:color="000000" w:sz="4" w:space="0"/>
            </w:tcBorders>
            <w:shd w:val="clear" w:color="auto" w:fill="auto"/>
            <w:vAlign w:val="center"/>
          </w:tcPr>
          <w:p w14:paraId="06D7E8F5">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执行率</w:t>
            </w:r>
          </w:p>
        </w:tc>
        <w:tc>
          <w:tcPr>
            <w:tcW w:w="569" w:type="dxa"/>
            <w:tcBorders>
              <w:top w:val="nil"/>
              <w:left w:val="single" w:color="000000" w:sz="4" w:space="0"/>
              <w:bottom w:val="single" w:color="000000" w:sz="4" w:space="0"/>
              <w:right w:val="single" w:color="000000" w:sz="4" w:space="0"/>
            </w:tcBorders>
            <w:shd w:val="clear" w:color="auto" w:fill="auto"/>
            <w:vAlign w:val="center"/>
          </w:tcPr>
          <w:p w14:paraId="3BB86C17">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得分</w:t>
            </w:r>
          </w:p>
        </w:tc>
      </w:tr>
      <w:tr w14:paraId="2F7D0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127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849248">
            <w:pPr>
              <w:jc w:val="center"/>
              <w:rPr>
                <w:rFonts w:hint="eastAsia" w:ascii="仿宋_GB2312" w:hAnsi="宋体" w:eastAsia="仿宋_GB2312" w:cs="仿宋_GB2312"/>
                <w:i w:val="0"/>
                <w:iCs w:val="0"/>
                <w:color w:val="000000"/>
                <w:sz w:val="21"/>
                <w:szCs w:val="21"/>
                <w:u w:val="none"/>
              </w:rPr>
            </w:pPr>
          </w:p>
        </w:tc>
        <w:tc>
          <w:tcPr>
            <w:tcW w:w="12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B584ED">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年度资金总额：</w:t>
            </w:r>
          </w:p>
        </w:tc>
        <w:tc>
          <w:tcPr>
            <w:tcW w:w="941" w:type="dxa"/>
            <w:gridSpan w:val="3"/>
            <w:tcBorders>
              <w:top w:val="nil"/>
              <w:left w:val="single" w:color="000000" w:sz="4" w:space="0"/>
              <w:bottom w:val="single" w:color="000000" w:sz="4" w:space="0"/>
              <w:right w:val="single" w:color="000000" w:sz="4" w:space="0"/>
            </w:tcBorders>
            <w:shd w:val="clear" w:color="auto" w:fill="auto"/>
            <w:vAlign w:val="center"/>
          </w:tcPr>
          <w:p w14:paraId="3BF0E771">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051" w:type="dxa"/>
            <w:gridSpan w:val="3"/>
            <w:tcBorders>
              <w:top w:val="nil"/>
              <w:left w:val="single" w:color="000000" w:sz="4" w:space="0"/>
              <w:bottom w:val="single" w:color="000000" w:sz="4" w:space="0"/>
              <w:right w:val="single" w:color="000000" w:sz="4" w:space="0"/>
            </w:tcBorders>
            <w:shd w:val="clear" w:color="auto" w:fill="auto"/>
            <w:vAlign w:val="center"/>
          </w:tcPr>
          <w:p w14:paraId="414D2233">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96" w:type="dxa"/>
            <w:gridSpan w:val="3"/>
            <w:tcBorders>
              <w:top w:val="single" w:color="000000" w:sz="4" w:space="0"/>
              <w:left w:val="single" w:color="000000" w:sz="4" w:space="0"/>
              <w:bottom w:val="single" w:color="000000" w:sz="4" w:space="0"/>
              <w:right w:val="nil"/>
            </w:tcBorders>
            <w:shd w:val="clear" w:color="auto" w:fill="auto"/>
            <w:noWrap/>
            <w:vAlign w:val="center"/>
          </w:tcPr>
          <w:p w14:paraId="1A9EDB9F">
            <w:pPr>
              <w:keepNext w:val="0"/>
              <w:keepLines w:val="0"/>
              <w:pageBreakBefore w:val="0"/>
              <w:widowControl/>
              <w:suppressLineNumbers w:val="0"/>
              <w:kinsoku/>
              <w:wordWrap/>
              <w:overflowPunct/>
              <w:topLinePunct w:val="0"/>
              <w:autoSpaceDE/>
              <w:autoSpaceDN/>
              <w:bidi w:val="0"/>
              <w:adjustRightInd/>
              <w:snapToGrid/>
              <w:spacing w:line="26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9.94</w:t>
            </w:r>
          </w:p>
        </w:tc>
        <w:tc>
          <w:tcPr>
            <w:tcW w:w="10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00F67">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6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A6E68">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C2467">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14:paraId="52519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1471" w:hRule="atLeast"/>
        </w:trPr>
        <w:tc>
          <w:tcPr>
            <w:tcW w:w="127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07AFC">
            <w:pPr>
              <w:jc w:val="center"/>
              <w:rPr>
                <w:rFonts w:hint="eastAsia" w:ascii="仿宋_GB2312" w:hAnsi="宋体" w:eastAsia="仿宋_GB2312" w:cs="仿宋_GB2312"/>
                <w:i w:val="0"/>
                <w:iCs w:val="0"/>
                <w:color w:val="000000"/>
                <w:sz w:val="21"/>
                <w:szCs w:val="21"/>
                <w:u w:val="none"/>
              </w:rPr>
            </w:pPr>
          </w:p>
        </w:tc>
        <w:tc>
          <w:tcPr>
            <w:tcW w:w="12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5452E0">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其中：本年预算拨款</w:t>
            </w:r>
          </w:p>
        </w:tc>
        <w:tc>
          <w:tcPr>
            <w:tcW w:w="9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FAD665">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0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F7A094">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96" w:type="dxa"/>
            <w:gridSpan w:val="3"/>
            <w:tcBorders>
              <w:top w:val="single" w:color="000000" w:sz="4" w:space="0"/>
              <w:left w:val="single" w:color="000000" w:sz="4" w:space="0"/>
              <w:bottom w:val="single" w:color="000000" w:sz="4" w:space="0"/>
              <w:right w:val="nil"/>
            </w:tcBorders>
            <w:shd w:val="clear" w:color="auto" w:fill="auto"/>
            <w:noWrap/>
            <w:vAlign w:val="center"/>
          </w:tcPr>
          <w:p w14:paraId="28F95CBF">
            <w:pPr>
              <w:keepNext w:val="0"/>
              <w:keepLines w:val="0"/>
              <w:pageBreakBefore w:val="0"/>
              <w:widowControl/>
              <w:suppressLineNumbers w:val="0"/>
              <w:kinsoku/>
              <w:wordWrap/>
              <w:overflowPunct/>
              <w:topLinePunct w:val="0"/>
              <w:autoSpaceDE/>
              <w:autoSpaceDN/>
              <w:bidi w:val="0"/>
              <w:adjustRightInd/>
              <w:snapToGrid/>
              <w:spacing w:line="26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9.94</w:t>
            </w:r>
          </w:p>
        </w:tc>
        <w:tc>
          <w:tcPr>
            <w:tcW w:w="10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3274A">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6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22913">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26DA9">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14:paraId="2091E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127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48D2D">
            <w:pPr>
              <w:jc w:val="center"/>
              <w:rPr>
                <w:rFonts w:hint="eastAsia" w:ascii="仿宋_GB2312" w:hAnsi="宋体" w:eastAsia="仿宋_GB2312" w:cs="仿宋_GB2312"/>
                <w:i w:val="0"/>
                <w:iCs w:val="0"/>
                <w:color w:val="000000"/>
                <w:sz w:val="21"/>
                <w:szCs w:val="21"/>
                <w:u w:val="none"/>
              </w:rPr>
            </w:pPr>
          </w:p>
        </w:tc>
        <w:tc>
          <w:tcPr>
            <w:tcW w:w="12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55D216">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 xml:space="preserve">      其他资金</w:t>
            </w:r>
          </w:p>
        </w:tc>
        <w:tc>
          <w:tcPr>
            <w:tcW w:w="9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BC7CFF">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w:t>
            </w:r>
          </w:p>
        </w:tc>
        <w:tc>
          <w:tcPr>
            <w:tcW w:w="10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B7E5AC">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w:t>
            </w:r>
          </w:p>
        </w:tc>
        <w:tc>
          <w:tcPr>
            <w:tcW w:w="1496" w:type="dxa"/>
            <w:gridSpan w:val="3"/>
            <w:tcBorders>
              <w:top w:val="single" w:color="000000" w:sz="4" w:space="0"/>
              <w:left w:val="single" w:color="000000" w:sz="4" w:space="0"/>
              <w:bottom w:val="single" w:color="000000" w:sz="4" w:space="0"/>
              <w:right w:val="nil"/>
            </w:tcBorders>
            <w:shd w:val="clear" w:color="auto" w:fill="auto"/>
            <w:noWrap/>
            <w:vAlign w:val="center"/>
          </w:tcPr>
          <w:p w14:paraId="15AD0232">
            <w:pPr>
              <w:keepNext w:val="0"/>
              <w:keepLines w:val="0"/>
              <w:pageBreakBefore w:val="0"/>
              <w:widowControl/>
              <w:kinsoku/>
              <w:wordWrap/>
              <w:overflowPunct/>
              <w:topLinePunct w:val="0"/>
              <w:autoSpaceDE/>
              <w:autoSpaceDN/>
              <w:bidi w:val="0"/>
              <w:adjustRightInd/>
              <w:snapToGrid/>
              <w:spacing w:line="260" w:lineRule="exact"/>
              <w:rPr>
                <w:rFonts w:hint="eastAsia" w:ascii="宋体" w:hAnsi="宋体" w:eastAsia="宋体" w:cs="宋体"/>
                <w:i w:val="0"/>
                <w:iCs w:val="0"/>
                <w:color w:val="000000"/>
                <w:sz w:val="22"/>
                <w:szCs w:val="22"/>
                <w:u w:val="none"/>
              </w:rPr>
            </w:pPr>
          </w:p>
        </w:tc>
        <w:tc>
          <w:tcPr>
            <w:tcW w:w="10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B2DD">
            <w:pPr>
              <w:keepNext w:val="0"/>
              <w:keepLines w:val="0"/>
              <w:pageBreakBefore w:val="0"/>
              <w:widowControl/>
              <w:kinsoku/>
              <w:wordWrap/>
              <w:overflowPunct/>
              <w:topLinePunct w:val="0"/>
              <w:autoSpaceDE/>
              <w:autoSpaceDN/>
              <w:bidi w:val="0"/>
              <w:adjustRightInd/>
              <w:snapToGrid/>
              <w:spacing w:line="260" w:lineRule="exact"/>
              <w:rPr>
                <w:rFonts w:hint="eastAsia" w:ascii="宋体" w:hAnsi="宋体" w:eastAsia="宋体" w:cs="宋体"/>
                <w:i w:val="0"/>
                <w:iCs w:val="0"/>
                <w:color w:val="000000"/>
                <w:sz w:val="22"/>
                <w:szCs w:val="22"/>
                <w:u w:val="none"/>
              </w:rPr>
            </w:pPr>
          </w:p>
        </w:tc>
        <w:tc>
          <w:tcPr>
            <w:tcW w:w="66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730B0">
            <w:pPr>
              <w:keepNext w:val="0"/>
              <w:keepLines w:val="0"/>
              <w:pageBreakBefore w:val="0"/>
              <w:widowControl/>
              <w:kinsoku/>
              <w:wordWrap/>
              <w:overflowPunct/>
              <w:topLinePunct w:val="0"/>
              <w:autoSpaceDE/>
              <w:autoSpaceDN/>
              <w:bidi w:val="0"/>
              <w:adjustRightInd/>
              <w:snapToGrid/>
              <w:spacing w:line="260" w:lineRule="exac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D3D95">
            <w:pPr>
              <w:keepNext w:val="0"/>
              <w:keepLines w:val="0"/>
              <w:pageBreakBefore w:val="0"/>
              <w:widowControl/>
              <w:kinsoku/>
              <w:wordWrap/>
              <w:overflowPunct/>
              <w:topLinePunct w:val="0"/>
              <w:autoSpaceDE/>
              <w:autoSpaceDN/>
              <w:bidi w:val="0"/>
              <w:adjustRightInd/>
              <w:snapToGrid/>
              <w:spacing w:line="260" w:lineRule="exact"/>
              <w:rPr>
                <w:rFonts w:hint="eastAsia" w:ascii="宋体" w:hAnsi="宋体" w:eastAsia="宋体" w:cs="宋体"/>
                <w:i w:val="0"/>
                <w:iCs w:val="0"/>
                <w:color w:val="000000"/>
                <w:sz w:val="22"/>
                <w:szCs w:val="22"/>
                <w:u w:val="none"/>
              </w:rPr>
            </w:pPr>
          </w:p>
        </w:tc>
      </w:tr>
      <w:tr w14:paraId="382A5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12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FE6886">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年度总体目标</w:t>
            </w:r>
          </w:p>
        </w:tc>
        <w:tc>
          <w:tcPr>
            <w:tcW w:w="6996"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281049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开展健康教育宣传、开展居民健康素养水平监测、在中川体育公园制作健康步道、印制禁烟标牌、举办“全民营养周暨中国学生营养日启动仪式”、在百花公园制作健康步道。</w:t>
            </w:r>
          </w:p>
        </w:tc>
      </w:tr>
      <w:tr w14:paraId="4DB6B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312" w:hRule="atLeast"/>
        </w:trPr>
        <w:tc>
          <w:tcPr>
            <w:tcW w:w="7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CAC542">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绩效指</w:t>
            </w:r>
            <w:r>
              <w:rPr>
                <w:rFonts w:hint="eastAsia" w:hAnsi="宋体" w:cs="仿宋_GB2312"/>
                <w:i w:val="0"/>
                <w:iCs w:val="0"/>
                <w:color w:val="000000"/>
                <w:kern w:val="0"/>
                <w:sz w:val="21"/>
                <w:szCs w:val="21"/>
                <w:u w:val="none"/>
                <w:lang w:val="en-US" w:eastAsia="zh-CN" w:bidi="ar"/>
              </w:rPr>
              <w:t xml:space="preserve"> </w:t>
            </w:r>
            <w:r>
              <w:rPr>
                <w:rFonts w:hint="eastAsia" w:ascii="仿宋_GB2312" w:hAnsi="宋体" w:eastAsia="仿宋_GB2312" w:cs="仿宋_GB2312"/>
                <w:i w:val="0"/>
                <w:iCs w:val="0"/>
                <w:color w:val="000000"/>
                <w:kern w:val="0"/>
                <w:sz w:val="21"/>
                <w:szCs w:val="21"/>
                <w:u w:val="none"/>
                <w:lang w:val="en-US" w:eastAsia="zh-CN" w:bidi="ar"/>
              </w:rPr>
              <w:t>标</w:t>
            </w:r>
          </w:p>
        </w:tc>
        <w:tc>
          <w:tcPr>
            <w:tcW w:w="4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93595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一级指标</w:t>
            </w:r>
          </w:p>
        </w:tc>
        <w:tc>
          <w:tcPr>
            <w:tcW w:w="6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5A2D6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二级指标</w:t>
            </w:r>
          </w:p>
        </w:tc>
        <w:tc>
          <w:tcPr>
            <w:tcW w:w="136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7F20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三级指标</w:t>
            </w:r>
          </w:p>
        </w:tc>
        <w:tc>
          <w:tcPr>
            <w:tcW w:w="115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BD5E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指标值</w:t>
            </w:r>
          </w:p>
        </w:tc>
        <w:tc>
          <w:tcPr>
            <w:tcW w:w="10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3A920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实际完成值</w:t>
            </w:r>
          </w:p>
        </w:tc>
        <w:tc>
          <w:tcPr>
            <w:tcW w:w="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0976A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分值</w:t>
            </w:r>
          </w:p>
        </w:tc>
        <w:tc>
          <w:tcPr>
            <w:tcW w:w="1257"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86742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得分</w:t>
            </w:r>
          </w:p>
        </w:tc>
        <w:tc>
          <w:tcPr>
            <w:tcW w:w="103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1594B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偏差原因分析及改进措施</w:t>
            </w:r>
          </w:p>
        </w:tc>
      </w:tr>
      <w:tr w14:paraId="3ABC8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312"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050FB">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FE039">
            <w:pPr>
              <w:jc w:val="center"/>
              <w:rPr>
                <w:rFonts w:hint="eastAsia" w:ascii="仿宋_GB2312" w:hAnsi="宋体" w:eastAsia="仿宋_GB2312" w:cs="仿宋_GB2312"/>
                <w:i w:val="0"/>
                <w:iCs w:val="0"/>
                <w:color w:val="000000"/>
                <w:sz w:val="21"/>
                <w:szCs w:val="21"/>
                <w:u w:val="none"/>
              </w:rPr>
            </w:pPr>
          </w:p>
        </w:tc>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5B9C6">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FF96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15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173B1">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0E192">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56AB8">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25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7F677">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2C51F">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r>
      <w:tr w14:paraId="4458C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6F43E">
            <w:pPr>
              <w:jc w:val="center"/>
              <w:rPr>
                <w:rFonts w:hint="eastAsia" w:ascii="仿宋_GB2312" w:hAnsi="宋体" w:eastAsia="仿宋_GB2312" w:cs="仿宋_GB2312"/>
                <w:i w:val="0"/>
                <w:iCs w:val="0"/>
                <w:color w:val="000000"/>
                <w:sz w:val="21"/>
                <w:szCs w:val="21"/>
                <w:u w:val="none"/>
              </w:rPr>
            </w:pPr>
          </w:p>
        </w:tc>
        <w:tc>
          <w:tcPr>
            <w:tcW w:w="4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8B299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产出指标</w:t>
            </w:r>
          </w:p>
        </w:tc>
        <w:tc>
          <w:tcPr>
            <w:tcW w:w="6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33FD8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数量指标</w:t>
            </w: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39636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健康科普活动开展情况</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5E8B4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13E423">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各基层医疗机构全覆盖</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2B54">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F12EE7">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0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1994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完成</w:t>
            </w:r>
          </w:p>
        </w:tc>
      </w:tr>
      <w:tr w14:paraId="51307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BDC66">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2E420">
            <w:pPr>
              <w:jc w:val="center"/>
              <w:rPr>
                <w:rFonts w:hint="eastAsia" w:ascii="仿宋_GB2312" w:hAnsi="宋体" w:eastAsia="仿宋_GB2312" w:cs="仿宋_GB2312"/>
                <w:i w:val="0"/>
                <w:iCs w:val="0"/>
                <w:color w:val="000000"/>
                <w:sz w:val="21"/>
                <w:szCs w:val="21"/>
                <w:u w:val="none"/>
              </w:rPr>
            </w:pPr>
          </w:p>
        </w:tc>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D957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9F73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“三减三健”活动开展情况</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6C4C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8F6DD">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各基层医疗机构全覆盖</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F46FF">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F5EE47">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0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BCB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完成</w:t>
            </w:r>
          </w:p>
        </w:tc>
      </w:tr>
      <w:tr w14:paraId="7B5DD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1198"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337620">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66F96">
            <w:pPr>
              <w:jc w:val="center"/>
              <w:rPr>
                <w:rFonts w:hint="eastAsia" w:ascii="仿宋_GB2312" w:hAnsi="宋体" w:eastAsia="仿宋_GB2312" w:cs="仿宋_GB2312"/>
                <w:i w:val="0"/>
                <w:iCs w:val="0"/>
                <w:color w:val="000000"/>
                <w:sz w:val="21"/>
                <w:szCs w:val="21"/>
                <w:u w:val="none"/>
              </w:rPr>
            </w:pPr>
          </w:p>
        </w:tc>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C3DD5">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CA78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卫生单位、卫生村、卫生社区评选</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CFB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根据申报情况</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0E0E8">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2个乡镇、15个村、6个社区、2个单位</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6588F">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E8064F">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0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418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完成</w:t>
            </w:r>
          </w:p>
        </w:tc>
      </w:tr>
      <w:tr w14:paraId="51287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5EA9E">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9E6F4">
            <w:pPr>
              <w:jc w:val="center"/>
              <w:rPr>
                <w:rFonts w:hint="eastAsia" w:ascii="仿宋_GB2312" w:hAnsi="宋体" w:eastAsia="仿宋_GB2312" w:cs="仿宋_GB2312"/>
                <w:i w:val="0"/>
                <w:iCs w:val="0"/>
                <w:color w:val="000000"/>
                <w:sz w:val="21"/>
                <w:szCs w:val="21"/>
                <w:u w:val="none"/>
              </w:rPr>
            </w:pPr>
          </w:p>
        </w:tc>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195B8">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AD94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制作健康步道</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272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549D2">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B9574">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8472DA">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0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11F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完成</w:t>
            </w:r>
          </w:p>
        </w:tc>
      </w:tr>
      <w:tr w14:paraId="02F1E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828F9">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CAB9B">
            <w:pPr>
              <w:jc w:val="center"/>
              <w:rPr>
                <w:rFonts w:hint="eastAsia" w:ascii="仿宋_GB2312" w:hAnsi="宋体" w:eastAsia="仿宋_GB2312" w:cs="仿宋_GB2312"/>
                <w:i w:val="0"/>
                <w:iCs w:val="0"/>
                <w:color w:val="000000"/>
                <w:sz w:val="21"/>
                <w:szCs w:val="21"/>
                <w:u w:val="none"/>
              </w:rPr>
            </w:pPr>
          </w:p>
        </w:tc>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06497">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957A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开展居民健康素养监测</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9B7E8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1次</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DFF1D1">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9BC7">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CF7695">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0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B9AB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完成</w:t>
            </w:r>
          </w:p>
        </w:tc>
      </w:tr>
      <w:tr w14:paraId="18D7E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2083F">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68593">
            <w:pPr>
              <w:jc w:val="center"/>
              <w:rPr>
                <w:rFonts w:hint="eastAsia" w:ascii="仿宋_GB2312" w:hAnsi="宋体" w:eastAsia="仿宋_GB2312" w:cs="仿宋_GB2312"/>
                <w:i w:val="0"/>
                <w:iCs w:val="0"/>
                <w:color w:val="000000"/>
                <w:sz w:val="21"/>
                <w:szCs w:val="21"/>
                <w:u w:val="none"/>
              </w:rPr>
            </w:pPr>
          </w:p>
        </w:tc>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CC309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质量指标</w:t>
            </w: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C6E6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宣传活动知晓率</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6C05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80%</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347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80%</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9870">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70E489">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0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AF1B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东文宋体" w:hAnsi="东文宋体" w:eastAsia="东文宋体" w:cs="东文宋体"/>
                <w:i w:val="0"/>
                <w:iCs w:val="0"/>
                <w:color w:val="000000"/>
                <w:sz w:val="20"/>
                <w:szCs w:val="20"/>
                <w:u w:val="none"/>
              </w:rPr>
            </w:pPr>
            <w:r>
              <w:rPr>
                <w:rFonts w:hint="default" w:ascii="东文宋体" w:hAnsi="东文宋体" w:eastAsia="东文宋体" w:cs="东文宋体"/>
                <w:i w:val="0"/>
                <w:iCs w:val="0"/>
                <w:color w:val="000000"/>
                <w:kern w:val="0"/>
                <w:sz w:val="20"/>
                <w:szCs w:val="20"/>
                <w:u w:val="none"/>
                <w:lang w:val="en-US" w:eastAsia="zh-CN" w:bidi="ar"/>
              </w:rPr>
              <w:t>≥80%</w:t>
            </w:r>
          </w:p>
        </w:tc>
      </w:tr>
      <w:tr w14:paraId="01824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E7730">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D1F0C">
            <w:pPr>
              <w:jc w:val="center"/>
              <w:rPr>
                <w:rFonts w:hint="eastAsia" w:ascii="仿宋_GB2312" w:hAnsi="宋体" w:eastAsia="仿宋_GB2312" w:cs="仿宋_GB2312"/>
                <w:i w:val="0"/>
                <w:iCs w:val="0"/>
                <w:color w:val="000000"/>
                <w:sz w:val="21"/>
                <w:szCs w:val="21"/>
                <w:u w:val="none"/>
              </w:rPr>
            </w:pPr>
          </w:p>
        </w:tc>
        <w:tc>
          <w:tcPr>
            <w:tcW w:w="6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BD3DA1">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时效指标</w:t>
            </w: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2E375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宣传活动及时性</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31D0B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及时</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B5084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41B55">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B5C5AD">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E030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及时</w:t>
            </w:r>
          </w:p>
        </w:tc>
      </w:tr>
      <w:tr w14:paraId="09769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A2FEF">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C3D33">
            <w:pPr>
              <w:jc w:val="center"/>
              <w:rPr>
                <w:rFonts w:hint="eastAsia" w:ascii="仿宋_GB2312" w:hAnsi="宋体" w:eastAsia="仿宋_GB2312" w:cs="仿宋_GB2312"/>
                <w:i w:val="0"/>
                <w:iCs w:val="0"/>
                <w:color w:val="000000"/>
                <w:sz w:val="21"/>
                <w:szCs w:val="21"/>
                <w:u w:val="none"/>
              </w:rPr>
            </w:pPr>
          </w:p>
        </w:tc>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E3081">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5F63E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卫生单位、卫生村、卫生社区评选及时性</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07A48F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及时</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8E79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29E8F">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9FC1C3">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1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2058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及时</w:t>
            </w:r>
          </w:p>
        </w:tc>
      </w:tr>
      <w:tr w14:paraId="0E923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04989">
            <w:pPr>
              <w:jc w:val="center"/>
              <w:rPr>
                <w:rFonts w:hint="eastAsia" w:ascii="仿宋_GB2312" w:hAnsi="宋体" w:eastAsia="仿宋_GB2312" w:cs="仿宋_GB2312"/>
                <w:i w:val="0"/>
                <w:iCs w:val="0"/>
                <w:color w:val="000000"/>
                <w:sz w:val="21"/>
                <w:szCs w:val="21"/>
                <w:u w:val="none"/>
              </w:rPr>
            </w:pPr>
          </w:p>
        </w:tc>
        <w:tc>
          <w:tcPr>
            <w:tcW w:w="4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CC59C3">
            <w:pPr>
              <w:jc w:val="center"/>
              <w:rPr>
                <w:rFonts w:hint="eastAsia" w:ascii="仿宋_GB2312" w:hAnsi="宋体" w:eastAsia="仿宋_GB2312" w:cs="仿宋_GB2312"/>
                <w:i w:val="0"/>
                <w:iCs w:val="0"/>
                <w:color w:val="000000"/>
                <w:sz w:val="21"/>
                <w:szCs w:val="21"/>
                <w:u w:val="none"/>
              </w:rPr>
            </w:pPr>
          </w:p>
        </w:tc>
        <w:tc>
          <w:tcPr>
            <w:tcW w:w="6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1A7A63">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A07FA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提高群众健康意识</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B07783">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提高</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0E2BE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CCD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A1D77E">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DE57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提高</w:t>
            </w:r>
          </w:p>
        </w:tc>
      </w:tr>
      <w:tr w14:paraId="28094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5B7FE">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C8DF0">
            <w:pPr>
              <w:jc w:val="center"/>
              <w:rPr>
                <w:rFonts w:hint="eastAsia" w:ascii="仿宋_GB2312" w:hAnsi="宋体" w:eastAsia="仿宋_GB2312" w:cs="仿宋_GB2312"/>
                <w:i w:val="0"/>
                <w:iCs w:val="0"/>
                <w:color w:val="000000"/>
                <w:sz w:val="21"/>
                <w:szCs w:val="21"/>
                <w:u w:val="none"/>
              </w:rPr>
            </w:pPr>
          </w:p>
        </w:tc>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D0E4A">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21"/>
                <w:szCs w:val="21"/>
                <w:u w:val="none"/>
              </w:rPr>
            </w:pP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11F58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降低慢性疾病发生率</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473CC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降低</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6B5A1">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CCA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BDE52E">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4A68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降低</w:t>
            </w:r>
          </w:p>
        </w:tc>
      </w:tr>
      <w:tr w14:paraId="0DCDD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16023">
            <w:pPr>
              <w:jc w:val="center"/>
              <w:rPr>
                <w:rFonts w:hint="eastAsia" w:ascii="仿宋_GB2312" w:hAnsi="宋体" w:eastAsia="仿宋_GB2312" w:cs="仿宋_GB2312"/>
                <w:i w:val="0"/>
                <w:iCs w:val="0"/>
                <w:color w:val="000000"/>
                <w:sz w:val="21"/>
                <w:szCs w:val="21"/>
                <w:u w:val="none"/>
              </w:rPr>
            </w:pPr>
          </w:p>
        </w:tc>
        <w:tc>
          <w:tcPr>
            <w:tcW w:w="4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C8EAD6">
            <w:pPr>
              <w:jc w:val="center"/>
              <w:rPr>
                <w:rFonts w:hint="eastAsia" w:ascii="仿宋_GB2312" w:hAnsi="宋体" w:eastAsia="仿宋_GB2312" w:cs="仿宋_GB2312"/>
                <w:i w:val="0"/>
                <w:iCs w:val="0"/>
                <w:color w:val="000000"/>
                <w:sz w:val="21"/>
                <w:szCs w:val="21"/>
                <w:u w:val="none"/>
              </w:rPr>
            </w:pPr>
          </w:p>
        </w:tc>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40B141">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可持续影响指标</w:t>
            </w: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D6468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群众健康素养和全民健康水平明显提升。</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E067E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1D63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4AB21">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098BEA">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22B9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r>
      <w:tr w14:paraId="477DF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1948" w:hRule="atLeast"/>
        </w:trPr>
        <w:tc>
          <w:tcPr>
            <w:tcW w:w="7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FCD2D">
            <w:pPr>
              <w:jc w:val="center"/>
              <w:rPr>
                <w:rFonts w:hint="eastAsia" w:ascii="仿宋_GB2312" w:hAnsi="宋体" w:eastAsia="仿宋_GB2312" w:cs="仿宋_GB2312"/>
                <w:i w:val="0"/>
                <w:iCs w:val="0"/>
                <w:color w:val="000000"/>
                <w:sz w:val="21"/>
                <w:szCs w:val="21"/>
                <w:u w:val="none"/>
              </w:rPr>
            </w:pPr>
          </w:p>
        </w:tc>
        <w:tc>
          <w:tcPr>
            <w:tcW w:w="4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375D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满意度指标</w:t>
            </w:r>
          </w:p>
        </w:tc>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F091D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服务对象满意度指标</w:t>
            </w:r>
          </w:p>
        </w:tc>
        <w:tc>
          <w:tcPr>
            <w:tcW w:w="1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5190B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人民群众满意度</w:t>
            </w:r>
          </w:p>
        </w:tc>
        <w:tc>
          <w:tcPr>
            <w:tcW w:w="11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3014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1AAF0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CD5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FFD99E">
            <w:pPr>
              <w:keepNext w:val="0"/>
              <w:keepLines w:val="0"/>
              <w:pageBreakBefore w:val="0"/>
              <w:widowControl/>
              <w:suppressLineNumbers w:val="0"/>
              <w:kinsoku/>
              <w:wordWrap/>
              <w:overflowPunct/>
              <w:topLinePunct w:val="0"/>
              <w:autoSpaceDE/>
              <w:autoSpaceDN/>
              <w:bidi w:val="0"/>
              <w:adjustRightInd/>
              <w:snapToGrid/>
              <w:spacing w:line="30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30C3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w:t>
            </w:r>
          </w:p>
        </w:tc>
      </w:tr>
      <w:tr w14:paraId="0D407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248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DC6A4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总分</w:t>
            </w:r>
          </w:p>
        </w:tc>
        <w:tc>
          <w:tcPr>
            <w:tcW w:w="9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7CA13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100</w:t>
            </w:r>
          </w:p>
        </w:tc>
        <w:tc>
          <w:tcPr>
            <w:tcW w:w="10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500E83">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99.9</w:t>
            </w:r>
          </w:p>
        </w:tc>
        <w:tc>
          <w:tcPr>
            <w:tcW w:w="39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E21D236">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iCs w:val="0"/>
                <w:color w:val="000000"/>
                <w:sz w:val="18"/>
                <w:szCs w:val="18"/>
                <w:u w:val="none"/>
              </w:rPr>
            </w:pPr>
          </w:p>
        </w:tc>
      </w:tr>
      <w:tr w14:paraId="68CE4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12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2C8999">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说明</w:t>
            </w:r>
          </w:p>
        </w:tc>
        <w:tc>
          <w:tcPr>
            <w:tcW w:w="7110"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778BCD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请在此处简要说明巡视巡查、审计和财政监督中发现的问题及其所涉及的金额，如没有填无</w:t>
            </w:r>
          </w:p>
        </w:tc>
      </w:tr>
      <w:tr w14:paraId="7863C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90" w:hRule="atLeast"/>
        </w:trPr>
        <w:tc>
          <w:tcPr>
            <w:tcW w:w="8380" w:type="dxa"/>
            <w:gridSpan w:val="24"/>
            <w:tcBorders>
              <w:top w:val="single" w:color="000000" w:sz="4" w:space="0"/>
              <w:left w:val="single" w:color="000000" w:sz="4" w:space="0"/>
              <w:bottom w:val="single" w:color="000000" w:sz="4" w:space="0"/>
              <w:right w:val="single" w:color="000000" w:sz="4" w:space="0"/>
            </w:tcBorders>
            <w:shd w:val="clear" w:color="auto" w:fill="auto"/>
            <w:vAlign w:val="top"/>
          </w:tcPr>
          <w:p w14:paraId="3068A09E">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注：1.其他资金包括中央补助、各级财政资金共同投入到同一项目的自有资金、社会资金等。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tc>
      </w:tr>
      <w:tr w14:paraId="001BA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559" w:type="dxa"/>
          <w:trHeight w:val="1220" w:hRule="atLeast"/>
        </w:trPr>
        <w:tc>
          <w:tcPr>
            <w:tcW w:w="8266" w:type="dxa"/>
            <w:gridSpan w:val="23"/>
            <w:tcBorders>
              <w:top w:val="nil"/>
              <w:left w:val="nil"/>
              <w:bottom w:val="nil"/>
              <w:right w:val="nil"/>
            </w:tcBorders>
            <w:shd w:val="clear" w:color="auto" w:fill="auto"/>
            <w:vAlign w:val="center"/>
          </w:tcPr>
          <w:p w14:paraId="51E54816">
            <w:pPr>
              <w:spacing w:before="111" w:line="560" w:lineRule="exact"/>
              <w:ind w:firstLine="0" w:firstLineChars="0"/>
              <w:outlineLvl w:val="1"/>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b/>
                <w:bCs/>
                <w:lang w:val="en-US" w:eastAsia="zh-CN"/>
              </w:rPr>
              <w:t>附件15</w:t>
            </w:r>
          </w:p>
          <w:p w14:paraId="626E4C02">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p>
          <w:p w14:paraId="7BEBDDB8">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预算项目支出绩效自评表</w:t>
            </w:r>
            <w:r>
              <w:rPr>
                <w:rFonts w:hint="eastAsia" w:ascii="宋体" w:hAnsi="宋体" w:eastAsia="宋体" w:cs="宋体"/>
                <w:i w:val="0"/>
                <w:iCs w:val="0"/>
                <w:color w:val="000000"/>
                <w:kern w:val="0"/>
                <w:sz w:val="36"/>
                <w:szCs w:val="36"/>
                <w:u w:val="none"/>
                <w:lang w:val="en-US" w:eastAsia="zh-CN" w:bidi="ar"/>
              </w:rPr>
              <w:br w:type="textWrapping"/>
            </w:r>
            <w:r>
              <w:rPr>
                <w:rFonts w:hint="eastAsia" w:ascii="宋体" w:hAnsi="宋体" w:eastAsia="宋体" w:cs="宋体"/>
                <w:i w:val="0"/>
                <w:iCs w:val="0"/>
                <w:color w:val="000000"/>
                <w:kern w:val="0"/>
                <w:sz w:val="36"/>
                <w:szCs w:val="36"/>
                <w:u w:val="none"/>
                <w:lang w:val="en-US" w:eastAsia="zh-CN" w:bidi="ar"/>
              </w:rPr>
              <w:t>（2023年度）</w:t>
            </w:r>
          </w:p>
        </w:tc>
      </w:tr>
      <w:tr w14:paraId="2720A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487" w:hRule="atLeast"/>
        </w:trPr>
        <w:tc>
          <w:tcPr>
            <w:tcW w:w="18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EDFA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项目名称</w:t>
            </w:r>
          </w:p>
        </w:tc>
        <w:tc>
          <w:tcPr>
            <w:tcW w:w="6423"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335D9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病媒生物防制效果评估</w:t>
            </w:r>
          </w:p>
        </w:tc>
      </w:tr>
      <w:tr w14:paraId="16646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419" w:hRule="atLeast"/>
        </w:trPr>
        <w:tc>
          <w:tcPr>
            <w:tcW w:w="18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B068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主管部门</w:t>
            </w:r>
          </w:p>
        </w:tc>
        <w:tc>
          <w:tcPr>
            <w:tcW w:w="6423"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D106A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兰州新区卫生健康委员会</w:t>
            </w:r>
          </w:p>
        </w:tc>
      </w:tr>
      <w:tr w14:paraId="6D917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843"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EE35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资金情况</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（万元）</w:t>
            </w:r>
          </w:p>
        </w:tc>
        <w:tc>
          <w:tcPr>
            <w:tcW w:w="2155" w:type="dxa"/>
            <w:gridSpan w:val="6"/>
            <w:tcBorders>
              <w:top w:val="nil"/>
              <w:left w:val="single" w:color="000000" w:sz="4" w:space="0"/>
              <w:bottom w:val="single" w:color="000000" w:sz="4" w:space="0"/>
              <w:right w:val="single" w:color="000000" w:sz="4" w:space="0"/>
            </w:tcBorders>
            <w:shd w:val="clear" w:color="auto" w:fill="auto"/>
            <w:vAlign w:val="center"/>
          </w:tcPr>
          <w:p w14:paraId="7BB5E6B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1131" w:type="dxa"/>
            <w:gridSpan w:val="3"/>
            <w:tcBorders>
              <w:top w:val="nil"/>
              <w:left w:val="single" w:color="000000" w:sz="4" w:space="0"/>
              <w:bottom w:val="single" w:color="000000" w:sz="4" w:space="0"/>
              <w:right w:val="single" w:color="000000" w:sz="4" w:space="0"/>
            </w:tcBorders>
            <w:shd w:val="clear" w:color="auto" w:fill="auto"/>
            <w:vAlign w:val="center"/>
          </w:tcPr>
          <w:p w14:paraId="4F801A6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843" w:type="dxa"/>
            <w:gridSpan w:val="2"/>
            <w:tcBorders>
              <w:top w:val="nil"/>
              <w:left w:val="single" w:color="000000" w:sz="4" w:space="0"/>
              <w:bottom w:val="single" w:color="000000" w:sz="4" w:space="0"/>
              <w:right w:val="single" w:color="000000" w:sz="4" w:space="0"/>
            </w:tcBorders>
            <w:shd w:val="clear" w:color="auto" w:fill="auto"/>
            <w:vAlign w:val="center"/>
          </w:tcPr>
          <w:p w14:paraId="0ADD4F7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全年预算数</w:t>
            </w:r>
          </w:p>
        </w:tc>
        <w:tc>
          <w:tcPr>
            <w:tcW w:w="466" w:type="dxa"/>
            <w:tcBorders>
              <w:top w:val="nil"/>
              <w:left w:val="single" w:color="000000" w:sz="4" w:space="0"/>
              <w:bottom w:val="single" w:color="000000" w:sz="4" w:space="0"/>
              <w:right w:val="nil"/>
            </w:tcBorders>
            <w:shd w:val="clear" w:color="auto" w:fill="auto"/>
            <w:vAlign w:val="center"/>
          </w:tcPr>
          <w:p w14:paraId="768632C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全年执行数</w:t>
            </w:r>
          </w:p>
        </w:tc>
        <w:tc>
          <w:tcPr>
            <w:tcW w:w="669" w:type="dxa"/>
            <w:gridSpan w:val="3"/>
            <w:tcBorders>
              <w:top w:val="nil"/>
              <w:left w:val="single" w:color="000000" w:sz="4" w:space="0"/>
              <w:bottom w:val="single" w:color="000000" w:sz="4" w:space="0"/>
              <w:right w:val="single" w:color="000000" w:sz="4" w:space="0"/>
            </w:tcBorders>
            <w:shd w:val="clear" w:color="auto" w:fill="auto"/>
            <w:vAlign w:val="center"/>
          </w:tcPr>
          <w:p w14:paraId="681C25C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分值</w:t>
            </w:r>
          </w:p>
        </w:tc>
        <w:tc>
          <w:tcPr>
            <w:tcW w:w="1159" w:type="dxa"/>
            <w:gridSpan w:val="3"/>
            <w:tcBorders>
              <w:top w:val="nil"/>
              <w:left w:val="single" w:color="000000" w:sz="4" w:space="0"/>
              <w:bottom w:val="single" w:color="000000" w:sz="4" w:space="0"/>
              <w:right w:val="single" w:color="000000" w:sz="4" w:space="0"/>
            </w:tcBorders>
            <w:shd w:val="clear" w:color="auto" w:fill="auto"/>
            <w:vAlign w:val="center"/>
          </w:tcPr>
          <w:p w14:paraId="07026B1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执行率</w:t>
            </w:r>
          </w:p>
        </w:tc>
        <w:tc>
          <w:tcPr>
            <w:tcW w:w="559" w:type="dxa"/>
            <w:gridSpan w:val="2"/>
            <w:tcBorders>
              <w:top w:val="nil"/>
              <w:left w:val="single" w:color="000000" w:sz="4" w:space="0"/>
              <w:bottom w:val="single" w:color="000000" w:sz="4" w:space="0"/>
              <w:right w:val="single" w:color="000000" w:sz="4" w:space="0"/>
            </w:tcBorders>
            <w:shd w:val="clear" w:color="auto" w:fill="auto"/>
            <w:vAlign w:val="center"/>
          </w:tcPr>
          <w:p w14:paraId="1414F86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得分</w:t>
            </w:r>
          </w:p>
        </w:tc>
      </w:tr>
      <w:tr w14:paraId="1CDCB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84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20120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21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67D413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年度资金总额：</w:t>
            </w:r>
          </w:p>
        </w:tc>
        <w:tc>
          <w:tcPr>
            <w:tcW w:w="1131" w:type="dxa"/>
            <w:gridSpan w:val="3"/>
            <w:tcBorders>
              <w:top w:val="nil"/>
              <w:left w:val="single" w:color="000000" w:sz="4" w:space="0"/>
              <w:bottom w:val="single" w:color="000000" w:sz="4" w:space="0"/>
              <w:right w:val="single" w:color="000000" w:sz="4" w:space="0"/>
            </w:tcBorders>
            <w:shd w:val="clear" w:color="auto" w:fill="auto"/>
            <w:vAlign w:val="center"/>
          </w:tcPr>
          <w:p w14:paraId="7DD0A68D">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843" w:type="dxa"/>
            <w:gridSpan w:val="2"/>
            <w:tcBorders>
              <w:top w:val="nil"/>
              <w:left w:val="single" w:color="000000" w:sz="4" w:space="0"/>
              <w:bottom w:val="single" w:color="000000" w:sz="4" w:space="0"/>
              <w:right w:val="single" w:color="000000" w:sz="4" w:space="0"/>
            </w:tcBorders>
            <w:shd w:val="clear" w:color="auto" w:fill="auto"/>
            <w:vAlign w:val="center"/>
          </w:tcPr>
          <w:p w14:paraId="1DA41760">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466" w:type="dxa"/>
            <w:tcBorders>
              <w:top w:val="single" w:color="000000" w:sz="4" w:space="0"/>
              <w:left w:val="single" w:color="000000" w:sz="4" w:space="0"/>
              <w:bottom w:val="single" w:color="000000" w:sz="4" w:space="0"/>
              <w:right w:val="nil"/>
            </w:tcBorders>
            <w:shd w:val="clear" w:color="auto" w:fill="auto"/>
            <w:noWrap/>
            <w:vAlign w:val="center"/>
          </w:tcPr>
          <w:p w14:paraId="6AF26A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w:t>
            </w:r>
          </w:p>
        </w:tc>
        <w:tc>
          <w:tcPr>
            <w:tcW w:w="6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7B2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69B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AC2D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r>
      <w:tr w14:paraId="481BF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84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DD00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21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F277E5">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其中：本年预算拨款</w:t>
            </w:r>
          </w:p>
        </w:tc>
        <w:tc>
          <w:tcPr>
            <w:tcW w:w="11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CF0B9F">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80211">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466" w:type="dxa"/>
            <w:tcBorders>
              <w:top w:val="single" w:color="000000" w:sz="4" w:space="0"/>
              <w:left w:val="single" w:color="000000" w:sz="4" w:space="0"/>
              <w:bottom w:val="single" w:color="000000" w:sz="4" w:space="0"/>
              <w:right w:val="nil"/>
            </w:tcBorders>
            <w:shd w:val="clear" w:color="auto" w:fill="auto"/>
            <w:noWrap/>
            <w:vAlign w:val="center"/>
          </w:tcPr>
          <w:p w14:paraId="210D0B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w:t>
            </w:r>
          </w:p>
        </w:tc>
        <w:tc>
          <w:tcPr>
            <w:tcW w:w="6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05C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DB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0490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r>
      <w:tr w14:paraId="3A37A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84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66DC1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21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D38864">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 xml:space="preserve">      其他资金</w:t>
            </w:r>
          </w:p>
        </w:tc>
        <w:tc>
          <w:tcPr>
            <w:tcW w:w="11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07FFA5">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33A85">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w:t>
            </w:r>
          </w:p>
        </w:tc>
        <w:tc>
          <w:tcPr>
            <w:tcW w:w="466" w:type="dxa"/>
            <w:tcBorders>
              <w:top w:val="single" w:color="000000" w:sz="4" w:space="0"/>
              <w:left w:val="single" w:color="000000" w:sz="4" w:space="0"/>
              <w:bottom w:val="single" w:color="000000" w:sz="4" w:space="0"/>
              <w:right w:val="nil"/>
            </w:tcBorders>
            <w:shd w:val="clear" w:color="auto" w:fill="auto"/>
            <w:noWrap/>
            <w:vAlign w:val="center"/>
          </w:tcPr>
          <w:p w14:paraId="027C5A87">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c>
          <w:tcPr>
            <w:tcW w:w="6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D90A4">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3FABA">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B133">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r>
      <w:tr w14:paraId="5F196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540" w:hRule="atLeast"/>
        </w:trPr>
        <w:tc>
          <w:tcPr>
            <w:tcW w:w="18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7361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年度总体目标</w:t>
            </w:r>
          </w:p>
        </w:tc>
        <w:tc>
          <w:tcPr>
            <w:tcW w:w="6423"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BD0AB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对各园区、各单位开展蚊蝇鼠蟑病媒生物防制情况进行3次评估，出评估报告。</w:t>
            </w:r>
          </w:p>
        </w:tc>
      </w:tr>
      <w:tr w14:paraId="1A271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30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E9C7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绩效指标</w:t>
            </w:r>
          </w:p>
        </w:tc>
        <w:tc>
          <w:tcPr>
            <w:tcW w:w="6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52956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一级指标</w:t>
            </w:r>
          </w:p>
        </w:tc>
        <w:tc>
          <w:tcPr>
            <w:tcW w:w="7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52252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二级指标</w:t>
            </w:r>
          </w:p>
        </w:tc>
        <w:tc>
          <w:tcPr>
            <w:tcW w:w="147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00E33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三级指标</w:t>
            </w:r>
          </w:p>
        </w:tc>
        <w:tc>
          <w:tcPr>
            <w:tcW w:w="87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EFAD1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年度指标值</w:t>
            </w:r>
          </w:p>
        </w:tc>
        <w:tc>
          <w:tcPr>
            <w:tcW w:w="9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D6078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实际完成值</w:t>
            </w:r>
          </w:p>
        </w:tc>
        <w:tc>
          <w:tcPr>
            <w:tcW w:w="8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AA696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分值</w:t>
            </w:r>
          </w:p>
        </w:tc>
        <w:tc>
          <w:tcPr>
            <w:tcW w:w="8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A3EAF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得分</w:t>
            </w:r>
          </w:p>
        </w:tc>
        <w:tc>
          <w:tcPr>
            <w:tcW w:w="145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67148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偏差原因分析及改进措施</w:t>
            </w:r>
          </w:p>
        </w:tc>
      </w:tr>
      <w:tr w14:paraId="53CFB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477"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78C0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F4D7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87E7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14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702E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87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26DB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9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061C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8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9B55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8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F234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145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FDA87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r>
      <w:tr w14:paraId="07F72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72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213A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9A1F7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产出指标</w:t>
            </w:r>
          </w:p>
        </w:tc>
        <w:tc>
          <w:tcPr>
            <w:tcW w:w="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6D36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数量指标</w:t>
            </w: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412B1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开展评估工作</w:t>
            </w:r>
          </w:p>
        </w:tc>
        <w:tc>
          <w:tcPr>
            <w:tcW w:w="8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92EF2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3次</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0C758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3</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ED1A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DF2BF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BD70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完成</w:t>
            </w:r>
          </w:p>
        </w:tc>
      </w:tr>
      <w:tr w14:paraId="778CC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56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7B40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07D7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2A17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质量指标</w:t>
            </w: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6A12E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评估工作完成达标率</w:t>
            </w:r>
          </w:p>
        </w:tc>
        <w:tc>
          <w:tcPr>
            <w:tcW w:w="8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CDBE8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CAAAB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100%</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AFDE2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9124A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62D6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东文宋体" w:hAnsi="东文宋体" w:eastAsia="东文宋体" w:cs="东文宋体"/>
                <w:i w:val="0"/>
                <w:iCs w:val="0"/>
                <w:color w:val="000000"/>
                <w:sz w:val="20"/>
                <w:szCs w:val="20"/>
                <w:u w:val="none"/>
              </w:rPr>
            </w:pPr>
            <w:r>
              <w:rPr>
                <w:rFonts w:hint="default" w:ascii="东文宋体" w:hAnsi="东文宋体" w:eastAsia="东文宋体" w:cs="东文宋体"/>
                <w:i w:val="0"/>
                <w:iCs w:val="0"/>
                <w:color w:val="000000"/>
                <w:kern w:val="0"/>
                <w:sz w:val="20"/>
                <w:szCs w:val="20"/>
                <w:u w:val="none"/>
                <w:lang w:val="en-US" w:eastAsia="zh-CN" w:bidi="ar"/>
              </w:rPr>
              <w:t>≥80%</w:t>
            </w:r>
          </w:p>
        </w:tc>
      </w:tr>
      <w:tr w14:paraId="00178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746"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6111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F3E2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D73B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时效指标</w:t>
            </w: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1BDCB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评估工作完成及时性</w:t>
            </w:r>
          </w:p>
        </w:tc>
        <w:tc>
          <w:tcPr>
            <w:tcW w:w="8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96F73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及时</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DA40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C0FB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24F8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5E98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及时</w:t>
            </w:r>
          </w:p>
        </w:tc>
      </w:tr>
      <w:tr w14:paraId="2B16A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6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5B21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B4D78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D1AE2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社会效益指标</w:t>
            </w: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3FD5A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提高病媒生物传染病知晓率</w:t>
            </w:r>
          </w:p>
        </w:tc>
        <w:tc>
          <w:tcPr>
            <w:tcW w:w="870" w:type="dxa"/>
            <w:gridSpan w:val="4"/>
            <w:tcBorders>
              <w:top w:val="single" w:color="000000" w:sz="4" w:space="0"/>
              <w:left w:val="single" w:color="000000" w:sz="4" w:space="0"/>
              <w:bottom w:val="nil"/>
              <w:right w:val="single" w:color="000000" w:sz="4" w:space="0"/>
            </w:tcBorders>
            <w:shd w:val="clear" w:color="auto" w:fill="auto"/>
            <w:vAlign w:val="center"/>
          </w:tcPr>
          <w:p w14:paraId="5FA7F1C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提高</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D2BD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AA6B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016BD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8E4D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提高</w:t>
            </w:r>
          </w:p>
        </w:tc>
      </w:tr>
      <w:tr w14:paraId="73682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625"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B1C3A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0941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BA4F8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2DA98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改善新区卫生环境</w:t>
            </w:r>
          </w:p>
        </w:tc>
        <w:tc>
          <w:tcPr>
            <w:tcW w:w="870" w:type="dxa"/>
            <w:gridSpan w:val="4"/>
            <w:tcBorders>
              <w:top w:val="single" w:color="000000" w:sz="4" w:space="0"/>
              <w:left w:val="single" w:color="000000" w:sz="4" w:space="0"/>
              <w:bottom w:val="nil"/>
              <w:right w:val="single" w:color="000000" w:sz="4" w:space="0"/>
            </w:tcBorders>
            <w:shd w:val="clear" w:color="auto" w:fill="auto"/>
            <w:vAlign w:val="center"/>
          </w:tcPr>
          <w:p w14:paraId="00829EA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改善</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4465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08B4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FEB5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1EABD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降低</w:t>
            </w:r>
          </w:p>
        </w:tc>
      </w:tr>
      <w:tr w14:paraId="67720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583"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78C3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A2A67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A0478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可持续影响指标</w:t>
            </w: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29D80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提升群众爱国卫生运动意识</w:t>
            </w:r>
          </w:p>
        </w:tc>
        <w:tc>
          <w:tcPr>
            <w:tcW w:w="870" w:type="dxa"/>
            <w:gridSpan w:val="4"/>
            <w:tcBorders>
              <w:top w:val="single" w:color="000000" w:sz="4" w:space="0"/>
              <w:left w:val="single" w:color="000000" w:sz="4" w:space="0"/>
              <w:bottom w:val="nil"/>
              <w:right w:val="single" w:color="000000" w:sz="4" w:space="0"/>
            </w:tcBorders>
            <w:shd w:val="clear" w:color="auto" w:fill="auto"/>
            <w:vAlign w:val="center"/>
          </w:tcPr>
          <w:p w14:paraId="6F50A86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提升</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1B34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3D998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4160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B76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提升</w:t>
            </w:r>
          </w:p>
        </w:tc>
      </w:tr>
      <w:tr w14:paraId="2DFE8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4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C31DE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5308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04E3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CC2A9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降低重点媒介传染病发病率</w:t>
            </w:r>
          </w:p>
        </w:tc>
        <w:tc>
          <w:tcPr>
            <w:tcW w:w="870" w:type="dxa"/>
            <w:gridSpan w:val="4"/>
            <w:tcBorders>
              <w:top w:val="single" w:color="000000" w:sz="4" w:space="0"/>
              <w:left w:val="single" w:color="000000" w:sz="4" w:space="0"/>
              <w:bottom w:val="nil"/>
              <w:right w:val="single" w:color="000000" w:sz="4" w:space="0"/>
            </w:tcBorders>
            <w:shd w:val="clear" w:color="auto" w:fill="auto"/>
            <w:vAlign w:val="center"/>
          </w:tcPr>
          <w:p w14:paraId="275293A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降低</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AC8C3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BEB9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AF16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AAAC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r>
      <w:tr w14:paraId="21402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559" w:type="dxa"/>
          <w:trHeight w:val="765"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D19F4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6523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满意度指标</w:t>
            </w:r>
          </w:p>
        </w:tc>
        <w:tc>
          <w:tcPr>
            <w:tcW w:w="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659FC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服务对象满意度指标</w:t>
            </w:r>
          </w:p>
        </w:tc>
        <w:tc>
          <w:tcPr>
            <w:tcW w:w="14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56403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人民群众满意度</w:t>
            </w:r>
          </w:p>
        </w:tc>
        <w:tc>
          <w:tcPr>
            <w:tcW w:w="8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BCE42D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A787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CE08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948B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14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45B5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w:t>
            </w:r>
          </w:p>
        </w:tc>
      </w:tr>
      <w:tr w14:paraId="7B9F8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560" w:hRule="atLeast"/>
        </w:trPr>
        <w:tc>
          <w:tcPr>
            <w:tcW w:w="3998"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5FE1F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总分</w:t>
            </w:r>
          </w:p>
        </w:tc>
        <w:tc>
          <w:tcPr>
            <w:tcW w:w="11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682E4C">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100</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49661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97</w:t>
            </w:r>
          </w:p>
        </w:tc>
        <w:tc>
          <w:tcPr>
            <w:tcW w:w="240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E38E2B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18"/>
                <w:szCs w:val="18"/>
                <w:u w:val="none"/>
              </w:rPr>
            </w:pPr>
          </w:p>
        </w:tc>
      </w:tr>
      <w:tr w14:paraId="2B94F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56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D9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说明</w:t>
            </w:r>
          </w:p>
        </w:tc>
        <w:tc>
          <w:tcPr>
            <w:tcW w:w="7870" w:type="dxa"/>
            <w:gridSpan w:val="23"/>
            <w:tcBorders>
              <w:top w:val="single" w:color="000000" w:sz="4" w:space="0"/>
              <w:left w:val="single" w:color="000000" w:sz="4" w:space="0"/>
              <w:bottom w:val="single" w:color="000000" w:sz="4" w:space="0"/>
              <w:right w:val="single" w:color="000000" w:sz="4" w:space="0"/>
            </w:tcBorders>
            <w:shd w:val="clear" w:color="auto" w:fill="auto"/>
            <w:vAlign w:val="center"/>
          </w:tcPr>
          <w:p w14:paraId="6FB093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请在此处简要说明巡视巡查、审计和财政监督中发现的问题及其所涉及的金额，如没有填无</w:t>
            </w:r>
          </w:p>
        </w:tc>
      </w:tr>
      <w:tr w14:paraId="73E9A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5" w:type="dxa"/>
          <w:trHeight w:val="2460" w:hRule="atLeast"/>
        </w:trPr>
        <w:tc>
          <w:tcPr>
            <w:tcW w:w="8380" w:type="dxa"/>
            <w:gridSpan w:val="24"/>
            <w:tcBorders>
              <w:top w:val="single" w:color="000000" w:sz="4" w:space="0"/>
              <w:left w:val="single" w:color="000000" w:sz="4" w:space="0"/>
              <w:bottom w:val="single" w:color="000000" w:sz="4" w:space="0"/>
              <w:right w:val="single" w:color="000000" w:sz="4" w:space="0"/>
            </w:tcBorders>
            <w:shd w:val="clear" w:color="auto" w:fill="auto"/>
            <w:vAlign w:val="top"/>
          </w:tcPr>
          <w:p w14:paraId="511F071B">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注：1.其他资金包括中央补助、各级财政资金共同投入到同一项目的自有资金、社会资金等。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tc>
      </w:tr>
    </w:tbl>
    <w:p w14:paraId="2CB2E94C">
      <w:pPr>
        <w:ind w:firstLine="432"/>
        <w:rPr>
          <w:rFonts w:ascii="宋体" w:hAnsi="宋体" w:eastAsia="宋体" w:cs="宋体"/>
          <w:spacing w:val="-2"/>
          <w:sz w:val="22"/>
          <w:szCs w:val="22"/>
        </w:rPr>
      </w:pPr>
    </w:p>
    <w:p w14:paraId="6D3EFA71"/>
    <w:p w14:paraId="225299C4"/>
    <w:p w14:paraId="4316843C"/>
    <w:p w14:paraId="79C8EA30"/>
    <w:p w14:paraId="3DFB8C4B">
      <w:pPr>
        <w:spacing w:before="111" w:line="560" w:lineRule="exact"/>
        <w:ind w:firstLine="0" w:firstLineChars="0"/>
        <w:outlineLvl w:val="1"/>
        <w:rPr>
          <w:rFonts w:hint="eastAsia" w:ascii="宋体" w:hAnsi="宋体" w:eastAsia="宋体" w:cs="宋体"/>
          <w:b/>
          <w:bCs/>
          <w:lang w:val="en-US" w:eastAsia="zh-CN"/>
        </w:rPr>
      </w:pPr>
    </w:p>
    <w:p w14:paraId="314080E1">
      <w:pPr>
        <w:spacing w:before="111" w:line="560" w:lineRule="exact"/>
        <w:ind w:firstLine="0" w:firstLineChars="0"/>
        <w:outlineLvl w:val="1"/>
        <w:rPr>
          <w:rFonts w:hint="eastAsia" w:ascii="宋体" w:hAnsi="宋体" w:eastAsia="宋体" w:cs="宋体"/>
          <w:b/>
          <w:bCs/>
          <w:lang w:val="en-US" w:eastAsia="zh-CN"/>
        </w:rPr>
      </w:pPr>
    </w:p>
    <w:p w14:paraId="79B45BFC">
      <w:pPr>
        <w:ind w:left="0" w:leftChars="0" w:firstLine="0" w:firstLineChars="0"/>
        <w:rPr>
          <w:rFonts w:ascii="宋体" w:hAnsi="宋体" w:eastAsia="宋体" w:cs="宋体"/>
          <w:spacing w:val="-2"/>
          <w:sz w:val="22"/>
          <w:szCs w:val="22"/>
        </w:rPr>
      </w:pPr>
    </w:p>
    <w:p w14:paraId="6447BC95">
      <w:r>
        <w:br w:type="page"/>
      </w:r>
    </w:p>
    <w:tbl>
      <w:tblPr>
        <w:tblStyle w:val="15"/>
        <w:tblW w:w="86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644"/>
        <w:gridCol w:w="51"/>
        <w:gridCol w:w="681"/>
        <w:gridCol w:w="1009"/>
        <w:gridCol w:w="778"/>
        <w:gridCol w:w="298"/>
        <w:gridCol w:w="643"/>
        <w:gridCol w:w="108"/>
        <w:gridCol w:w="751"/>
        <w:gridCol w:w="761"/>
        <w:gridCol w:w="650"/>
        <w:gridCol w:w="761"/>
        <w:gridCol w:w="835"/>
      </w:tblGrid>
      <w:tr w14:paraId="43F24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1" w:hRule="atLeast"/>
        </w:trPr>
        <w:tc>
          <w:tcPr>
            <w:tcW w:w="8614" w:type="dxa"/>
            <w:gridSpan w:val="14"/>
            <w:tcBorders>
              <w:top w:val="nil"/>
              <w:left w:val="nil"/>
              <w:bottom w:val="nil"/>
              <w:right w:val="nil"/>
            </w:tcBorders>
            <w:shd w:val="clear" w:color="auto" w:fill="auto"/>
            <w:vAlign w:val="center"/>
          </w:tcPr>
          <w:p w14:paraId="1B3D644D">
            <w:pPr>
              <w:spacing w:before="111" w:line="560" w:lineRule="exact"/>
              <w:ind w:firstLine="0" w:firstLineChars="0"/>
              <w:outlineLvl w:val="1"/>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b/>
                <w:bCs/>
                <w:lang w:val="en-US" w:eastAsia="zh-CN"/>
              </w:rPr>
              <w:t>附件16</w:t>
            </w:r>
          </w:p>
          <w:p w14:paraId="6777E1A8">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预算项目支出绩效自评表</w:t>
            </w:r>
            <w:r>
              <w:rPr>
                <w:rFonts w:hint="eastAsia" w:ascii="宋体" w:hAnsi="宋体" w:eastAsia="宋体" w:cs="宋体"/>
                <w:i w:val="0"/>
                <w:iCs w:val="0"/>
                <w:color w:val="000000"/>
                <w:kern w:val="0"/>
                <w:sz w:val="36"/>
                <w:szCs w:val="36"/>
                <w:u w:val="none"/>
                <w:lang w:val="en-US" w:eastAsia="zh-CN" w:bidi="ar"/>
              </w:rPr>
              <w:br w:type="textWrapping"/>
            </w:r>
            <w:r>
              <w:rPr>
                <w:rFonts w:hint="eastAsia" w:ascii="宋体" w:hAnsi="宋体" w:eastAsia="宋体" w:cs="宋体"/>
                <w:i w:val="0"/>
                <w:iCs w:val="0"/>
                <w:color w:val="000000"/>
                <w:kern w:val="0"/>
                <w:sz w:val="36"/>
                <w:szCs w:val="36"/>
                <w:u w:val="none"/>
                <w:lang w:val="en-US" w:eastAsia="zh-CN" w:bidi="ar"/>
              </w:rPr>
              <w:t>（2023年度）</w:t>
            </w:r>
          </w:p>
        </w:tc>
      </w:tr>
      <w:tr w14:paraId="12D28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C5B7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项目名称</w:t>
            </w:r>
          </w:p>
        </w:tc>
        <w:tc>
          <w:tcPr>
            <w:tcW w:w="727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478DE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2020年采购核酸检测设备质保金</w:t>
            </w:r>
          </w:p>
        </w:tc>
      </w:tr>
      <w:tr w14:paraId="7093A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7"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5D55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主管部门</w:t>
            </w:r>
          </w:p>
        </w:tc>
        <w:tc>
          <w:tcPr>
            <w:tcW w:w="727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42A7A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兰州新区卫生健康委员会</w:t>
            </w:r>
          </w:p>
        </w:tc>
      </w:tr>
      <w:tr w14:paraId="3A66D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6" w:hRule="atLeast"/>
        </w:trPr>
        <w:tc>
          <w:tcPr>
            <w:tcW w:w="133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4EF27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资金情况</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（万元）</w:t>
            </w:r>
          </w:p>
        </w:tc>
        <w:tc>
          <w:tcPr>
            <w:tcW w:w="2766" w:type="dxa"/>
            <w:gridSpan w:val="4"/>
            <w:tcBorders>
              <w:top w:val="nil"/>
              <w:left w:val="single" w:color="000000" w:sz="4" w:space="0"/>
              <w:bottom w:val="single" w:color="000000" w:sz="4" w:space="0"/>
              <w:right w:val="single" w:color="000000" w:sz="4" w:space="0"/>
            </w:tcBorders>
            <w:shd w:val="clear" w:color="auto" w:fill="auto"/>
            <w:vAlign w:val="center"/>
          </w:tcPr>
          <w:p w14:paraId="05E28AE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51" w:type="dxa"/>
            <w:gridSpan w:val="2"/>
            <w:tcBorders>
              <w:top w:val="nil"/>
              <w:left w:val="single" w:color="000000" w:sz="4" w:space="0"/>
              <w:bottom w:val="single" w:color="000000" w:sz="4" w:space="0"/>
              <w:right w:val="single" w:color="000000" w:sz="4" w:space="0"/>
            </w:tcBorders>
            <w:shd w:val="clear" w:color="auto" w:fill="auto"/>
            <w:vAlign w:val="center"/>
          </w:tcPr>
          <w:p w14:paraId="34FA342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751" w:type="dxa"/>
            <w:tcBorders>
              <w:top w:val="nil"/>
              <w:left w:val="single" w:color="000000" w:sz="4" w:space="0"/>
              <w:bottom w:val="single" w:color="000000" w:sz="4" w:space="0"/>
              <w:right w:val="single" w:color="000000" w:sz="4" w:space="0"/>
            </w:tcBorders>
            <w:shd w:val="clear" w:color="auto" w:fill="auto"/>
            <w:vAlign w:val="center"/>
          </w:tcPr>
          <w:p w14:paraId="3ED27FF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全年预算数</w:t>
            </w:r>
          </w:p>
        </w:tc>
        <w:tc>
          <w:tcPr>
            <w:tcW w:w="761" w:type="dxa"/>
            <w:tcBorders>
              <w:top w:val="nil"/>
              <w:left w:val="single" w:color="000000" w:sz="4" w:space="0"/>
              <w:bottom w:val="single" w:color="000000" w:sz="4" w:space="0"/>
              <w:right w:val="nil"/>
            </w:tcBorders>
            <w:shd w:val="clear" w:color="auto" w:fill="auto"/>
            <w:vAlign w:val="center"/>
          </w:tcPr>
          <w:p w14:paraId="02FF852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全年执行数</w:t>
            </w:r>
          </w:p>
        </w:tc>
        <w:tc>
          <w:tcPr>
            <w:tcW w:w="650" w:type="dxa"/>
            <w:tcBorders>
              <w:top w:val="nil"/>
              <w:left w:val="single" w:color="000000" w:sz="4" w:space="0"/>
              <w:bottom w:val="single" w:color="000000" w:sz="4" w:space="0"/>
              <w:right w:val="single" w:color="000000" w:sz="4" w:space="0"/>
            </w:tcBorders>
            <w:shd w:val="clear" w:color="auto" w:fill="auto"/>
            <w:vAlign w:val="center"/>
          </w:tcPr>
          <w:p w14:paraId="2821D81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分值</w:t>
            </w:r>
          </w:p>
        </w:tc>
        <w:tc>
          <w:tcPr>
            <w:tcW w:w="761" w:type="dxa"/>
            <w:tcBorders>
              <w:top w:val="nil"/>
              <w:left w:val="single" w:color="000000" w:sz="4" w:space="0"/>
              <w:bottom w:val="single" w:color="000000" w:sz="4" w:space="0"/>
              <w:right w:val="single" w:color="000000" w:sz="4" w:space="0"/>
            </w:tcBorders>
            <w:shd w:val="clear" w:color="auto" w:fill="auto"/>
            <w:vAlign w:val="center"/>
          </w:tcPr>
          <w:p w14:paraId="2CED133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执行率</w:t>
            </w:r>
          </w:p>
        </w:tc>
        <w:tc>
          <w:tcPr>
            <w:tcW w:w="835" w:type="dxa"/>
            <w:tcBorders>
              <w:top w:val="nil"/>
              <w:left w:val="single" w:color="000000" w:sz="4" w:space="0"/>
              <w:bottom w:val="single" w:color="000000" w:sz="4" w:space="0"/>
              <w:right w:val="single" w:color="000000" w:sz="4" w:space="0"/>
            </w:tcBorders>
            <w:shd w:val="clear" w:color="auto" w:fill="auto"/>
            <w:vAlign w:val="center"/>
          </w:tcPr>
          <w:p w14:paraId="519E55E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得分</w:t>
            </w:r>
          </w:p>
        </w:tc>
      </w:tr>
      <w:tr w14:paraId="56B00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E941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27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8A1D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年度资金总额：</w:t>
            </w:r>
          </w:p>
        </w:tc>
        <w:tc>
          <w:tcPr>
            <w:tcW w:w="751" w:type="dxa"/>
            <w:gridSpan w:val="2"/>
            <w:tcBorders>
              <w:top w:val="nil"/>
              <w:left w:val="single" w:color="000000" w:sz="4" w:space="0"/>
              <w:bottom w:val="single" w:color="000000" w:sz="4" w:space="0"/>
              <w:right w:val="single" w:color="000000" w:sz="4" w:space="0"/>
            </w:tcBorders>
            <w:shd w:val="clear" w:color="auto" w:fill="auto"/>
            <w:vAlign w:val="center"/>
          </w:tcPr>
          <w:p w14:paraId="76E2EE6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9.81</w:t>
            </w:r>
          </w:p>
        </w:tc>
        <w:tc>
          <w:tcPr>
            <w:tcW w:w="751" w:type="dxa"/>
            <w:tcBorders>
              <w:top w:val="nil"/>
              <w:left w:val="single" w:color="000000" w:sz="4" w:space="0"/>
              <w:bottom w:val="single" w:color="000000" w:sz="4" w:space="0"/>
              <w:right w:val="single" w:color="000000" w:sz="4" w:space="0"/>
            </w:tcBorders>
            <w:shd w:val="clear" w:color="auto" w:fill="auto"/>
            <w:vAlign w:val="center"/>
          </w:tcPr>
          <w:p w14:paraId="54EF31B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9.81</w:t>
            </w:r>
          </w:p>
        </w:tc>
        <w:tc>
          <w:tcPr>
            <w:tcW w:w="761" w:type="dxa"/>
            <w:tcBorders>
              <w:top w:val="single" w:color="000000" w:sz="4" w:space="0"/>
              <w:left w:val="single" w:color="000000" w:sz="4" w:space="0"/>
              <w:bottom w:val="single" w:color="000000" w:sz="4" w:space="0"/>
              <w:right w:val="nil"/>
            </w:tcBorders>
            <w:shd w:val="clear" w:color="auto" w:fill="auto"/>
            <w:noWrap/>
            <w:vAlign w:val="center"/>
          </w:tcPr>
          <w:p w14:paraId="79D940A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EB2D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046E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1B0F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2389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3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9A3B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27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777DAD">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其中：本年预算拨款</w:t>
            </w:r>
          </w:p>
        </w:tc>
        <w:tc>
          <w:tcPr>
            <w:tcW w:w="751" w:type="dxa"/>
            <w:gridSpan w:val="2"/>
            <w:tcBorders>
              <w:top w:val="nil"/>
              <w:left w:val="single" w:color="000000" w:sz="4" w:space="0"/>
              <w:bottom w:val="single" w:color="000000" w:sz="4" w:space="0"/>
              <w:right w:val="single" w:color="000000" w:sz="4" w:space="0"/>
            </w:tcBorders>
            <w:shd w:val="clear" w:color="auto" w:fill="auto"/>
            <w:vAlign w:val="center"/>
          </w:tcPr>
          <w:p w14:paraId="4E1DB66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9.81</w:t>
            </w:r>
          </w:p>
        </w:tc>
        <w:tc>
          <w:tcPr>
            <w:tcW w:w="751" w:type="dxa"/>
            <w:tcBorders>
              <w:top w:val="nil"/>
              <w:left w:val="single" w:color="000000" w:sz="4" w:space="0"/>
              <w:bottom w:val="single" w:color="000000" w:sz="4" w:space="0"/>
              <w:right w:val="single" w:color="000000" w:sz="4" w:space="0"/>
            </w:tcBorders>
            <w:shd w:val="clear" w:color="auto" w:fill="auto"/>
            <w:vAlign w:val="center"/>
          </w:tcPr>
          <w:p w14:paraId="1276F87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9.81</w:t>
            </w:r>
          </w:p>
        </w:tc>
        <w:tc>
          <w:tcPr>
            <w:tcW w:w="761" w:type="dxa"/>
            <w:tcBorders>
              <w:top w:val="single" w:color="000000" w:sz="4" w:space="0"/>
              <w:left w:val="single" w:color="000000" w:sz="4" w:space="0"/>
              <w:bottom w:val="single" w:color="000000" w:sz="4" w:space="0"/>
              <w:right w:val="nil"/>
            </w:tcBorders>
            <w:shd w:val="clear" w:color="auto" w:fill="auto"/>
            <w:noWrap/>
            <w:vAlign w:val="center"/>
          </w:tcPr>
          <w:p w14:paraId="508E5CA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870E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3A38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066F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AEFC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3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125C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27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11D1E8">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 xml:space="preserve">      其他资金</w:t>
            </w:r>
          </w:p>
        </w:tc>
        <w:tc>
          <w:tcPr>
            <w:tcW w:w="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F72D8C">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07027">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w:t>
            </w:r>
          </w:p>
        </w:tc>
        <w:tc>
          <w:tcPr>
            <w:tcW w:w="761" w:type="dxa"/>
            <w:tcBorders>
              <w:top w:val="single" w:color="000000" w:sz="4" w:space="0"/>
              <w:left w:val="single" w:color="000000" w:sz="4" w:space="0"/>
              <w:bottom w:val="single" w:color="000000" w:sz="4" w:space="0"/>
              <w:right w:val="nil"/>
            </w:tcBorders>
            <w:shd w:val="clear" w:color="auto" w:fill="auto"/>
            <w:noWrap/>
            <w:vAlign w:val="center"/>
          </w:tcPr>
          <w:p w14:paraId="5048064D">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17887">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AF524">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4FC0E">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2"/>
                <w:szCs w:val="22"/>
                <w:u w:val="none"/>
              </w:rPr>
            </w:pPr>
          </w:p>
        </w:tc>
      </w:tr>
      <w:tr w14:paraId="462CF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AAAE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年度总体目标</w:t>
            </w:r>
          </w:p>
        </w:tc>
        <w:tc>
          <w:tcPr>
            <w:tcW w:w="727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A867C1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新冠肺炎疫情发生后，为快速提升兰州新区核酸检测能力，兰州新区卫生健康委紧急采购核酸检测设备，该设备合同额196.13万元，已支付合同额的95%为186.32万元（分别于2020年12月支付98.06万元、2021年1月支付88.26万元），剩余9.81万元为质保金，质保期2年,质保到期时间2022年12月，现将质保金9.81万元列入2023年预算，以支付设备到期质保金。</w:t>
            </w:r>
          </w:p>
        </w:tc>
      </w:tr>
      <w:tr w14:paraId="0BF4B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C35A7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绩效指标</w:t>
            </w:r>
          </w:p>
        </w:tc>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4F013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一级指标</w:t>
            </w:r>
          </w:p>
        </w:tc>
        <w:tc>
          <w:tcPr>
            <w:tcW w:w="73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06F64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二级指标</w:t>
            </w:r>
          </w:p>
        </w:tc>
        <w:tc>
          <w:tcPr>
            <w:tcW w:w="10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7106A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三级指标</w:t>
            </w:r>
          </w:p>
        </w:tc>
        <w:tc>
          <w:tcPr>
            <w:tcW w:w="7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74411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年度</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指标值</w:t>
            </w:r>
          </w:p>
        </w:tc>
        <w:tc>
          <w:tcPr>
            <w:tcW w:w="94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03672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实际完成值</w:t>
            </w:r>
          </w:p>
        </w:tc>
        <w:tc>
          <w:tcPr>
            <w:tcW w:w="85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B55CD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分值</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3602B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得分</w:t>
            </w:r>
          </w:p>
        </w:tc>
        <w:tc>
          <w:tcPr>
            <w:tcW w:w="224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B3F9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偏差原因分析及改进措施</w:t>
            </w:r>
          </w:p>
        </w:tc>
      </w:tr>
      <w:tr w14:paraId="639C3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0158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3DC2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3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3F1F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1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C581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9CB84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9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6FD93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85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BED7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28CFB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224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7CF7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r>
      <w:tr w14:paraId="269DE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86850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A7E3C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产出指标</w:t>
            </w:r>
          </w:p>
        </w:tc>
        <w:tc>
          <w:tcPr>
            <w:tcW w:w="7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92BCC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数量指标</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70DF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1台移动核酸检测车</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ED2D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979DB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5360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AC9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22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507A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完成</w:t>
            </w:r>
          </w:p>
        </w:tc>
      </w:tr>
      <w:tr w14:paraId="529BA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9833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FCEAE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E73D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质量指标</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9AC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核酸检测车正常使用</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483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55A3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100%</w:t>
            </w:r>
          </w:p>
        </w:tc>
        <w:tc>
          <w:tcPr>
            <w:tcW w:w="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C5FE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0D4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22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4BD5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东文宋体" w:hAnsi="东文宋体" w:eastAsia="东文宋体" w:cs="东文宋体"/>
                <w:i w:val="0"/>
                <w:iCs w:val="0"/>
                <w:color w:val="000000"/>
                <w:sz w:val="21"/>
                <w:szCs w:val="21"/>
                <w:u w:val="none"/>
              </w:rPr>
            </w:pPr>
            <w:r>
              <w:rPr>
                <w:rFonts w:hint="default" w:ascii="东文宋体" w:hAnsi="东文宋体" w:eastAsia="东文宋体" w:cs="东文宋体"/>
                <w:i w:val="0"/>
                <w:iCs w:val="0"/>
                <w:color w:val="000000"/>
                <w:kern w:val="0"/>
                <w:sz w:val="21"/>
                <w:szCs w:val="21"/>
                <w:u w:val="none"/>
                <w:lang w:val="en-US" w:eastAsia="zh-CN" w:bidi="ar"/>
              </w:rPr>
              <w:t>完成</w:t>
            </w:r>
          </w:p>
        </w:tc>
      </w:tr>
      <w:tr w14:paraId="7151F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9"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A296D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DDDE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E17F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时效指标</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9306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按期支付质保金</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DCF3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及时</w:t>
            </w:r>
          </w:p>
        </w:tc>
        <w:tc>
          <w:tcPr>
            <w:tcW w:w="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FAB47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1558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20</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1BE5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20</w:t>
            </w:r>
          </w:p>
        </w:tc>
        <w:tc>
          <w:tcPr>
            <w:tcW w:w="22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C389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及时</w:t>
            </w:r>
          </w:p>
        </w:tc>
      </w:tr>
      <w:tr w14:paraId="1C300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721B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26A89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D1865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社会效益指标</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92EC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检测能力</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3D5F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w:t>
            </w:r>
          </w:p>
        </w:tc>
        <w:tc>
          <w:tcPr>
            <w:tcW w:w="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F9E0F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E5E4A">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34279">
            <w:pPr>
              <w:keepNext w:val="0"/>
              <w:keepLines w:val="0"/>
              <w:pageBreakBefore w:val="0"/>
              <w:widowControl/>
              <w:suppressLineNumbers w:val="0"/>
              <w:kinsoku/>
              <w:wordWrap/>
              <w:overflowPunct/>
              <w:topLinePunct w:val="0"/>
              <w:autoSpaceDE/>
              <w:autoSpaceDN/>
              <w:bidi w:val="0"/>
              <w:adjustRightInd/>
              <w:snapToGrid/>
              <w:spacing w:line="240" w:lineRule="exact"/>
              <w:ind w:firstLineChars="20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22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2312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提高</w:t>
            </w:r>
          </w:p>
        </w:tc>
      </w:tr>
      <w:tr w14:paraId="704AE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94BB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0D02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732" w:type="dxa"/>
            <w:gridSpan w:val="2"/>
            <w:tcBorders>
              <w:top w:val="single" w:color="000000" w:sz="4" w:space="0"/>
              <w:left w:val="single" w:color="000000" w:sz="4" w:space="0"/>
              <w:bottom w:val="nil"/>
              <w:right w:val="single" w:color="000000" w:sz="4" w:space="0"/>
            </w:tcBorders>
            <w:shd w:val="clear" w:color="auto" w:fill="auto"/>
            <w:vAlign w:val="center"/>
          </w:tcPr>
          <w:p w14:paraId="7862223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可持续影响指标</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5A3B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提升传染病防控能力</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ED8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w:t>
            </w:r>
          </w:p>
        </w:tc>
        <w:tc>
          <w:tcPr>
            <w:tcW w:w="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F4F87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CFBCE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BC0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22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718D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提升</w:t>
            </w:r>
          </w:p>
        </w:tc>
      </w:tr>
      <w:tr w14:paraId="6E7C3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3"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9E64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21"/>
                <w:szCs w:val="21"/>
                <w:u w:val="none"/>
              </w:rPr>
            </w:pP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918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满意度指标</w:t>
            </w:r>
          </w:p>
        </w:tc>
        <w:tc>
          <w:tcPr>
            <w:tcW w:w="7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4D09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服务对象满意度指标</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B2D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人民群众满意度</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9039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满意</w:t>
            </w:r>
          </w:p>
        </w:tc>
        <w:tc>
          <w:tcPr>
            <w:tcW w:w="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1CFE1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已完成</w:t>
            </w:r>
          </w:p>
        </w:tc>
        <w:tc>
          <w:tcPr>
            <w:tcW w:w="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C7E0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07F3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15</w:t>
            </w:r>
          </w:p>
        </w:tc>
        <w:tc>
          <w:tcPr>
            <w:tcW w:w="22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D11E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w:t>
            </w:r>
          </w:p>
        </w:tc>
      </w:tr>
      <w:tr w14:paraId="128EB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trPr>
        <w:tc>
          <w:tcPr>
            <w:tcW w:w="41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3E350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总分</w:t>
            </w:r>
          </w:p>
        </w:tc>
        <w:tc>
          <w:tcPr>
            <w:tcW w:w="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BC1C2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5CB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100</w:t>
            </w:r>
          </w:p>
        </w:tc>
        <w:tc>
          <w:tcPr>
            <w:tcW w:w="30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A2379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i w:val="0"/>
                <w:iCs w:val="0"/>
                <w:color w:val="000000"/>
                <w:sz w:val="18"/>
                <w:szCs w:val="18"/>
                <w:u w:val="none"/>
              </w:rPr>
            </w:pPr>
          </w:p>
        </w:tc>
      </w:tr>
      <w:tr w14:paraId="72C09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A2C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说明</w:t>
            </w:r>
          </w:p>
        </w:tc>
        <w:tc>
          <w:tcPr>
            <w:tcW w:w="797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3DD176B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请在此处简要说明巡视巡查、审计和财政监督中发现的问题及其所涉及的金额，如没有填无</w:t>
            </w:r>
          </w:p>
        </w:tc>
      </w:tr>
      <w:tr w14:paraId="327DB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0" w:hRule="atLeast"/>
        </w:trPr>
        <w:tc>
          <w:tcPr>
            <w:tcW w:w="8614" w:type="dxa"/>
            <w:gridSpan w:val="14"/>
            <w:tcBorders>
              <w:top w:val="single" w:color="000000" w:sz="4" w:space="0"/>
              <w:left w:val="single" w:color="000000" w:sz="4" w:space="0"/>
              <w:bottom w:val="single" w:color="000000" w:sz="4" w:space="0"/>
              <w:right w:val="single" w:color="000000" w:sz="4" w:space="0"/>
            </w:tcBorders>
            <w:shd w:val="clear" w:color="auto" w:fill="auto"/>
            <w:vAlign w:val="top"/>
          </w:tcPr>
          <w:p w14:paraId="167A86B4">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注：1.其他资金包括中央补助、各级财政资金共同投入到同一项目的自有资金、社会资金等。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tc>
      </w:tr>
    </w:tbl>
    <w:p w14:paraId="6CB37B20">
      <w:pPr>
        <w:ind w:firstLine="0" w:firstLineChars="0"/>
      </w:pPr>
    </w:p>
    <w:p w14:paraId="47B486B0">
      <w:pPr>
        <w:pStyle w:val="2"/>
        <w:numPr>
          <w:ilvl w:val="5"/>
          <w:numId w:val="0"/>
        </w:numPr>
      </w:pPr>
    </w:p>
    <w:p w14:paraId="437F4514">
      <w:pPr>
        <w:pStyle w:val="2"/>
        <w:numPr>
          <w:ilvl w:val="5"/>
          <w:numId w:val="0"/>
        </w:numPr>
      </w:pPr>
    </w:p>
    <w:p w14:paraId="40B8AEEB">
      <w:pPr>
        <w:bidi w:val="0"/>
      </w:pPr>
    </w:p>
    <w:p w14:paraId="0001FCB4">
      <w:pPr>
        <w:bidi w:val="0"/>
      </w:pPr>
    </w:p>
    <w:p w14:paraId="51DC5F87">
      <w:pPr>
        <w:bidi w:val="0"/>
      </w:pPr>
    </w:p>
    <w:p w14:paraId="5F80D1F8">
      <w:pPr>
        <w:bidi w:val="0"/>
      </w:pPr>
    </w:p>
    <w:p w14:paraId="66B26A6C">
      <w:pPr>
        <w:bidi w:val="0"/>
      </w:pPr>
    </w:p>
    <w:p w14:paraId="4D044DF9">
      <w:pPr>
        <w:bidi w:val="0"/>
        <w:jc w:val="center"/>
      </w:pPr>
    </w:p>
    <w:p w14:paraId="1A265EF3">
      <w:pPr>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附件17</w:t>
      </w:r>
    </w:p>
    <w:p w14:paraId="4AE747A2">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398B30FF">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47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3"/>
        <w:gridCol w:w="763"/>
        <w:gridCol w:w="844"/>
        <w:gridCol w:w="264"/>
        <w:gridCol w:w="1019"/>
        <w:gridCol w:w="475"/>
        <w:gridCol w:w="620"/>
        <w:gridCol w:w="1401"/>
        <w:gridCol w:w="297"/>
        <w:gridCol w:w="435"/>
        <w:gridCol w:w="110"/>
        <w:gridCol w:w="540"/>
        <w:gridCol w:w="88"/>
        <w:gridCol w:w="980"/>
      </w:tblGrid>
      <w:tr w14:paraId="7A4C2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1406" w:type="dxa"/>
            <w:gridSpan w:val="2"/>
            <w:noWrap w:val="0"/>
            <w:vAlign w:val="center"/>
          </w:tcPr>
          <w:p w14:paraId="7A71417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073" w:type="dxa"/>
            <w:gridSpan w:val="12"/>
            <w:noWrap w:val="0"/>
            <w:vAlign w:val="center"/>
          </w:tcPr>
          <w:p w14:paraId="7AEDA98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卫生监督监测及从业人员健康体检经费</w:t>
            </w:r>
          </w:p>
        </w:tc>
      </w:tr>
      <w:tr w14:paraId="5414B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1406" w:type="dxa"/>
            <w:gridSpan w:val="2"/>
            <w:noWrap w:val="0"/>
            <w:vAlign w:val="center"/>
          </w:tcPr>
          <w:p w14:paraId="5B1A39C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222" w:type="dxa"/>
            <w:gridSpan w:val="5"/>
            <w:noWrap w:val="0"/>
            <w:vAlign w:val="center"/>
          </w:tcPr>
          <w:p w14:paraId="75FD347C">
            <w:pPr>
              <w:spacing w:line="240" w:lineRule="auto"/>
              <w:ind w:firstLine="0" w:firstLineChars="0"/>
              <w:jc w:val="center"/>
              <w:rPr>
                <w:rFonts w:hint="eastAsia" w:ascii="宋体" w:hAnsi="宋体" w:eastAsia="宋体" w:cs="宋体"/>
                <w:sz w:val="22"/>
                <w:szCs w:val="22"/>
              </w:rPr>
            </w:pPr>
          </w:p>
        </w:tc>
        <w:tc>
          <w:tcPr>
            <w:tcW w:w="1401" w:type="dxa"/>
            <w:noWrap w:val="0"/>
            <w:vAlign w:val="center"/>
          </w:tcPr>
          <w:p w14:paraId="1D509E7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50" w:type="dxa"/>
            <w:gridSpan w:val="6"/>
            <w:noWrap w:val="0"/>
            <w:vAlign w:val="center"/>
          </w:tcPr>
          <w:p w14:paraId="48EEE96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兰州新区卫生健康委员会</w:t>
            </w:r>
          </w:p>
        </w:tc>
      </w:tr>
      <w:tr w14:paraId="45D5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1406" w:type="dxa"/>
            <w:gridSpan w:val="2"/>
            <w:vMerge w:val="restart"/>
            <w:noWrap w:val="0"/>
            <w:vAlign w:val="center"/>
          </w:tcPr>
          <w:p w14:paraId="4A8AC2E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08" w:type="dxa"/>
            <w:gridSpan w:val="2"/>
            <w:noWrap w:val="0"/>
            <w:vAlign w:val="center"/>
          </w:tcPr>
          <w:p w14:paraId="6DB1F8DE">
            <w:pPr>
              <w:spacing w:line="240" w:lineRule="auto"/>
              <w:ind w:firstLine="0" w:firstLineChars="0"/>
              <w:jc w:val="center"/>
              <w:rPr>
                <w:rFonts w:hint="eastAsia" w:ascii="宋体" w:hAnsi="宋体" w:eastAsia="宋体" w:cs="宋体"/>
                <w:sz w:val="22"/>
                <w:szCs w:val="22"/>
              </w:rPr>
            </w:pPr>
          </w:p>
        </w:tc>
        <w:tc>
          <w:tcPr>
            <w:tcW w:w="1019" w:type="dxa"/>
            <w:noWrap w:val="0"/>
            <w:vAlign w:val="center"/>
          </w:tcPr>
          <w:p w14:paraId="006A506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95" w:type="dxa"/>
            <w:gridSpan w:val="2"/>
            <w:noWrap w:val="0"/>
            <w:vAlign w:val="center"/>
          </w:tcPr>
          <w:p w14:paraId="1F77D42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401" w:type="dxa"/>
            <w:noWrap w:val="0"/>
            <w:vAlign w:val="center"/>
          </w:tcPr>
          <w:p w14:paraId="2DA933E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32" w:type="dxa"/>
            <w:gridSpan w:val="2"/>
            <w:noWrap w:val="0"/>
            <w:vAlign w:val="center"/>
          </w:tcPr>
          <w:p w14:paraId="736E0FC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50" w:type="dxa"/>
            <w:gridSpan w:val="2"/>
            <w:noWrap w:val="0"/>
            <w:vAlign w:val="center"/>
          </w:tcPr>
          <w:p w14:paraId="506BF70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68" w:type="dxa"/>
            <w:gridSpan w:val="2"/>
            <w:noWrap w:val="0"/>
            <w:vAlign w:val="center"/>
          </w:tcPr>
          <w:p w14:paraId="681737F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575D5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1406" w:type="dxa"/>
            <w:gridSpan w:val="2"/>
            <w:vMerge w:val="continue"/>
            <w:noWrap w:val="0"/>
            <w:vAlign w:val="center"/>
          </w:tcPr>
          <w:p w14:paraId="7B5A6887">
            <w:pPr>
              <w:spacing w:line="240" w:lineRule="auto"/>
              <w:ind w:firstLine="0" w:firstLineChars="0"/>
              <w:jc w:val="center"/>
              <w:rPr>
                <w:rFonts w:hint="eastAsia" w:ascii="宋体" w:hAnsi="宋体" w:eastAsia="宋体" w:cs="宋体"/>
                <w:sz w:val="22"/>
                <w:szCs w:val="22"/>
              </w:rPr>
            </w:pPr>
          </w:p>
        </w:tc>
        <w:tc>
          <w:tcPr>
            <w:tcW w:w="1108" w:type="dxa"/>
            <w:gridSpan w:val="2"/>
            <w:noWrap w:val="0"/>
            <w:vAlign w:val="center"/>
          </w:tcPr>
          <w:p w14:paraId="4C95B2B7">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7CF5FA7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19" w:type="dxa"/>
            <w:noWrap w:val="0"/>
            <w:vAlign w:val="center"/>
          </w:tcPr>
          <w:p w14:paraId="45F2C5F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095" w:type="dxa"/>
            <w:gridSpan w:val="2"/>
            <w:noWrap w:val="0"/>
            <w:vAlign w:val="center"/>
          </w:tcPr>
          <w:p w14:paraId="5A3CADC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401" w:type="dxa"/>
            <w:noWrap w:val="0"/>
            <w:vAlign w:val="center"/>
          </w:tcPr>
          <w:p w14:paraId="4DF3C50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732" w:type="dxa"/>
            <w:gridSpan w:val="2"/>
            <w:noWrap w:val="0"/>
            <w:vAlign w:val="center"/>
          </w:tcPr>
          <w:p w14:paraId="71D6D39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pacing w:val="-5"/>
                <w:sz w:val="22"/>
                <w:szCs w:val="22"/>
                <w:lang w:val="en-US" w:eastAsia="zh-CN"/>
              </w:rPr>
              <w:t>100</w:t>
            </w:r>
          </w:p>
        </w:tc>
        <w:tc>
          <w:tcPr>
            <w:tcW w:w="650" w:type="dxa"/>
            <w:gridSpan w:val="2"/>
            <w:noWrap w:val="0"/>
            <w:vAlign w:val="center"/>
          </w:tcPr>
          <w:p w14:paraId="7A07B01F">
            <w:pPr>
              <w:spacing w:line="240" w:lineRule="auto"/>
              <w:ind w:firstLine="0" w:firstLineChars="0"/>
              <w:jc w:val="center"/>
              <w:rPr>
                <w:rFonts w:hint="default" w:ascii="宋体" w:hAnsi="宋体" w:eastAsia="宋体" w:cs="宋体"/>
                <w:sz w:val="22"/>
                <w:szCs w:val="22"/>
                <w:lang w:val="en-US" w:eastAsia="zh-CN"/>
              </w:rPr>
            </w:pPr>
          </w:p>
        </w:tc>
        <w:tc>
          <w:tcPr>
            <w:tcW w:w="1068" w:type="dxa"/>
            <w:gridSpan w:val="2"/>
            <w:noWrap w:val="0"/>
            <w:vAlign w:val="center"/>
          </w:tcPr>
          <w:p w14:paraId="466F6C1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r>
      <w:tr w14:paraId="0659A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1406" w:type="dxa"/>
            <w:gridSpan w:val="2"/>
            <w:vMerge w:val="continue"/>
            <w:noWrap w:val="0"/>
            <w:vAlign w:val="center"/>
          </w:tcPr>
          <w:p w14:paraId="306F028D">
            <w:pPr>
              <w:spacing w:line="240" w:lineRule="auto"/>
              <w:ind w:firstLine="0" w:firstLineChars="0"/>
              <w:jc w:val="center"/>
              <w:rPr>
                <w:rFonts w:hint="eastAsia" w:ascii="宋体" w:hAnsi="宋体" w:eastAsia="宋体" w:cs="宋体"/>
                <w:sz w:val="22"/>
                <w:szCs w:val="22"/>
              </w:rPr>
            </w:pPr>
          </w:p>
        </w:tc>
        <w:tc>
          <w:tcPr>
            <w:tcW w:w="1108" w:type="dxa"/>
            <w:gridSpan w:val="2"/>
            <w:noWrap w:val="0"/>
            <w:vAlign w:val="center"/>
          </w:tcPr>
          <w:p w14:paraId="2E1CDC4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19" w:type="dxa"/>
            <w:noWrap w:val="0"/>
            <w:vAlign w:val="center"/>
          </w:tcPr>
          <w:p w14:paraId="37CFC2E3">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095" w:type="dxa"/>
            <w:gridSpan w:val="2"/>
            <w:noWrap w:val="0"/>
            <w:vAlign w:val="center"/>
          </w:tcPr>
          <w:p w14:paraId="3DA6B78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401" w:type="dxa"/>
            <w:noWrap w:val="0"/>
            <w:vAlign w:val="center"/>
          </w:tcPr>
          <w:p w14:paraId="2A95229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732" w:type="dxa"/>
            <w:gridSpan w:val="2"/>
            <w:noWrap w:val="0"/>
            <w:vAlign w:val="center"/>
          </w:tcPr>
          <w:p w14:paraId="21B4283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50" w:type="dxa"/>
            <w:gridSpan w:val="2"/>
            <w:noWrap w:val="0"/>
            <w:vAlign w:val="center"/>
          </w:tcPr>
          <w:p w14:paraId="6BAB9EE7">
            <w:pPr>
              <w:spacing w:line="240" w:lineRule="auto"/>
              <w:ind w:firstLine="0" w:firstLineChars="0"/>
              <w:jc w:val="center"/>
              <w:rPr>
                <w:rFonts w:hint="eastAsia" w:ascii="宋体" w:hAnsi="宋体" w:eastAsia="宋体" w:cs="宋体"/>
                <w:sz w:val="22"/>
                <w:szCs w:val="22"/>
              </w:rPr>
            </w:pPr>
          </w:p>
        </w:tc>
        <w:tc>
          <w:tcPr>
            <w:tcW w:w="1068" w:type="dxa"/>
            <w:gridSpan w:val="2"/>
            <w:noWrap w:val="0"/>
            <w:vAlign w:val="center"/>
          </w:tcPr>
          <w:p w14:paraId="6E82C73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678D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1406" w:type="dxa"/>
            <w:gridSpan w:val="2"/>
            <w:vMerge w:val="continue"/>
            <w:noWrap w:val="0"/>
            <w:vAlign w:val="center"/>
          </w:tcPr>
          <w:p w14:paraId="20FF8748">
            <w:pPr>
              <w:spacing w:line="240" w:lineRule="auto"/>
              <w:ind w:firstLine="0" w:firstLineChars="0"/>
              <w:jc w:val="center"/>
              <w:rPr>
                <w:rFonts w:hint="eastAsia" w:ascii="宋体" w:hAnsi="宋体" w:eastAsia="宋体" w:cs="宋体"/>
                <w:sz w:val="22"/>
                <w:szCs w:val="22"/>
              </w:rPr>
            </w:pPr>
          </w:p>
        </w:tc>
        <w:tc>
          <w:tcPr>
            <w:tcW w:w="1108" w:type="dxa"/>
            <w:gridSpan w:val="2"/>
            <w:noWrap w:val="0"/>
            <w:vAlign w:val="center"/>
          </w:tcPr>
          <w:p w14:paraId="1ADE6E0A">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3C86001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19" w:type="dxa"/>
            <w:noWrap w:val="0"/>
            <w:vAlign w:val="center"/>
          </w:tcPr>
          <w:p w14:paraId="7D8A0964">
            <w:pPr>
              <w:spacing w:line="240" w:lineRule="auto"/>
              <w:ind w:firstLine="0" w:firstLineChars="0"/>
              <w:jc w:val="center"/>
              <w:rPr>
                <w:rFonts w:hint="eastAsia" w:ascii="宋体" w:hAnsi="宋体" w:eastAsia="宋体" w:cs="宋体"/>
                <w:sz w:val="22"/>
                <w:szCs w:val="22"/>
              </w:rPr>
            </w:pPr>
          </w:p>
        </w:tc>
        <w:tc>
          <w:tcPr>
            <w:tcW w:w="1095" w:type="dxa"/>
            <w:gridSpan w:val="2"/>
            <w:noWrap w:val="0"/>
            <w:vAlign w:val="center"/>
          </w:tcPr>
          <w:p w14:paraId="015C0DDB">
            <w:pPr>
              <w:spacing w:line="240" w:lineRule="auto"/>
              <w:ind w:firstLine="0" w:firstLineChars="0"/>
              <w:jc w:val="center"/>
              <w:rPr>
                <w:rFonts w:hint="eastAsia" w:ascii="宋体" w:hAnsi="宋体" w:eastAsia="宋体" w:cs="宋体"/>
                <w:sz w:val="22"/>
                <w:szCs w:val="22"/>
              </w:rPr>
            </w:pPr>
          </w:p>
        </w:tc>
        <w:tc>
          <w:tcPr>
            <w:tcW w:w="1401" w:type="dxa"/>
            <w:noWrap w:val="0"/>
            <w:vAlign w:val="center"/>
          </w:tcPr>
          <w:p w14:paraId="1612BD98">
            <w:pPr>
              <w:spacing w:line="240" w:lineRule="auto"/>
              <w:ind w:firstLine="0" w:firstLineChars="0"/>
              <w:jc w:val="center"/>
              <w:rPr>
                <w:rFonts w:hint="eastAsia" w:ascii="宋体" w:hAnsi="宋体" w:eastAsia="宋体" w:cs="宋体"/>
                <w:sz w:val="22"/>
                <w:szCs w:val="22"/>
              </w:rPr>
            </w:pPr>
          </w:p>
        </w:tc>
        <w:tc>
          <w:tcPr>
            <w:tcW w:w="732" w:type="dxa"/>
            <w:gridSpan w:val="2"/>
            <w:noWrap w:val="0"/>
            <w:vAlign w:val="center"/>
          </w:tcPr>
          <w:p w14:paraId="65A566B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50" w:type="dxa"/>
            <w:gridSpan w:val="2"/>
            <w:noWrap w:val="0"/>
            <w:vAlign w:val="center"/>
          </w:tcPr>
          <w:p w14:paraId="0F1FDB26">
            <w:pPr>
              <w:spacing w:line="240" w:lineRule="auto"/>
              <w:ind w:firstLine="0" w:firstLineChars="0"/>
              <w:jc w:val="center"/>
              <w:rPr>
                <w:rFonts w:hint="eastAsia" w:ascii="宋体" w:hAnsi="宋体" w:eastAsia="宋体" w:cs="宋体"/>
                <w:sz w:val="22"/>
                <w:szCs w:val="22"/>
              </w:rPr>
            </w:pPr>
          </w:p>
        </w:tc>
        <w:tc>
          <w:tcPr>
            <w:tcW w:w="1068" w:type="dxa"/>
            <w:gridSpan w:val="2"/>
            <w:noWrap w:val="0"/>
            <w:vAlign w:val="center"/>
          </w:tcPr>
          <w:p w14:paraId="6D5FE7D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C97C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1406" w:type="dxa"/>
            <w:gridSpan w:val="2"/>
            <w:vMerge w:val="continue"/>
            <w:noWrap w:val="0"/>
            <w:vAlign w:val="center"/>
          </w:tcPr>
          <w:p w14:paraId="5ED57725">
            <w:pPr>
              <w:spacing w:line="240" w:lineRule="auto"/>
              <w:ind w:firstLine="0" w:firstLineChars="0"/>
              <w:jc w:val="center"/>
              <w:rPr>
                <w:rFonts w:hint="eastAsia" w:ascii="宋体" w:hAnsi="宋体" w:eastAsia="宋体" w:cs="宋体"/>
                <w:sz w:val="22"/>
                <w:szCs w:val="22"/>
              </w:rPr>
            </w:pPr>
          </w:p>
        </w:tc>
        <w:tc>
          <w:tcPr>
            <w:tcW w:w="1108" w:type="dxa"/>
            <w:gridSpan w:val="2"/>
            <w:noWrap w:val="0"/>
            <w:vAlign w:val="center"/>
          </w:tcPr>
          <w:p w14:paraId="76CE86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19" w:type="dxa"/>
            <w:noWrap w:val="0"/>
            <w:vAlign w:val="center"/>
          </w:tcPr>
          <w:p w14:paraId="3BEF866E">
            <w:pPr>
              <w:spacing w:line="240" w:lineRule="auto"/>
              <w:ind w:firstLine="0" w:firstLineChars="0"/>
              <w:jc w:val="center"/>
              <w:rPr>
                <w:rFonts w:hint="eastAsia" w:ascii="宋体" w:hAnsi="宋体" w:eastAsia="宋体" w:cs="宋体"/>
                <w:sz w:val="22"/>
                <w:szCs w:val="22"/>
              </w:rPr>
            </w:pPr>
          </w:p>
        </w:tc>
        <w:tc>
          <w:tcPr>
            <w:tcW w:w="1095" w:type="dxa"/>
            <w:gridSpan w:val="2"/>
            <w:noWrap w:val="0"/>
            <w:vAlign w:val="center"/>
          </w:tcPr>
          <w:p w14:paraId="745DBF12">
            <w:pPr>
              <w:spacing w:line="240" w:lineRule="auto"/>
              <w:ind w:firstLine="0" w:firstLineChars="0"/>
              <w:jc w:val="center"/>
              <w:rPr>
                <w:rFonts w:hint="eastAsia" w:ascii="宋体" w:hAnsi="宋体" w:eastAsia="宋体" w:cs="宋体"/>
                <w:sz w:val="22"/>
                <w:szCs w:val="22"/>
              </w:rPr>
            </w:pPr>
          </w:p>
        </w:tc>
        <w:tc>
          <w:tcPr>
            <w:tcW w:w="1401" w:type="dxa"/>
            <w:noWrap w:val="0"/>
            <w:vAlign w:val="center"/>
          </w:tcPr>
          <w:p w14:paraId="5081E6BC">
            <w:pPr>
              <w:spacing w:line="240" w:lineRule="auto"/>
              <w:ind w:firstLine="0" w:firstLineChars="0"/>
              <w:jc w:val="center"/>
              <w:rPr>
                <w:rFonts w:hint="eastAsia" w:ascii="宋体" w:hAnsi="宋体" w:eastAsia="宋体" w:cs="宋体"/>
                <w:sz w:val="22"/>
                <w:szCs w:val="22"/>
              </w:rPr>
            </w:pPr>
          </w:p>
        </w:tc>
        <w:tc>
          <w:tcPr>
            <w:tcW w:w="732" w:type="dxa"/>
            <w:gridSpan w:val="2"/>
            <w:noWrap w:val="0"/>
            <w:vAlign w:val="center"/>
          </w:tcPr>
          <w:p w14:paraId="7010DA4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50" w:type="dxa"/>
            <w:gridSpan w:val="2"/>
            <w:noWrap w:val="0"/>
            <w:vAlign w:val="center"/>
          </w:tcPr>
          <w:p w14:paraId="2CA9E763">
            <w:pPr>
              <w:spacing w:line="240" w:lineRule="auto"/>
              <w:ind w:firstLine="0" w:firstLineChars="0"/>
              <w:jc w:val="center"/>
              <w:rPr>
                <w:rFonts w:hint="eastAsia" w:ascii="宋体" w:hAnsi="宋体" w:eastAsia="宋体" w:cs="宋体"/>
                <w:sz w:val="22"/>
                <w:szCs w:val="22"/>
              </w:rPr>
            </w:pPr>
          </w:p>
        </w:tc>
        <w:tc>
          <w:tcPr>
            <w:tcW w:w="1068" w:type="dxa"/>
            <w:gridSpan w:val="2"/>
            <w:noWrap w:val="0"/>
            <w:vAlign w:val="center"/>
          </w:tcPr>
          <w:p w14:paraId="4BF80B9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1D63C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643" w:type="dxa"/>
            <w:vMerge w:val="restart"/>
            <w:noWrap w:val="0"/>
            <w:vAlign w:val="center"/>
          </w:tcPr>
          <w:p w14:paraId="00790FF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3985" w:type="dxa"/>
            <w:gridSpan w:val="6"/>
            <w:noWrap w:val="0"/>
            <w:vAlign w:val="center"/>
          </w:tcPr>
          <w:p w14:paraId="6CD6959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851" w:type="dxa"/>
            <w:gridSpan w:val="7"/>
            <w:noWrap w:val="0"/>
            <w:vAlign w:val="center"/>
          </w:tcPr>
          <w:p w14:paraId="7EDCC7A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55503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9" w:hRule="atLeast"/>
        </w:trPr>
        <w:tc>
          <w:tcPr>
            <w:tcW w:w="643" w:type="dxa"/>
            <w:vMerge w:val="continue"/>
            <w:noWrap w:val="0"/>
            <w:vAlign w:val="center"/>
          </w:tcPr>
          <w:p w14:paraId="26933915">
            <w:pPr>
              <w:spacing w:line="240" w:lineRule="auto"/>
              <w:ind w:firstLine="0" w:firstLineChars="0"/>
              <w:jc w:val="center"/>
              <w:rPr>
                <w:rFonts w:hint="eastAsia" w:ascii="宋体" w:hAnsi="宋体" w:eastAsia="宋体" w:cs="宋体"/>
                <w:sz w:val="22"/>
                <w:szCs w:val="22"/>
              </w:rPr>
            </w:pPr>
          </w:p>
        </w:tc>
        <w:tc>
          <w:tcPr>
            <w:tcW w:w="3985" w:type="dxa"/>
            <w:gridSpan w:val="6"/>
            <w:noWrap w:val="0"/>
            <w:vAlign w:val="center"/>
          </w:tcPr>
          <w:p w14:paraId="4033179B">
            <w:pPr>
              <w:widowControl/>
              <w:spacing w:line="240" w:lineRule="auto"/>
              <w:ind w:firstLine="0" w:firstLineChars="0"/>
              <w:jc w:val="left"/>
              <w:textAlignment w:val="center"/>
              <w:rPr>
                <w:rFonts w:hint="eastAsia" w:ascii="宋体" w:hAnsi="宋体" w:eastAsia="宋体" w:cs="宋体"/>
                <w:color w:val="FF0000"/>
                <w:kern w:val="0"/>
                <w:sz w:val="18"/>
                <w:szCs w:val="18"/>
                <w:lang w:eastAsia="zh-CN"/>
              </w:rPr>
            </w:pPr>
            <w:r>
              <w:rPr>
                <w:rFonts w:hint="eastAsia" w:ascii="宋体" w:hAnsi="宋体" w:eastAsia="宋体" w:cs="宋体"/>
                <w:color w:val="000000"/>
                <w:kern w:val="0"/>
                <w:sz w:val="18"/>
                <w:szCs w:val="18"/>
              </w:rPr>
              <w:t>开展医疗机构、学校、公共场所、供水单位、消毒监测等</w:t>
            </w:r>
            <w:r>
              <w:rPr>
                <w:rFonts w:hint="eastAsia" w:ascii="宋体" w:hAnsi="宋体" w:eastAsia="宋体" w:cs="宋体"/>
                <w:color w:val="auto"/>
                <w:kern w:val="0"/>
                <w:sz w:val="18"/>
                <w:szCs w:val="18"/>
              </w:rPr>
              <w:t>抽检监测；开展大型活动和节会应急保障及监测；对卫生健康领域群众投诉事项进行抽检检测</w:t>
            </w:r>
            <w:r>
              <w:rPr>
                <w:rFonts w:hint="eastAsia" w:ascii="宋体" w:hAnsi="宋体" w:eastAsia="宋体" w:cs="宋体"/>
                <w:color w:val="auto"/>
                <w:kern w:val="0"/>
                <w:sz w:val="18"/>
                <w:szCs w:val="18"/>
                <w:lang w:eastAsia="zh-CN"/>
              </w:rPr>
              <w:t>；购置卫生监督执法设施设备；制作法制、诚信、卫生健康等宣传资料及开展相关培训。</w:t>
            </w:r>
          </w:p>
          <w:p w14:paraId="1FCEC643">
            <w:pPr>
              <w:spacing w:line="240" w:lineRule="auto"/>
              <w:ind w:firstLine="0" w:firstLineChars="0"/>
              <w:jc w:val="center"/>
              <w:rPr>
                <w:rFonts w:hint="eastAsia" w:ascii="宋体" w:hAnsi="宋体" w:eastAsia="宋体" w:cs="宋体"/>
                <w:sz w:val="22"/>
                <w:szCs w:val="22"/>
              </w:rPr>
            </w:pPr>
          </w:p>
        </w:tc>
        <w:tc>
          <w:tcPr>
            <w:tcW w:w="3851" w:type="dxa"/>
            <w:gridSpan w:val="7"/>
            <w:noWrap w:val="0"/>
            <w:vAlign w:val="center"/>
          </w:tcPr>
          <w:p w14:paraId="77559D63">
            <w:pPr>
              <w:spacing w:line="240" w:lineRule="auto"/>
              <w:ind w:firstLine="0" w:firstLineChars="0"/>
              <w:jc w:val="left"/>
              <w:rPr>
                <w:rFonts w:hint="eastAsia" w:ascii="宋体" w:hAnsi="宋体" w:eastAsia="宋体" w:cs="宋体"/>
                <w:sz w:val="22"/>
                <w:szCs w:val="22"/>
              </w:rPr>
            </w:pPr>
            <w:r>
              <w:rPr>
                <w:rFonts w:hint="eastAsia" w:ascii="宋体" w:hAnsi="宋体" w:eastAsia="宋体" w:cs="宋体"/>
                <w:color w:val="000000"/>
                <w:kern w:val="0"/>
                <w:sz w:val="18"/>
                <w:szCs w:val="18"/>
              </w:rPr>
              <w:t>通过政府采购，委托国信润达对医疗机构、学校、公共场所、供水单位、消毒监测等单位抽检监测。开展并完成监督抽检工作；完成节会应急保障任务；完成群众卫生健康领域投诉处置工作。</w:t>
            </w:r>
          </w:p>
        </w:tc>
      </w:tr>
      <w:tr w14:paraId="1849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643" w:type="dxa"/>
            <w:vMerge w:val="restart"/>
            <w:noWrap w:val="0"/>
            <w:vAlign w:val="center"/>
          </w:tcPr>
          <w:p w14:paraId="22A1CB55">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63" w:type="dxa"/>
            <w:noWrap w:val="0"/>
            <w:vAlign w:val="center"/>
          </w:tcPr>
          <w:p w14:paraId="198EA1BF">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2A7A70E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4" w:type="dxa"/>
            <w:noWrap w:val="0"/>
            <w:vAlign w:val="center"/>
          </w:tcPr>
          <w:p w14:paraId="5DFB5BC4">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4FE2567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758" w:type="dxa"/>
            <w:gridSpan w:val="3"/>
            <w:noWrap w:val="0"/>
            <w:vAlign w:val="center"/>
          </w:tcPr>
          <w:p w14:paraId="76604AF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620" w:type="dxa"/>
            <w:noWrap w:val="0"/>
            <w:vAlign w:val="center"/>
          </w:tcPr>
          <w:p w14:paraId="1FF7ED9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1698" w:type="dxa"/>
            <w:gridSpan w:val="2"/>
            <w:noWrap w:val="0"/>
            <w:vAlign w:val="center"/>
          </w:tcPr>
          <w:p w14:paraId="3B833F3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545" w:type="dxa"/>
            <w:gridSpan w:val="2"/>
            <w:noWrap w:val="0"/>
            <w:vAlign w:val="center"/>
          </w:tcPr>
          <w:p w14:paraId="76E0C7F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28" w:type="dxa"/>
            <w:gridSpan w:val="2"/>
            <w:noWrap w:val="0"/>
            <w:vAlign w:val="center"/>
          </w:tcPr>
          <w:p w14:paraId="00857B4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980" w:type="dxa"/>
            <w:noWrap w:val="0"/>
            <w:vAlign w:val="center"/>
          </w:tcPr>
          <w:p w14:paraId="187DDFC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67825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trPr>
        <w:tc>
          <w:tcPr>
            <w:tcW w:w="643" w:type="dxa"/>
            <w:vMerge w:val="continue"/>
            <w:noWrap w:val="0"/>
            <w:textDirection w:val="tbRlV"/>
            <w:vAlign w:val="center"/>
          </w:tcPr>
          <w:p w14:paraId="350CC2F3">
            <w:pPr>
              <w:spacing w:line="240" w:lineRule="auto"/>
              <w:ind w:left="113" w:right="113" w:firstLine="0" w:firstLineChars="0"/>
              <w:jc w:val="center"/>
              <w:rPr>
                <w:rFonts w:hint="eastAsia" w:ascii="宋体" w:hAnsi="宋体" w:eastAsia="宋体" w:cs="宋体"/>
                <w:sz w:val="22"/>
                <w:szCs w:val="22"/>
              </w:rPr>
            </w:pPr>
          </w:p>
        </w:tc>
        <w:tc>
          <w:tcPr>
            <w:tcW w:w="763" w:type="dxa"/>
            <w:vMerge w:val="restart"/>
            <w:noWrap w:val="0"/>
            <w:vAlign w:val="center"/>
          </w:tcPr>
          <w:p w14:paraId="4F1E006F">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310DBE3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4" w:type="dxa"/>
            <w:vMerge w:val="restart"/>
            <w:noWrap w:val="0"/>
            <w:vAlign w:val="center"/>
          </w:tcPr>
          <w:p w14:paraId="437FC963">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36E36955">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758" w:type="dxa"/>
            <w:gridSpan w:val="3"/>
            <w:noWrap w:val="0"/>
            <w:vAlign w:val="center"/>
          </w:tcPr>
          <w:p w14:paraId="44CE679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卫生健康全行业监督抽检监测</w:t>
            </w:r>
          </w:p>
        </w:tc>
        <w:tc>
          <w:tcPr>
            <w:tcW w:w="620" w:type="dxa"/>
            <w:noWrap w:val="0"/>
            <w:vAlign w:val="center"/>
          </w:tcPr>
          <w:p w14:paraId="4D5B749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完成医疗机构监督抽检任务</w:t>
            </w:r>
          </w:p>
        </w:tc>
        <w:tc>
          <w:tcPr>
            <w:tcW w:w="1698" w:type="dxa"/>
            <w:gridSpan w:val="2"/>
            <w:noWrap w:val="0"/>
            <w:vAlign w:val="center"/>
          </w:tcPr>
          <w:p w14:paraId="1C8C899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1"/>
                <w:szCs w:val="21"/>
                <w:u w:val="none"/>
                <w:lang w:val="en-US" w:eastAsia="zh-CN" w:bidi="ar"/>
              </w:rPr>
              <w:t>完成</w:t>
            </w:r>
          </w:p>
        </w:tc>
        <w:tc>
          <w:tcPr>
            <w:tcW w:w="545" w:type="dxa"/>
            <w:gridSpan w:val="2"/>
            <w:noWrap w:val="0"/>
            <w:vAlign w:val="center"/>
          </w:tcPr>
          <w:p w14:paraId="115E9007">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628" w:type="dxa"/>
            <w:gridSpan w:val="2"/>
            <w:noWrap w:val="0"/>
            <w:vAlign w:val="center"/>
          </w:tcPr>
          <w:p w14:paraId="7DB97901">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980" w:type="dxa"/>
            <w:noWrap w:val="0"/>
            <w:vAlign w:val="center"/>
          </w:tcPr>
          <w:p w14:paraId="4B6E1FBA">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40177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trPr>
        <w:tc>
          <w:tcPr>
            <w:tcW w:w="643" w:type="dxa"/>
            <w:vMerge w:val="continue"/>
            <w:noWrap w:val="0"/>
            <w:vAlign w:val="center"/>
          </w:tcPr>
          <w:p w14:paraId="2BA1D21C">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43040A11">
            <w:pPr>
              <w:spacing w:line="240" w:lineRule="auto"/>
              <w:ind w:firstLine="0" w:firstLineChars="0"/>
              <w:jc w:val="center"/>
              <w:rPr>
                <w:rFonts w:hint="eastAsia" w:ascii="宋体" w:hAnsi="宋体" w:eastAsia="宋体" w:cs="宋体"/>
                <w:sz w:val="22"/>
                <w:szCs w:val="22"/>
              </w:rPr>
            </w:pPr>
          </w:p>
        </w:tc>
        <w:tc>
          <w:tcPr>
            <w:tcW w:w="844" w:type="dxa"/>
            <w:vMerge w:val="continue"/>
            <w:noWrap w:val="0"/>
            <w:vAlign w:val="center"/>
          </w:tcPr>
          <w:p w14:paraId="56F8A733">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c>
          <w:tcPr>
            <w:tcW w:w="1758" w:type="dxa"/>
            <w:gridSpan w:val="3"/>
            <w:noWrap w:val="0"/>
            <w:vAlign w:val="center"/>
          </w:tcPr>
          <w:p w14:paraId="3962BA6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1"/>
                <w:szCs w:val="21"/>
                <w:u w:val="none"/>
                <w:lang w:val="en-US" w:eastAsia="zh-CN" w:bidi="ar"/>
              </w:rPr>
              <w:t>大型活动和节会应急保障抽检及时率</w:t>
            </w:r>
          </w:p>
        </w:tc>
        <w:tc>
          <w:tcPr>
            <w:tcW w:w="620" w:type="dxa"/>
            <w:noWrap w:val="0"/>
            <w:vAlign w:val="center"/>
          </w:tcPr>
          <w:p w14:paraId="713C927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1"/>
                <w:szCs w:val="21"/>
                <w:u w:val="none"/>
                <w:lang w:val="en-US" w:eastAsia="zh-CN" w:bidi="ar"/>
              </w:rPr>
              <w:t>及时</w:t>
            </w:r>
          </w:p>
        </w:tc>
        <w:tc>
          <w:tcPr>
            <w:tcW w:w="1698" w:type="dxa"/>
            <w:gridSpan w:val="2"/>
            <w:noWrap w:val="0"/>
            <w:vAlign w:val="center"/>
          </w:tcPr>
          <w:p w14:paraId="6AF3C20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1"/>
                <w:szCs w:val="21"/>
                <w:u w:val="none"/>
                <w:lang w:val="en-US" w:eastAsia="zh-CN" w:bidi="ar"/>
              </w:rPr>
              <w:t>完成</w:t>
            </w:r>
          </w:p>
        </w:tc>
        <w:tc>
          <w:tcPr>
            <w:tcW w:w="545" w:type="dxa"/>
            <w:gridSpan w:val="2"/>
            <w:noWrap w:val="0"/>
            <w:vAlign w:val="center"/>
          </w:tcPr>
          <w:p w14:paraId="0D90A74B">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628" w:type="dxa"/>
            <w:gridSpan w:val="2"/>
            <w:noWrap w:val="0"/>
            <w:vAlign w:val="center"/>
          </w:tcPr>
          <w:p w14:paraId="798B97C0">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980" w:type="dxa"/>
            <w:noWrap w:val="0"/>
            <w:vAlign w:val="center"/>
          </w:tcPr>
          <w:p w14:paraId="3CA7EDF7">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7D677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643" w:type="dxa"/>
            <w:vMerge w:val="continue"/>
            <w:noWrap w:val="0"/>
            <w:vAlign w:val="center"/>
          </w:tcPr>
          <w:p w14:paraId="761B51AA">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16A1B509">
            <w:pPr>
              <w:spacing w:line="240" w:lineRule="auto"/>
              <w:ind w:firstLine="0" w:firstLineChars="0"/>
              <w:jc w:val="center"/>
              <w:rPr>
                <w:rFonts w:hint="eastAsia" w:ascii="宋体" w:hAnsi="宋体" w:eastAsia="宋体" w:cs="宋体"/>
                <w:sz w:val="22"/>
                <w:szCs w:val="22"/>
              </w:rPr>
            </w:pPr>
          </w:p>
        </w:tc>
        <w:tc>
          <w:tcPr>
            <w:tcW w:w="844" w:type="dxa"/>
            <w:vMerge w:val="continue"/>
            <w:noWrap w:val="0"/>
            <w:vAlign w:val="center"/>
          </w:tcPr>
          <w:p w14:paraId="306B51CE">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c>
          <w:tcPr>
            <w:tcW w:w="1758" w:type="dxa"/>
            <w:gridSpan w:val="3"/>
            <w:noWrap w:val="0"/>
            <w:vAlign w:val="center"/>
          </w:tcPr>
          <w:p w14:paraId="3B527F5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1"/>
                <w:szCs w:val="21"/>
                <w:u w:val="none"/>
                <w:lang w:val="en-US" w:eastAsia="zh-CN" w:bidi="ar"/>
              </w:rPr>
              <w:t xml:space="preserve">卫生监督执法设备使用率 </w:t>
            </w:r>
          </w:p>
        </w:tc>
        <w:tc>
          <w:tcPr>
            <w:tcW w:w="620" w:type="dxa"/>
            <w:noWrap w:val="0"/>
            <w:vAlign w:val="center"/>
          </w:tcPr>
          <w:p w14:paraId="21CB6E4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1698" w:type="dxa"/>
            <w:gridSpan w:val="2"/>
            <w:noWrap w:val="0"/>
            <w:vAlign w:val="center"/>
          </w:tcPr>
          <w:p w14:paraId="0F6E8F2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1"/>
                <w:szCs w:val="21"/>
                <w:u w:val="none"/>
                <w:lang w:val="en-US" w:eastAsia="zh-CN" w:bidi="ar"/>
              </w:rPr>
              <w:t>完成</w:t>
            </w:r>
          </w:p>
        </w:tc>
        <w:tc>
          <w:tcPr>
            <w:tcW w:w="545" w:type="dxa"/>
            <w:gridSpan w:val="2"/>
            <w:noWrap w:val="0"/>
            <w:vAlign w:val="center"/>
          </w:tcPr>
          <w:p w14:paraId="2807466D">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628" w:type="dxa"/>
            <w:gridSpan w:val="2"/>
            <w:noWrap w:val="0"/>
            <w:vAlign w:val="center"/>
          </w:tcPr>
          <w:p w14:paraId="11074085">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980" w:type="dxa"/>
            <w:noWrap w:val="0"/>
            <w:vAlign w:val="center"/>
          </w:tcPr>
          <w:p w14:paraId="0AB6C051">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433C0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trPr>
        <w:tc>
          <w:tcPr>
            <w:tcW w:w="643" w:type="dxa"/>
            <w:vMerge w:val="continue"/>
            <w:noWrap w:val="0"/>
            <w:vAlign w:val="center"/>
          </w:tcPr>
          <w:p w14:paraId="14E45053">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550A932E">
            <w:pPr>
              <w:spacing w:line="240" w:lineRule="auto"/>
              <w:ind w:firstLine="0" w:firstLineChars="0"/>
              <w:jc w:val="center"/>
              <w:rPr>
                <w:rFonts w:hint="eastAsia" w:ascii="宋体" w:hAnsi="宋体" w:eastAsia="宋体" w:cs="宋体"/>
                <w:sz w:val="22"/>
                <w:szCs w:val="22"/>
              </w:rPr>
            </w:pPr>
          </w:p>
        </w:tc>
        <w:tc>
          <w:tcPr>
            <w:tcW w:w="844" w:type="dxa"/>
            <w:vMerge w:val="restart"/>
            <w:noWrap w:val="0"/>
            <w:vAlign w:val="center"/>
          </w:tcPr>
          <w:p w14:paraId="2B8F0C1D">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7D006C3E">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758" w:type="dxa"/>
            <w:gridSpan w:val="3"/>
            <w:noWrap w:val="0"/>
            <w:vAlign w:val="center"/>
          </w:tcPr>
          <w:p w14:paraId="40318FC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公共场所、供水单位、学校等重点单位卫生质量</w:t>
            </w:r>
          </w:p>
        </w:tc>
        <w:tc>
          <w:tcPr>
            <w:tcW w:w="620" w:type="dxa"/>
            <w:noWrap w:val="0"/>
            <w:vAlign w:val="center"/>
          </w:tcPr>
          <w:p w14:paraId="0CCF832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1698" w:type="dxa"/>
            <w:gridSpan w:val="2"/>
            <w:noWrap w:val="0"/>
            <w:vAlign w:val="center"/>
          </w:tcPr>
          <w:p w14:paraId="5F18211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545" w:type="dxa"/>
            <w:gridSpan w:val="2"/>
            <w:noWrap w:val="0"/>
            <w:vAlign w:val="center"/>
          </w:tcPr>
          <w:p w14:paraId="5CF9BAF4">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628" w:type="dxa"/>
            <w:gridSpan w:val="2"/>
            <w:noWrap w:val="0"/>
            <w:vAlign w:val="center"/>
          </w:tcPr>
          <w:p w14:paraId="72F9E3F9">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980" w:type="dxa"/>
            <w:noWrap w:val="0"/>
            <w:vAlign w:val="center"/>
          </w:tcPr>
          <w:p w14:paraId="5F5AB87D">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29C0E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trPr>
        <w:tc>
          <w:tcPr>
            <w:tcW w:w="643" w:type="dxa"/>
            <w:vMerge w:val="continue"/>
            <w:noWrap w:val="0"/>
            <w:vAlign w:val="center"/>
          </w:tcPr>
          <w:p w14:paraId="3CD4A3A1">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259FB86D">
            <w:pPr>
              <w:spacing w:line="240" w:lineRule="auto"/>
              <w:ind w:firstLine="0" w:firstLineChars="0"/>
              <w:jc w:val="center"/>
              <w:rPr>
                <w:rFonts w:hint="eastAsia" w:ascii="宋体" w:hAnsi="宋体" w:eastAsia="宋体" w:cs="宋体"/>
                <w:sz w:val="22"/>
                <w:szCs w:val="22"/>
              </w:rPr>
            </w:pPr>
          </w:p>
        </w:tc>
        <w:tc>
          <w:tcPr>
            <w:tcW w:w="844" w:type="dxa"/>
            <w:vMerge w:val="continue"/>
            <w:noWrap w:val="0"/>
            <w:vAlign w:val="center"/>
          </w:tcPr>
          <w:p w14:paraId="555E8021">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c>
          <w:tcPr>
            <w:tcW w:w="1758" w:type="dxa"/>
            <w:gridSpan w:val="3"/>
            <w:noWrap w:val="0"/>
            <w:vAlign w:val="center"/>
          </w:tcPr>
          <w:p w14:paraId="0F5D9CF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提高依法行政水平</w:t>
            </w:r>
          </w:p>
        </w:tc>
        <w:tc>
          <w:tcPr>
            <w:tcW w:w="620" w:type="dxa"/>
            <w:noWrap w:val="0"/>
            <w:vAlign w:val="center"/>
          </w:tcPr>
          <w:p w14:paraId="47F550B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1698" w:type="dxa"/>
            <w:gridSpan w:val="2"/>
            <w:noWrap w:val="0"/>
            <w:vAlign w:val="center"/>
          </w:tcPr>
          <w:p w14:paraId="33ED21E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545" w:type="dxa"/>
            <w:gridSpan w:val="2"/>
            <w:noWrap w:val="0"/>
            <w:vAlign w:val="center"/>
          </w:tcPr>
          <w:p w14:paraId="5AAD6765">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628" w:type="dxa"/>
            <w:gridSpan w:val="2"/>
            <w:noWrap w:val="0"/>
            <w:vAlign w:val="center"/>
          </w:tcPr>
          <w:p w14:paraId="0ABABFA2">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980" w:type="dxa"/>
            <w:noWrap w:val="0"/>
            <w:vAlign w:val="center"/>
          </w:tcPr>
          <w:p w14:paraId="11C8EB82">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1B0EF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9" w:hRule="atLeast"/>
        </w:trPr>
        <w:tc>
          <w:tcPr>
            <w:tcW w:w="643" w:type="dxa"/>
            <w:vMerge w:val="continue"/>
            <w:noWrap w:val="0"/>
            <w:vAlign w:val="center"/>
          </w:tcPr>
          <w:p w14:paraId="0E0FBFC5">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2F501674">
            <w:pPr>
              <w:spacing w:line="240" w:lineRule="auto"/>
              <w:ind w:firstLine="0" w:firstLineChars="0"/>
              <w:jc w:val="center"/>
              <w:rPr>
                <w:rFonts w:hint="eastAsia" w:ascii="宋体" w:hAnsi="宋体" w:eastAsia="宋体" w:cs="宋体"/>
                <w:sz w:val="22"/>
                <w:szCs w:val="22"/>
              </w:rPr>
            </w:pPr>
          </w:p>
        </w:tc>
        <w:tc>
          <w:tcPr>
            <w:tcW w:w="844" w:type="dxa"/>
            <w:noWrap w:val="0"/>
            <w:vAlign w:val="center"/>
          </w:tcPr>
          <w:p w14:paraId="5FB57A15">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pacing w:val="-4"/>
                <w:sz w:val="22"/>
                <w:szCs w:val="22"/>
              </w:rPr>
            </w:pPr>
            <w:r>
              <w:rPr>
                <w:rFonts w:hint="eastAsia" w:ascii="宋体" w:hAnsi="宋体" w:eastAsia="宋体" w:cs="宋体"/>
                <w:spacing w:val="-4"/>
                <w:sz w:val="22"/>
                <w:szCs w:val="22"/>
              </w:rPr>
              <w:t>时效</w:t>
            </w:r>
          </w:p>
          <w:p w14:paraId="1DBA763E">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4"/>
                <w:sz w:val="22"/>
                <w:szCs w:val="22"/>
              </w:rPr>
              <w:t>指标</w:t>
            </w:r>
          </w:p>
        </w:tc>
        <w:tc>
          <w:tcPr>
            <w:tcW w:w="1758" w:type="dxa"/>
            <w:gridSpan w:val="3"/>
            <w:noWrap w:val="0"/>
            <w:vAlign w:val="center"/>
          </w:tcPr>
          <w:p w14:paraId="01F8EF7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大型活动和节会应急保障抽检及时率</w:t>
            </w:r>
          </w:p>
        </w:tc>
        <w:tc>
          <w:tcPr>
            <w:tcW w:w="620" w:type="dxa"/>
            <w:noWrap w:val="0"/>
            <w:vAlign w:val="center"/>
          </w:tcPr>
          <w:p w14:paraId="62785AC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及时</w:t>
            </w:r>
          </w:p>
        </w:tc>
        <w:tc>
          <w:tcPr>
            <w:tcW w:w="1698" w:type="dxa"/>
            <w:gridSpan w:val="2"/>
            <w:noWrap w:val="0"/>
            <w:vAlign w:val="center"/>
          </w:tcPr>
          <w:p w14:paraId="2319FFA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及时</w:t>
            </w:r>
          </w:p>
        </w:tc>
        <w:tc>
          <w:tcPr>
            <w:tcW w:w="545" w:type="dxa"/>
            <w:gridSpan w:val="2"/>
            <w:noWrap w:val="0"/>
            <w:vAlign w:val="center"/>
          </w:tcPr>
          <w:p w14:paraId="7A186472">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628" w:type="dxa"/>
            <w:gridSpan w:val="2"/>
            <w:noWrap w:val="0"/>
            <w:vAlign w:val="center"/>
          </w:tcPr>
          <w:p w14:paraId="2E94D787">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980" w:type="dxa"/>
            <w:noWrap w:val="0"/>
            <w:vAlign w:val="center"/>
          </w:tcPr>
          <w:p w14:paraId="7071F5C1">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6EA33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6" w:hRule="atLeast"/>
        </w:trPr>
        <w:tc>
          <w:tcPr>
            <w:tcW w:w="643" w:type="dxa"/>
            <w:vMerge w:val="continue"/>
            <w:noWrap w:val="0"/>
            <w:textDirection w:val="tbRlV"/>
            <w:vAlign w:val="center"/>
          </w:tcPr>
          <w:p w14:paraId="24351E54">
            <w:pPr>
              <w:spacing w:line="240" w:lineRule="auto"/>
              <w:ind w:firstLine="0" w:firstLineChars="0"/>
              <w:jc w:val="center"/>
              <w:rPr>
                <w:rFonts w:hint="eastAsia" w:ascii="宋体" w:hAnsi="宋体" w:eastAsia="宋体" w:cs="宋体"/>
                <w:sz w:val="22"/>
                <w:szCs w:val="22"/>
              </w:rPr>
            </w:pPr>
          </w:p>
        </w:tc>
        <w:tc>
          <w:tcPr>
            <w:tcW w:w="763" w:type="dxa"/>
            <w:vMerge w:val="restart"/>
            <w:noWrap w:val="0"/>
            <w:vAlign w:val="center"/>
          </w:tcPr>
          <w:p w14:paraId="6C44FFCB">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32FD6AC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4" w:type="dxa"/>
            <w:vMerge w:val="restart"/>
            <w:noWrap w:val="0"/>
            <w:vAlign w:val="center"/>
          </w:tcPr>
          <w:p w14:paraId="59810C4D">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758" w:type="dxa"/>
            <w:gridSpan w:val="3"/>
            <w:noWrap w:val="0"/>
            <w:vAlign w:val="center"/>
          </w:tcPr>
          <w:p w14:paraId="631207D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医疗机构、公共场所、供水单位、学校、餐饮具消毒服务企业等重点单位卫生监督抽检行业覆盖率</w:t>
            </w:r>
          </w:p>
        </w:tc>
        <w:tc>
          <w:tcPr>
            <w:tcW w:w="620" w:type="dxa"/>
            <w:noWrap w:val="0"/>
            <w:vAlign w:val="center"/>
          </w:tcPr>
          <w:p w14:paraId="05FA9E9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1698" w:type="dxa"/>
            <w:gridSpan w:val="2"/>
            <w:noWrap w:val="0"/>
            <w:vAlign w:val="center"/>
          </w:tcPr>
          <w:p w14:paraId="1535C2C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545" w:type="dxa"/>
            <w:gridSpan w:val="2"/>
            <w:noWrap w:val="0"/>
            <w:vAlign w:val="center"/>
          </w:tcPr>
          <w:p w14:paraId="242F7D9E">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628" w:type="dxa"/>
            <w:gridSpan w:val="2"/>
            <w:noWrap w:val="0"/>
            <w:vAlign w:val="center"/>
          </w:tcPr>
          <w:p w14:paraId="66C0FAF2">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980" w:type="dxa"/>
            <w:noWrap w:val="0"/>
            <w:vAlign w:val="center"/>
          </w:tcPr>
          <w:p w14:paraId="3BDFD704">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7C73B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643" w:type="dxa"/>
            <w:vMerge w:val="continue"/>
            <w:noWrap w:val="0"/>
            <w:textDirection w:val="tbRlV"/>
            <w:vAlign w:val="center"/>
          </w:tcPr>
          <w:p w14:paraId="06A51A0E">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7081D5F0">
            <w:pPr>
              <w:spacing w:line="240" w:lineRule="auto"/>
              <w:ind w:firstLine="0" w:firstLineChars="0"/>
              <w:jc w:val="center"/>
              <w:rPr>
                <w:rFonts w:hint="eastAsia" w:ascii="宋体" w:hAnsi="宋体" w:eastAsia="宋体" w:cs="宋体"/>
                <w:sz w:val="22"/>
                <w:szCs w:val="22"/>
              </w:rPr>
            </w:pPr>
          </w:p>
        </w:tc>
        <w:tc>
          <w:tcPr>
            <w:tcW w:w="844" w:type="dxa"/>
            <w:vMerge w:val="continue"/>
            <w:noWrap w:val="0"/>
            <w:vAlign w:val="center"/>
          </w:tcPr>
          <w:p w14:paraId="02F5393A">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c>
          <w:tcPr>
            <w:tcW w:w="1758" w:type="dxa"/>
            <w:gridSpan w:val="3"/>
            <w:noWrap w:val="0"/>
            <w:vAlign w:val="center"/>
          </w:tcPr>
          <w:p w14:paraId="549B1FF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提升群众法律意识</w:t>
            </w:r>
          </w:p>
        </w:tc>
        <w:tc>
          <w:tcPr>
            <w:tcW w:w="620" w:type="dxa"/>
            <w:noWrap w:val="0"/>
            <w:vAlign w:val="center"/>
          </w:tcPr>
          <w:p w14:paraId="1511B93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提高</w:t>
            </w:r>
          </w:p>
        </w:tc>
        <w:tc>
          <w:tcPr>
            <w:tcW w:w="1698" w:type="dxa"/>
            <w:gridSpan w:val="2"/>
            <w:noWrap w:val="0"/>
            <w:vAlign w:val="center"/>
          </w:tcPr>
          <w:p w14:paraId="1B37EDD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每月组织医疗机构开展法治宣传</w:t>
            </w:r>
          </w:p>
        </w:tc>
        <w:tc>
          <w:tcPr>
            <w:tcW w:w="545" w:type="dxa"/>
            <w:gridSpan w:val="2"/>
            <w:noWrap w:val="0"/>
            <w:vAlign w:val="center"/>
          </w:tcPr>
          <w:p w14:paraId="08997B6A">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628" w:type="dxa"/>
            <w:gridSpan w:val="2"/>
            <w:noWrap w:val="0"/>
            <w:vAlign w:val="center"/>
          </w:tcPr>
          <w:p w14:paraId="5CF5E130">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980" w:type="dxa"/>
            <w:noWrap w:val="0"/>
            <w:vAlign w:val="center"/>
          </w:tcPr>
          <w:p w14:paraId="1197CCCD">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12901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1" w:hRule="atLeast"/>
        </w:trPr>
        <w:tc>
          <w:tcPr>
            <w:tcW w:w="643" w:type="dxa"/>
            <w:vMerge w:val="continue"/>
            <w:noWrap w:val="0"/>
            <w:textDirection w:val="tbRlV"/>
            <w:vAlign w:val="center"/>
          </w:tcPr>
          <w:p w14:paraId="5A2E9D0B">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4B635D8F">
            <w:pPr>
              <w:spacing w:line="240" w:lineRule="auto"/>
              <w:ind w:firstLine="0" w:firstLineChars="0"/>
              <w:jc w:val="center"/>
              <w:rPr>
                <w:rFonts w:hint="eastAsia" w:ascii="宋体" w:hAnsi="宋体" w:eastAsia="宋体" w:cs="宋体"/>
                <w:sz w:val="22"/>
                <w:szCs w:val="22"/>
              </w:rPr>
            </w:pPr>
          </w:p>
        </w:tc>
        <w:tc>
          <w:tcPr>
            <w:tcW w:w="844" w:type="dxa"/>
            <w:vMerge w:val="continue"/>
            <w:noWrap w:val="0"/>
            <w:vAlign w:val="center"/>
          </w:tcPr>
          <w:p w14:paraId="6C3290EC">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c>
          <w:tcPr>
            <w:tcW w:w="1758" w:type="dxa"/>
            <w:gridSpan w:val="3"/>
            <w:noWrap w:val="0"/>
            <w:vAlign w:val="center"/>
          </w:tcPr>
          <w:p w14:paraId="69C7B0D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改善新区公共场所等卫生环境</w:t>
            </w:r>
          </w:p>
        </w:tc>
        <w:tc>
          <w:tcPr>
            <w:tcW w:w="620" w:type="dxa"/>
            <w:noWrap w:val="0"/>
            <w:vAlign w:val="center"/>
          </w:tcPr>
          <w:p w14:paraId="1707A53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改善</w:t>
            </w:r>
          </w:p>
        </w:tc>
        <w:tc>
          <w:tcPr>
            <w:tcW w:w="1698" w:type="dxa"/>
            <w:gridSpan w:val="2"/>
            <w:noWrap w:val="0"/>
            <w:vAlign w:val="center"/>
          </w:tcPr>
          <w:p w14:paraId="2C02720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卫生监督协管员每月对辖区医疗机构、公共场所等开展巡查</w:t>
            </w:r>
          </w:p>
        </w:tc>
        <w:tc>
          <w:tcPr>
            <w:tcW w:w="545" w:type="dxa"/>
            <w:gridSpan w:val="2"/>
            <w:noWrap w:val="0"/>
            <w:vAlign w:val="center"/>
          </w:tcPr>
          <w:p w14:paraId="7953358A">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628" w:type="dxa"/>
            <w:gridSpan w:val="2"/>
            <w:noWrap w:val="0"/>
            <w:vAlign w:val="center"/>
          </w:tcPr>
          <w:p w14:paraId="2FE39569">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980" w:type="dxa"/>
            <w:noWrap w:val="0"/>
            <w:vAlign w:val="center"/>
          </w:tcPr>
          <w:p w14:paraId="3102C048">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4082F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3" w:hRule="atLeast"/>
        </w:trPr>
        <w:tc>
          <w:tcPr>
            <w:tcW w:w="643" w:type="dxa"/>
            <w:vMerge w:val="continue"/>
            <w:noWrap w:val="0"/>
            <w:textDirection w:val="tbRlV"/>
            <w:vAlign w:val="center"/>
          </w:tcPr>
          <w:p w14:paraId="1ABB2E75">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109F7BA5">
            <w:pPr>
              <w:spacing w:line="240" w:lineRule="auto"/>
              <w:ind w:firstLine="0" w:firstLineChars="0"/>
              <w:jc w:val="center"/>
              <w:rPr>
                <w:rFonts w:hint="eastAsia" w:ascii="宋体" w:hAnsi="宋体" w:eastAsia="宋体" w:cs="宋体"/>
                <w:sz w:val="22"/>
                <w:szCs w:val="22"/>
              </w:rPr>
            </w:pPr>
          </w:p>
        </w:tc>
        <w:tc>
          <w:tcPr>
            <w:tcW w:w="844" w:type="dxa"/>
            <w:vMerge w:val="restart"/>
            <w:noWrap w:val="0"/>
            <w:vAlign w:val="center"/>
          </w:tcPr>
          <w:p w14:paraId="14AD79BF">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758" w:type="dxa"/>
            <w:gridSpan w:val="3"/>
            <w:noWrap w:val="0"/>
            <w:vAlign w:val="center"/>
          </w:tcPr>
          <w:p w14:paraId="778CE94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卫生监督执法能力</w:t>
            </w:r>
          </w:p>
        </w:tc>
        <w:tc>
          <w:tcPr>
            <w:tcW w:w="620" w:type="dxa"/>
            <w:noWrap w:val="0"/>
            <w:vAlign w:val="center"/>
          </w:tcPr>
          <w:p w14:paraId="6C4E568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提升</w:t>
            </w:r>
          </w:p>
        </w:tc>
        <w:tc>
          <w:tcPr>
            <w:tcW w:w="1698" w:type="dxa"/>
            <w:gridSpan w:val="2"/>
            <w:noWrap w:val="0"/>
            <w:vAlign w:val="center"/>
          </w:tcPr>
          <w:p w14:paraId="48F867C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对园区卫生监督执法人员及全体卫生监督协管员开展培训</w:t>
            </w:r>
          </w:p>
        </w:tc>
        <w:tc>
          <w:tcPr>
            <w:tcW w:w="545" w:type="dxa"/>
            <w:gridSpan w:val="2"/>
            <w:noWrap w:val="0"/>
            <w:vAlign w:val="center"/>
          </w:tcPr>
          <w:p w14:paraId="51144BED">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628" w:type="dxa"/>
            <w:gridSpan w:val="2"/>
            <w:noWrap w:val="0"/>
            <w:vAlign w:val="center"/>
          </w:tcPr>
          <w:p w14:paraId="41191E32">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980" w:type="dxa"/>
            <w:noWrap w:val="0"/>
            <w:vAlign w:val="center"/>
          </w:tcPr>
          <w:p w14:paraId="0DFE64F4">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1D328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trPr>
        <w:tc>
          <w:tcPr>
            <w:tcW w:w="643" w:type="dxa"/>
            <w:vMerge w:val="continue"/>
            <w:noWrap w:val="0"/>
            <w:textDirection w:val="tbRlV"/>
            <w:vAlign w:val="center"/>
          </w:tcPr>
          <w:p w14:paraId="57BE6A67">
            <w:pPr>
              <w:spacing w:line="240" w:lineRule="auto"/>
              <w:ind w:firstLine="0" w:firstLineChars="0"/>
              <w:jc w:val="center"/>
              <w:rPr>
                <w:rFonts w:hint="eastAsia" w:ascii="宋体" w:hAnsi="宋体" w:eastAsia="宋体" w:cs="宋体"/>
                <w:sz w:val="22"/>
                <w:szCs w:val="22"/>
              </w:rPr>
            </w:pPr>
          </w:p>
        </w:tc>
        <w:tc>
          <w:tcPr>
            <w:tcW w:w="763" w:type="dxa"/>
            <w:vMerge w:val="continue"/>
            <w:noWrap w:val="0"/>
            <w:vAlign w:val="center"/>
          </w:tcPr>
          <w:p w14:paraId="178E9D1C">
            <w:pPr>
              <w:spacing w:line="240" w:lineRule="auto"/>
              <w:ind w:firstLine="0" w:firstLineChars="0"/>
              <w:jc w:val="center"/>
              <w:rPr>
                <w:rFonts w:hint="eastAsia" w:ascii="宋体" w:hAnsi="宋体" w:eastAsia="宋体" w:cs="宋体"/>
                <w:sz w:val="22"/>
                <w:szCs w:val="22"/>
              </w:rPr>
            </w:pPr>
          </w:p>
        </w:tc>
        <w:tc>
          <w:tcPr>
            <w:tcW w:w="844" w:type="dxa"/>
            <w:vMerge w:val="continue"/>
            <w:noWrap w:val="0"/>
            <w:vAlign w:val="center"/>
          </w:tcPr>
          <w:p w14:paraId="3EC4EDFF">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c>
          <w:tcPr>
            <w:tcW w:w="1758" w:type="dxa"/>
            <w:gridSpan w:val="3"/>
            <w:noWrap w:val="0"/>
            <w:vAlign w:val="center"/>
          </w:tcPr>
          <w:p w14:paraId="0A8B002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卫生监督任务完成情况</w:t>
            </w:r>
          </w:p>
        </w:tc>
        <w:tc>
          <w:tcPr>
            <w:tcW w:w="620" w:type="dxa"/>
            <w:noWrap w:val="0"/>
            <w:vAlign w:val="center"/>
          </w:tcPr>
          <w:p w14:paraId="6293F18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完成</w:t>
            </w:r>
          </w:p>
        </w:tc>
        <w:tc>
          <w:tcPr>
            <w:tcW w:w="1698" w:type="dxa"/>
            <w:gridSpan w:val="2"/>
            <w:noWrap w:val="0"/>
            <w:vAlign w:val="center"/>
          </w:tcPr>
          <w:p w14:paraId="584733F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0"/>
                <w:szCs w:val="20"/>
                <w:u w:val="none"/>
                <w:lang w:val="en-US" w:eastAsia="zh-CN" w:bidi="ar"/>
              </w:rPr>
              <w:t>完成“互联网+监管”的系统录入</w:t>
            </w:r>
          </w:p>
        </w:tc>
        <w:tc>
          <w:tcPr>
            <w:tcW w:w="545" w:type="dxa"/>
            <w:gridSpan w:val="2"/>
            <w:noWrap w:val="0"/>
            <w:vAlign w:val="center"/>
          </w:tcPr>
          <w:p w14:paraId="32FDB2BA">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628" w:type="dxa"/>
            <w:gridSpan w:val="2"/>
            <w:noWrap w:val="0"/>
            <w:vAlign w:val="center"/>
          </w:tcPr>
          <w:p w14:paraId="6F680F78">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980" w:type="dxa"/>
            <w:noWrap w:val="0"/>
            <w:vAlign w:val="center"/>
          </w:tcPr>
          <w:p w14:paraId="20480243">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77EB6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trPr>
        <w:tc>
          <w:tcPr>
            <w:tcW w:w="643" w:type="dxa"/>
            <w:vMerge w:val="continue"/>
            <w:noWrap w:val="0"/>
            <w:vAlign w:val="center"/>
          </w:tcPr>
          <w:p w14:paraId="3688A85D">
            <w:pPr>
              <w:spacing w:line="240" w:lineRule="auto"/>
              <w:ind w:firstLine="0" w:firstLineChars="0"/>
              <w:jc w:val="center"/>
              <w:rPr>
                <w:rFonts w:hint="eastAsia" w:ascii="宋体" w:hAnsi="宋体" w:eastAsia="宋体" w:cs="宋体"/>
                <w:sz w:val="22"/>
                <w:szCs w:val="22"/>
              </w:rPr>
            </w:pPr>
          </w:p>
        </w:tc>
        <w:tc>
          <w:tcPr>
            <w:tcW w:w="763" w:type="dxa"/>
            <w:noWrap w:val="0"/>
            <w:vAlign w:val="center"/>
          </w:tcPr>
          <w:p w14:paraId="1A50DEA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44" w:type="dxa"/>
            <w:noWrap w:val="0"/>
            <w:vAlign w:val="center"/>
          </w:tcPr>
          <w:p w14:paraId="7561FEBB">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服务对象满意度指</w:t>
            </w:r>
            <w:r>
              <w:rPr>
                <w:rFonts w:hint="eastAsia" w:ascii="宋体" w:hAnsi="宋体" w:eastAsia="宋体" w:cs="宋体"/>
                <w:sz w:val="22"/>
                <w:szCs w:val="22"/>
              </w:rPr>
              <w:t>标</w:t>
            </w:r>
          </w:p>
        </w:tc>
        <w:tc>
          <w:tcPr>
            <w:tcW w:w="1758" w:type="dxa"/>
            <w:gridSpan w:val="3"/>
            <w:noWrap w:val="0"/>
            <w:vAlign w:val="center"/>
          </w:tcPr>
          <w:p w14:paraId="7DFDD4F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21"/>
                <w:szCs w:val="21"/>
                <w:u w:val="none"/>
                <w:lang w:val="en-US" w:eastAsia="zh-CN" w:bidi="ar"/>
              </w:rPr>
              <w:t>人民群众对卫生违法案件投诉举报量</w:t>
            </w:r>
          </w:p>
        </w:tc>
        <w:tc>
          <w:tcPr>
            <w:tcW w:w="620" w:type="dxa"/>
            <w:noWrap w:val="0"/>
            <w:vAlign w:val="center"/>
          </w:tcPr>
          <w:p w14:paraId="5B85AD0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18"/>
                <w:szCs w:val="18"/>
                <w:u w:val="none"/>
                <w:lang w:val="en-US" w:eastAsia="zh-CN" w:bidi="ar"/>
              </w:rPr>
              <w:t>稳定</w:t>
            </w:r>
          </w:p>
        </w:tc>
        <w:tc>
          <w:tcPr>
            <w:tcW w:w="1698" w:type="dxa"/>
            <w:gridSpan w:val="2"/>
            <w:noWrap w:val="0"/>
            <w:vAlign w:val="center"/>
          </w:tcPr>
          <w:p w14:paraId="5FEF49E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sz w:val="22"/>
                <w:szCs w:val="22"/>
              </w:rPr>
            </w:pPr>
            <w:r>
              <w:rPr>
                <w:rFonts w:hint="eastAsia" w:ascii="仿宋_GB2312" w:hAnsi="宋体" w:eastAsia="仿宋_GB2312" w:cs="仿宋_GB2312"/>
                <w:i w:val="0"/>
                <w:snapToGrid w:val="0"/>
                <w:color w:val="000000"/>
                <w:kern w:val="0"/>
                <w:sz w:val="18"/>
                <w:szCs w:val="18"/>
                <w:u w:val="none"/>
                <w:lang w:val="en-US" w:eastAsia="zh-CN" w:bidi="ar"/>
              </w:rPr>
              <w:t>稳定</w:t>
            </w:r>
          </w:p>
        </w:tc>
        <w:tc>
          <w:tcPr>
            <w:tcW w:w="545" w:type="dxa"/>
            <w:gridSpan w:val="2"/>
            <w:noWrap w:val="0"/>
            <w:vAlign w:val="center"/>
          </w:tcPr>
          <w:p w14:paraId="4520DE52">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628" w:type="dxa"/>
            <w:gridSpan w:val="2"/>
            <w:noWrap w:val="0"/>
            <w:vAlign w:val="center"/>
          </w:tcPr>
          <w:p w14:paraId="4C860465">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980" w:type="dxa"/>
            <w:noWrap w:val="0"/>
            <w:vAlign w:val="center"/>
          </w:tcPr>
          <w:p w14:paraId="342DD056">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0944B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6326" w:type="dxa"/>
            <w:gridSpan w:val="9"/>
            <w:noWrap w:val="0"/>
            <w:vAlign w:val="center"/>
          </w:tcPr>
          <w:p w14:paraId="66C3DE0D">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545" w:type="dxa"/>
            <w:gridSpan w:val="2"/>
            <w:noWrap w:val="0"/>
            <w:vAlign w:val="center"/>
          </w:tcPr>
          <w:p w14:paraId="7C0CF7A9">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628" w:type="dxa"/>
            <w:gridSpan w:val="2"/>
            <w:noWrap w:val="0"/>
            <w:vAlign w:val="center"/>
          </w:tcPr>
          <w:p w14:paraId="12872109">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980" w:type="dxa"/>
            <w:noWrap w:val="0"/>
            <w:vAlign w:val="center"/>
          </w:tcPr>
          <w:p w14:paraId="42CBBA40">
            <w:pPr>
              <w:keepNext w:val="0"/>
              <w:keepLines w:val="0"/>
              <w:pageBreakBefore w:val="0"/>
              <w:kinsoku/>
              <w:wordWrap/>
              <w:overflowPunct/>
              <w:topLinePunct w:val="0"/>
              <w:autoSpaceDE/>
              <w:autoSpaceDN/>
              <w:bidi w:val="0"/>
              <w:adjustRightInd/>
              <w:snapToGrid/>
              <w:spacing w:line="240" w:lineRule="exact"/>
              <w:ind w:firstLine="0" w:firstLineChars="0"/>
              <w:jc w:val="center"/>
              <w:rPr>
                <w:rFonts w:hint="eastAsia" w:ascii="宋体" w:hAnsi="宋体" w:eastAsia="宋体" w:cs="宋体"/>
                <w:sz w:val="22"/>
                <w:szCs w:val="22"/>
              </w:rPr>
            </w:pPr>
          </w:p>
        </w:tc>
      </w:tr>
      <w:tr w14:paraId="265C0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643" w:type="dxa"/>
            <w:noWrap w:val="0"/>
            <w:vAlign w:val="center"/>
          </w:tcPr>
          <w:p w14:paraId="7729811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836" w:type="dxa"/>
            <w:gridSpan w:val="13"/>
            <w:noWrap w:val="0"/>
            <w:vAlign w:val="center"/>
          </w:tcPr>
          <w:p w14:paraId="3093B3E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6431082B">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645F4314">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65E23537">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1436F853">
      <w:pPr>
        <w:ind w:firstLine="432"/>
        <w:rPr>
          <w:rFonts w:ascii="宋体" w:hAnsi="宋体" w:eastAsia="宋体" w:cs="宋体"/>
          <w:spacing w:val="-2"/>
          <w:sz w:val="22"/>
          <w:szCs w:val="22"/>
        </w:rPr>
      </w:pPr>
    </w:p>
    <w:p w14:paraId="5CAFF727">
      <w:pPr>
        <w:pStyle w:val="2"/>
        <w:numPr>
          <w:ilvl w:val="5"/>
          <w:numId w:val="0"/>
        </w:numPr>
        <w:ind w:leftChars="200"/>
      </w:pPr>
    </w:p>
    <w:p w14:paraId="23D960CD"/>
    <w:p w14:paraId="12990BB1">
      <w:pPr>
        <w:pStyle w:val="2"/>
        <w:numPr>
          <w:ilvl w:val="5"/>
          <w:numId w:val="0"/>
        </w:numPr>
        <w:ind w:leftChars="200"/>
      </w:pPr>
    </w:p>
    <w:p w14:paraId="62B37E32"/>
    <w:p w14:paraId="75253588">
      <w:pPr>
        <w:pageBreakBefore w:val="0"/>
        <w:wordWrap/>
        <w:overflowPunct/>
        <w:topLinePunct w:val="0"/>
        <w:bidi w:val="0"/>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附件18</w:t>
      </w:r>
    </w:p>
    <w:p w14:paraId="46166975">
      <w:pPr>
        <w:pageBreakBefore w:val="0"/>
        <w:wordWrap/>
        <w:overflowPunct/>
        <w:topLinePunct w:val="0"/>
        <w:bidi w:val="0"/>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36422964">
      <w:pPr>
        <w:pageBreakBefore w:val="0"/>
        <w:wordWrap/>
        <w:overflowPunct/>
        <w:topLinePunct w:val="0"/>
        <w:bidi w:val="0"/>
        <w:spacing w:line="560" w:lineRule="exact"/>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5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9"/>
        <w:gridCol w:w="771"/>
        <w:gridCol w:w="852"/>
        <w:gridCol w:w="267"/>
        <w:gridCol w:w="1028"/>
        <w:gridCol w:w="197"/>
        <w:gridCol w:w="908"/>
        <w:gridCol w:w="838"/>
        <w:gridCol w:w="576"/>
        <w:gridCol w:w="72"/>
        <w:gridCol w:w="667"/>
        <w:gridCol w:w="81"/>
        <w:gridCol w:w="575"/>
        <w:gridCol w:w="1078"/>
      </w:tblGrid>
      <w:tr w14:paraId="44FB3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rPr>
        <w:tc>
          <w:tcPr>
            <w:tcW w:w="1420" w:type="dxa"/>
            <w:gridSpan w:val="2"/>
            <w:noWrap w:val="0"/>
            <w:vAlign w:val="center"/>
          </w:tcPr>
          <w:p w14:paraId="2AFC44C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139" w:type="dxa"/>
            <w:gridSpan w:val="12"/>
            <w:noWrap w:val="0"/>
            <w:vAlign w:val="center"/>
          </w:tcPr>
          <w:p w14:paraId="22A2254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数据中心卫生专网费用</w:t>
            </w:r>
          </w:p>
        </w:tc>
      </w:tr>
      <w:tr w14:paraId="20DB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rPr>
        <w:tc>
          <w:tcPr>
            <w:tcW w:w="1420" w:type="dxa"/>
            <w:gridSpan w:val="2"/>
            <w:noWrap w:val="0"/>
            <w:vAlign w:val="center"/>
          </w:tcPr>
          <w:p w14:paraId="4A156F9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252" w:type="dxa"/>
            <w:gridSpan w:val="5"/>
            <w:noWrap w:val="0"/>
            <w:vAlign w:val="center"/>
          </w:tcPr>
          <w:p w14:paraId="58687C0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414" w:type="dxa"/>
            <w:gridSpan w:val="2"/>
            <w:noWrap w:val="0"/>
            <w:vAlign w:val="center"/>
          </w:tcPr>
          <w:p w14:paraId="40CB822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73" w:type="dxa"/>
            <w:gridSpan w:val="5"/>
            <w:noWrap w:val="0"/>
            <w:vAlign w:val="center"/>
          </w:tcPr>
          <w:p w14:paraId="02505CF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基层医疗机构</w:t>
            </w:r>
          </w:p>
        </w:tc>
      </w:tr>
      <w:tr w14:paraId="13C0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rPr>
        <w:tc>
          <w:tcPr>
            <w:tcW w:w="1420" w:type="dxa"/>
            <w:gridSpan w:val="2"/>
            <w:vMerge w:val="restart"/>
            <w:noWrap w:val="0"/>
            <w:vAlign w:val="center"/>
          </w:tcPr>
          <w:p w14:paraId="5664F3A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19" w:type="dxa"/>
            <w:gridSpan w:val="2"/>
            <w:noWrap w:val="0"/>
            <w:vAlign w:val="center"/>
          </w:tcPr>
          <w:p w14:paraId="2C3D6D9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028" w:type="dxa"/>
            <w:noWrap w:val="0"/>
            <w:vAlign w:val="center"/>
          </w:tcPr>
          <w:p w14:paraId="66BD63D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105" w:type="dxa"/>
            <w:gridSpan w:val="2"/>
            <w:noWrap w:val="0"/>
            <w:vAlign w:val="center"/>
          </w:tcPr>
          <w:p w14:paraId="71E5EE8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414" w:type="dxa"/>
            <w:gridSpan w:val="2"/>
            <w:noWrap w:val="0"/>
            <w:vAlign w:val="center"/>
          </w:tcPr>
          <w:p w14:paraId="3D515E2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39" w:type="dxa"/>
            <w:gridSpan w:val="2"/>
            <w:noWrap w:val="0"/>
            <w:vAlign w:val="center"/>
          </w:tcPr>
          <w:p w14:paraId="67F37DB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56" w:type="dxa"/>
            <w:gridSpan w:val="2"/>
            <w:noWrap w:val="0"/>
            <w:vAlign w:val="center"/>
          </w:tcPr>
          <w:p w14:paraId="2DADF51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78" w:type="dxa"/>
            <w:noWrap w:val="0"/>
            <w:vAlign w:val="center"/>
          </w:tcPr>
          <w:p w14:paraId="15334CD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0C939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0" w:hRule="atLeast"/>
        </w:trPr>
        <w:tc>
          <w:tcPr>
            <w:tcW w:w="1420" w:type="dxa"/>
            <w:gridSpan w:val="2"/>
            <w:vMerge w:val="continue"/>
            <w:noWrap w:val="0"/>
            <w:vAlign w:val="center"/>
          </w:tcPr>
          <w:p w14:paraId="1320954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119" w:type="dxa"/>
            <w:gridSpan w:val="2"/>
            <w:noWrap w:val="0"/>
            <w:vAlign w:val="center"/>
          </w:tcPr>
          <w:p w14:paraId="30239ED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6954B17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028" w:type="dxa"/>
            <w:noWrap w:val="0"/>
            <w:vAlign w:val="center"/>
          </w:tcPr>
          <w:p w14:paraId="79C7EB5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b/>
                <w:bCs/>
                <w:sz w:val="22"/>
                <w:szCs w:val="22"/>
              </w:rPr>
            </w:pPr>
            <w:r>
              <w:rPr>
                <w:rFonts w:hint="eastAsia" w:ascii="宋体" w:hAnsi="宋体" w:eastAsia="宋体" w:cs="宋体"/>
                <w:b w:val="0"/>
                <w:bCs w:val="0"/>
                <w:sz w:val="22"/>
                <w:szCs w:val="22"/>
              </w:rPr>
              <w:t>10</w:t>
            </w:r>
          </w:p>
        </w:tc>
        <w:tc>
          <w:tcPr>
            <w:tcW w:w="1105" w:type="dxa"/>
            <w:gridSpan w:val="2"/>
            <w:noWrap w:val="0"/>
            <w:vAlign w:val="center"/>
          </w:tcPr>
          <w:p w14:paraId="56D7BA0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414" w:type="dxa"/>
            <w:gridSpan w:val="2"/>
            <w:noWrap w:val="0"/>
            <w:vAlign w:val="center"/>
          </w:tcPr>
          <w:p w14:paraId="5A54914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4D6D810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w:t>
            </w:r>
          </w:p>
        </w:tc>
        <w:tc>
          <w:tcPr>
            <w:tcW w:w="656" w:type="dxa"/>
            <w:gridSpan w:val="2"/>
            <w:noWrap w:val="0"/>
            <w:vAlign w:val="center"/>
          </w:tcPr>
          <w:p w14:paraId="0EA8D90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078" w:type="dxa"/>
            <w:noWrap w:val="0"/>
            <w:vAlign w:val="center"/>
          </w:tcPr>
          <w:p w14:paraId="39AEA98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78996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1420" w:type="dxa"/>
            <w:gridSpan w:val="2"/>
            <w:vMerge w:val="continue"/>
            <w:noWrap w:val="0"/>
            <w:vAlign w:val="center"/>
          </w:tcPr>
          <w:p w14:paraId="30156BB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119" w:type="dxa"/>
            <w:gridSpan w:val="2"/>
            <w:noWrap w:val="0"/>
            <w:vAlign w:val="center"/>
          </w:tcPr>
          <w:p w14:paraId="470FBDC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028" w:type="dxa"/>
            <w:noWrap w:val="0"/>
            <w:vAlign w:val="center"/>
          </w:tcPr>
          <w:p w14:paraId="61B81C7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105" w:type="dxa"/>
            <w:gridSpan w:val="2"/>
            <w:noWrap w:val="0"/>
            <w:vAlign w:val="center"/>
          </w:tcPr>
          <w:p w14:paraId="7C6A0D4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414" w:type="dxa"/>
            <w:gridSpan w:val="2"/>
            <w:noWrap w:val="0"/>
            <w:vAlign w:val="center"/>
          </w:tcPr>
          <w:p w14:paraId="299BE1E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39" w:type="dxa"/>
            <w:gridSpan w:val="2"/>
            <w:noWrap w:val="0"/>
            <w:vAlign w:val="center"/>
          </w:tcPr>
          <w:p w14:paraId="077EAE8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56" w:type="dxa"/>
            <w:gridSpan w:val="2"/>
            <w:noWrap w:val="0"/>
            <w:vAlign w:val="center"/>
          </w:tcPr>
          <w:p w14:paraId="35D724B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078" w:type="dxa"/>
            <w:noWrap w:val="0"/>
            <w:vAlign w:val="center"/>
          </w:tcPr>
          <w:p w14:paraId="5A05C97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8E4B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3" w:hRule="atLeast"/>
        </w:trPr>
        <w:tc>
          <w:tcPr>
            <w:tcW w:w="1420" w:type="dxa"/>
            <w:gridSpan w:val="2"/>
            <w:vMerge w:val="continue"/>
            <w:noWrap w:val="0"/>
            <w:vAlign w:val="center"/>
          </w:tcPr>
          <w:p w14:paraId="472A563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119" w:type="dxa"/>
            <w:gridSpan w:val="2"/>
            <w:noWrap w:val="0"/>
            <w:vAlign w:val="center"/>
          </w:tcPr>
          <w:p w14:paraId="2257554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3A1E38E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028" w:type="dxa"/>
            <w:noWrap w:val="0"/>
            <w:vAlign w:val="center"/>
          </w:tcPr>
          <w:p w14:paraId="0364F0E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05" w:type="dxa"/>
            <w:gridSpan w:val="2"/>
            <w:noWrap w:val="0"/>
            <w:vAlign w:val="center"/>
          </w:tcPr>
          <w:p w14:paraId="547EEE3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414" w:type="dxa"/>
            <w:gridSpan w:val="2"/>
            <w:noWrap w:val="0"/>
            <w:vAlign w:val="center"/>
          </w:tcPr>
          <w:p w14:paraId="68AA01E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739" w:type="dxa"/>
            <w:gridSpan w:val="2"/>
            <w:noWrap w:val="0"/>
            <w:vAlign w:val="center"/>
          </w:tcPr>
          <w:p w14:paraId="29A0F33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56" w:type="dxa"/>
            <w:gridSpan w:val="2"/>
            <w:noWrap w:val="0"/>
            <w:vAlign w:val="center"/>
          </w:tcPr>
          <w:p w14:paraId="04AA27B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078" w:type="dxa"/>
            <w:noWrap w:val="0"/>
            <w:vAlign w:val="center"/>
          </w:tcPr>
          <w:p w14:paraId="6EC9952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1D2DE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trPr>
        <w:tc>
          <w:tcPr>
            <w:tcW w:w="1420" w:type="dxa"/>
            <w:gridSpan w:val="2"/>
            <w:vMerge w:val="continue"/>
            <w:noWrap w:val="0"/>
            <w:vAlign w:val="center"/>
          </w:tcPr>
          <w:p w14:paraId="4A76EA5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119" w:type="dxa"/>
            <w:gridSpan w:val="2"/>
            <w:noWrap w:val="0"/>
            <w:vAlign w:val="center"/>
          </w:tcPr>
          <w:p w14:paraId="5EBD6BB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028" w:type="dxa"/>
            <w:noWrap w:val="0"/>
            <w:vAlign w:val="center"/>
          </w:tcPr>
          <w:p w14:paraId="7969BE1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05" w:type="dxa"/>
            <w:gridSpan w:val="2"/>
            <w:noWrap w:val="0"/>
            <w:vAlign w:val="center"/>
          </w:tcPr>
          <w:p w14:paraId="61BFC76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414" w:type="dxa"/>
            <w:gridSpan w:val="2"/>
            <w:noWrap w:val="0"/>
            <w:vAlign w:val="center"/>
          </w:tcPr>
          <w:p w14:paraId="51B3475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739" w:type="dxa"/>
            <w:gridSpan w:val="2"/>
            <w:noWrap w:val="0"/>
            <w:vAlign w:val="center"/>
          </w:tcPr>
          <w:p w14:paraId="5E73AEF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56" w:type="dxa"/>
            <w:gridSpan w:val="2"/>
            <w:noWrap w:val="0"/>
            <w:vAlign w:val="center"/>
          </w:tcPr>
          <w:p w14:paraId="5A3BFB1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1078" w:type="dxa"/>
            <w:noWrap w:val="0"/>
            <w:vAlign w:val="center"/>
          </w:tcPr>
          <w:p w14:paraId="4D2C184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677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649" w:type="dxa"/>
            <w:vMerge w:val="restart"/>
            <w:noWrap w:val="0"/>
            <w:vAlign w:val="center"/>
          </w:tcPr>
          <w:p w14:paraId="175F282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023" w:type="dxa"/>
            <w:gridSpan w:val="6"/>
            <w:noWrap w:val="0"/>
            <w:vAlign w:val="center"/>
          </w:tcPr>
          <w:p w14:paraId="2376DAC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887" w:type="dxa"/>
            <w:gridSpan w:val="7"/>
            <w:noWrap w:val="0"/>
            <w:vAlign w:val="center"/>
          </w:tcPr>
          <w:p w14:paraId="619AC6C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2D2CF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8" w:hRule="atLeast"/>
        </w:trPr>
        <w:tc>
          <w:tcPr>
            <w:tcW w:w="649" w:type="dxa"/>
            <w:vMerge w:val="continue"/>
            <w:noWrap w:val="0"/>
            <w:vAlign w:val="center"/>
          </w:tcPr>
          <w:p w14:paraId="0BA7E85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4023" w:type="dxa"/>
            <w:gridSpan w:val="6"/>
            <w:noWrap w:val="0"/>
            <w:vAlign w:val="center"/>
          </w:tcPr>
          <w:p w14:paraId="1306809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计划2023年足额支付卫生专网年度费用，保证新区智慧城市智慧医疗数据中心与全省卫生专网链路通畅，确保新区智慧医疗各子系统正常运转。</w:t>
            </w:r>
          </w:p>
        </w:tc>
        <w:tc>
          <w:tcPr>
            <w:tcW w:w="3887" w:type="dxa"/>
            <w:gridSpan w:val="7"/>
            <w:noWrap w:val="0"/>
            <w:vAlign w:val="center"/>
          </w:tcPr>
          <w:p w14:paraId="347858D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202</w:t>
            </w:r>
            <w:r>
              <w:rPr>
                <w:rFonts w:hint="eastAsia" w:ascii="宋体" w:hAnsi="宋体" w:eastAsia="宋体" w:cs="宋体"/>
                <w:sz w:val="22"/>
                <w:szCs w:val="22"/>
                <w:lang w:val="en-US" w:eastAsia="zh-CN"/>
              </w:rPr>
              <w:t>3</w:t>
            </w:r>
            <w:r>
              <w:rPr>
                <w:rFonts w:hint="eastAsia" w:ascii="宋体" w:hAnsi="宋体" w:eastAsia="宋体" w:cs="宋体"/>
                <w:sz w:val="22"/>
                <w:szCs w:val="22"/>
              </w:rPr>
              <w:t>年足额支付卫生专网年度费用，保证</w:t>
            </w:r>
            <w:r>
              <w:rPr>
                <w:rFonts w:hint="eastAsia" w:ascii="宋体" w:hAnsi="宋体" w:eastAsia="宋体" w:cs="宋体"/>
                <w:sz w:val="22"/>
                <w:szCs w:val="22"/>
                <w:lang w:eastAsia="zh-CN"/>
              </w:rPr>
              <w:t>了</w:t>
            </w:r>
            <w:r>
              <w:rPr>
                <w:rFonts w:hint="eastAsia" w:ascii="宋体" w:hAnsi="宋体" w:eastAsia="宋体" w:cs="宋体"/>
                <w:sz w:val="22"/>
                <w:szCs w:val="22"/>
              </w:rPr>
              <w:t>新区智慧城市智慧医疗数据中心与全省卫生专网链路通畅，确保新区智慧医疗各子系统正常运转。</w:t>
            </w:r>
          </w:p>
        </w:tc>
      </w:tr>
      <w:tr w14:paraId="2F1DA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rPr>
        <w:tc>
          <w:tcPr>
            <w:tcW w:w="649" w:type="dxa"/>
            <w:vMerge w:val="continue"/>
            <w:noWrap w:val="0"/>
            <w:vAlign w:val="center"/>
          </w:tcPr>
          <w:p w14:paraId="5A7B235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4023" w:type="dxa"/>
            <w:gridSpan w:val="6"/>
            <w:noWrap w:val="0"/>
            <w:vAlign w:val="center"/>
          </w:tcPr>
          <w:p w14:paraId="2B35587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3887" w:type="dxa"/>
            <w:gridSpan w:val="7"/>
            <w:noWrap w:val="0"/>
            <w:vAlign w:val="center"/>
          </w:tcPr>
          <w:p w14:paraId="02B35E6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4AEC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9" w:hRule="atLeast"/>
        </w:trPr>
        <w:tc>
          <w:tcPr>
            <w:tcW w:w="649" w:type="dxa"/>
            <w:vMerge w:val="restart"/>
            <w:noWrap w:val="0"/>
            <w:vAlign w:val="center"/>
          </w:tcPr>
          <w:p w14:paraId="2A506352">
            <w:pPr>
              <w:keepNext w:val="0"/>
              <w:keepLines w:val="0"/>
              <w:pageBreakBefore w:val="0"/>
              <w:widowControl/>
              <w:kinsoku w:val="0"/>
              <w:wordWrap/>
              <w:overflowPunct/>
              <w:topLinePunct w:val="0"/>
              <w:autoSpaceDE w:val="0"/>
              <w:autoSpaceDN w:val="0"/>
              <w:bidi w:val="0"/>
              <w:adjustRightInd w:val="0"/>
              <w:snapToGrid w:val="0"/>
              <w:spacing w:line="240" w:lineRule="exact"/>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71" w:type="dxa"/>
            <w:noWrap w:val="0"/>
            <w:vAlign w:val="center"/>
          </w:tcPr>
          <w:p w14:paraId="5D3435C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433D3D9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52" w:type="dxa"/>
            <w:noWrap w:val="0"/>
            <w:vAlign w:val="center"/>
          </w:tcPr>
          <w:p w14:paraId="7B6B939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1BF25C9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92" w:type="dxa"/>
            <w:gridSpan w:val="3"/>
            <w:noWrap w:val="0"/>
            <w:vAlign w:val="center"/>
          </w:tcPr>
          <w:p w14:paraId="748F195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908" w:type="dxa"/>
            <w:noWrap w:val="0"/>
            <w:vAlign w:val="center"/>
          </w:tcPr>
          <w:p w14:paraId="1A34D70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838" w:type="dxa"/>
            <w:noWrap w:val="0"/>
            <w:vAlign w:val="center"/>
          </w:tcPr>
          <w:p w14:paraId="6DA6203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48" w:type="dxa"/>
            <w:gridSpan w:val="2"/>
            <w:noWrap w:val="0"/>
            <w:vAlign w:val="center"/>
          </w:tcPr>
          <w:p w14:paraId="045011C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48" w:type="dxa"/>
            <w:gridSpan w:val="2"/>
            <w:noWrap w:val="0"/>
            <w:vAlign w:val="center"/>
          </w:tcPr>
          <w:p w14:paraId="6C8ED15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653" w:type="dxa"/>
            <w:gridSpan w:val="2"/>
            <w:noWrap w:val="0"/>
            <w:vAlign w:val="center"/>
          </w:tcPr>
          <w:p w14:paraId="1B2C0B3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3360C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1" w:hRule="atLeast"/>
        </w:trPr>
        <w:tc>
          <w:tcPr>
            <w:tcW w:w="649" w:type="dxa"/>
            <w:vMerge w:val="continue"/>
            <w:noWrap w:val="0"/>
            <w:textDirection w:val="tbRlV"/>
            <w:vAlign w:val="center"/>
          </w:tcPr>
          <w:p w14:paraId="70F1DD80">
            <w:pPr>
              <w:keepNext w:val="0"/>
              <w:keepLines w:val="0"/>
              <w:pageBreakBefore w:val="0"/>
              <w:widowControl/>
              <w:kinsoku w:val="0"/>
              <w:wordWrap/>
              <w:overflowPunct/>
              <w:topLinePunct w:val="0"/>
              <w:autoSpaceDE w:val="0"/>
              <w:autoSpaceDN w:val="0"/>
              <w:bidi w:val="0"/>
              <w:adjustRightInd w:val="0"/>
              <w:snapToGrid w:val="0"/>
              <w:spacing w:line="240" w:lineRule="exact"/>
              <w:ind w:left="113" w:right="113" w:firstLine="0" w:firstLineChars="0"/>
              <w:jc w:val="center"/>
              <w:rPr>
                <w:rFonts w:hint="eastAsia" w:ascii="宋体" w:hAnsi="宋体" w:eastAsia="宋体" w:cs="宋体"/>
                <w:sz w:val="22"/>
                <w:szCs w:val="22"/>
              </w:rPr>
            </w:pPr>
          </w:p>
        </w:tc>
        <w:tc>
          <w:tcPr>
            <w:tcW w:w="771" w:type="dxa"/>
            <w:vMerge w:val="restart"/>
            <w:noWrap w:val="0"/>
            <w:vAlign w:val="center"/>
          </w:tcPr>
          <w:p w14:paraId="26D5E64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068CE25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52" w:type="dxa"/>
            <w:noWrap w:val="0"/>
            <w:vAlign w:val="center"/>
          </w:tcPr>
          <w:p w14:paraId="29C142E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数量指标</w:t>
            </w:r>
          </w:p>
        </w:tc>
        <w:tc>
          <w:tcPr>
            <w:tcW w:w="1492" w:type="dxa"/>
            <w:gridSpan w:val="3"/>
            <w:noWrap w:val="0"/>
            <w:vAlign w:val="center"/>
          </w:tcPr>
          <w:p w14:paraId="0EA9DED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各医疗机构卫生专网全覆盖</w:t>
            </w:r>
          </w:p>
        </w:tc>
        <w:tc>
          <w:tcPr>
            <w:tcW w:w="908" w:type="dxa"/>
            <w:noWrap w:val="0"/>
            <w:vAlign w:val="center"/>
          </w:tcPr>
          <w:p w14:paraId="638A205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100%</w:t>
            </w:r>
          </w:p>
        </w:tc>
        <w:tc>
          <w:tcPr>
            <w:tcW w:w="838" w:type="dxa"/>
            <w:noWrap w:val="0"/>
            <w:vAlign w:val="center"/>
          </w:tcPr>
          <w:p w14:paraId="2BBC0F8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48" w:type="dxa"/>
            <w:gridSpan w:val="2"/>
            <w:noWrap w:val="0"/>
            <w:vAlign w:val="center"/>
          </w:tcPr>
          <w:p w14:paraId="4A7FF3A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748" w:type="dxa"/>
            <w:gridSpan w:val="2"/>
            <w:noWrap w:val="0"/>
            <w:vAlign w:val="center"/>
          </w:tcPr>
          <w:p w14:paraId="1DF986D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653" w:type="dxa"/>
            <w:gridSpan w:val="2"/>
            <w:noWrap w:val="0"/>
            <w:vAlign w:val="center"/>
          </w:tcPr>
          <w:p w14:paraId="3967967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7CF86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649" w:type="dxa"/>
            <w:vMerge w:val="continue"/>
            <w:noWrap w:val="0"/>
            <w:vAlign w:val="center"/>
          </w:tcPr>
          <w:p w14:paraId="3A854A2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771" w:type="dxa"/>
            <w:vMerge w:val="continue"/>
            <w:noWrap w:val="0"/>
            <w:vAlign w:val="center"/>
          </w:tcPr>
          <w:p w14:paraId="44CEF5B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852" w:type="dxa"/>
            <w:noWrap w:val="0"/>
            <w:vAlign w:val="center"/>
          </w:tcPr>
          <w:p w14:paraId="4016BC7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质量指标</w:t>
            </w:r>
          </w:p>
        </w:tc>
        <w:tc>
          <w:tcPr>
            <w:tcW w:w="1492" w:type="dxa"/>
            <w:gridSpan w:val="3"/>
            <w:noWrap w:val="0"/>
            <w:vAlign w:val="center"/>
          </w:tcPr>
          <w:p w14:paraId="65E5522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各医疗机构网络畅通</w:t>
            </w:r>
          </w:p>
        </w:tc>
        <w:tc>
          <w:tcPr>
            <w:tcW w:w="908" w:type="dxa"/>
            <w:noWrap w:val="0"/>
            <w:vAlign w:val="center"/>
          </w:tcPr>
          <w:p w14:paraId="01632B9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正常使用</w:t>
            </w:r>
          </w:p>
        </w:tc>
        <w:tc>
          <w:tcPr>
            <w:tcW w:w="838" w:type="dxa"/>
            <w:noWrap w:val="0"/>
            <w:vAlign w:val="center"/>
          </w:tcPr>
          <w:p w14:paraId="14E2C9B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正常使用</w:t>
            </w:r>
          </w:p>
        </w:tc>
        <w:tc>
          <w:tcPr>
            <w:tcW w:w="648" w:type="dxa"/>
            <w:gridSpan w:val="2"/>
            <w:noWrap w:val="0"/>
            <w:vAlign w:val="center"/>
          </w:tcPr>
          <w:p w14:paraId="5AF9E90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748" w:type="dxa"/>
            <w:gridSpan w:val="2"/>
            <w:noWrap w:val="0"/>
            <w:vAlign w:val="center"/>
          </w:tcPr>
          <w:p w14:paraId="34919D0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653" w:type="dxa"/>
            <w:gridSpan w:val="2"/>
            <w:noWrap w:val="0"/>
            <w:vAlign w:val="center"/>
          </w:tcPr>
          <w:p w14:paraId="7A8932A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55DC0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2" w:hRule="atLeast"/>
        </w:trPr>
        <w:tc>
          <w:tcPr>
            <w:tcW w:w="649" w:type="dxa"/>
            <w:vMerge w:val="continue"/>
            <w:noWrap w:val="0"/>
            <w:vAlign w:val="center"/>
          </w:tcPr>
          <w:p w14:paraId="7464192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771" w:type="dxa"/>
            <w:vMerge w:val="continue"/>
            <w:noWrap w:val="0"/>
            <w:vAlign w:val="center"/>
          </w:tcPr>
          <w:p w14:paraId="47D3046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852" w:type="dxa"/>
            <w:noWrap w:val="0"/>
            <w:vAlign w:val="center"/>
          </w:tcPr>
          <w:p w14:paraId="3AC7B70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时效指标</w:t>
            </w:r>
          </w:p>
        </w:tc>
        <w:tc>
          <w:tcPr>
            <w:tcW w:w="1492" w:type="dxa"/>
            <w:gridSpan w:val="3"/>
            <w:noWrap w:val="0"/>
            <w:vAlign w:val="center"/>
          </w:tcPr>
          <w:p w14:paraId="2C4AB6F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卫生专网年度费用支付及时性</w:t>
            </w:r>
          </w:p>
        </w:tc>
        <w:tc>
          <w:tcPr>
            <w:tcW w:w="908" w:type="dxa"/>
            <w:noWrap w:val="0"/>
            <w:vAlign w:val="center"/>
          </w:tcPr>
          <w:p w14:paraId="6718C96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及时</w:t>
            </w:r>
          </w:p>
        </w:tc>
        <w:tc>
          <w:tcPr>
            <w:tcW w:w="838" w:type="dxa"/>
            <w:noWrap w:val="0"/>
            <w:vAlign w:val="center"/>
          </w:tcPr>
          <w:p w14:paraId="6DD48E1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及时</w:t>
            </w:r>
          </w:p>
        </w:tc>
        <w:tc>
          <w:tcPr>
            <w:tcW w:w="648" w:type="dxa"/>
            <w:gridSpan w:val="2"/>
            <w:noWrap w:val="0"/>
            <w:vAlign w:val="center"/>
          </w:tcPr>
          <w:p w14:paraId="44DDD5A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8" w:type="dxa"/>
            <w:gridSpan w:val="2"/>
            <w:noWrap w:val="0"/>
            <w:vAlign w:val="center"/>
          </w:tcPr>
          <w:p w14:paraId="5B14146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53" w:type="dxa"/>
            <w:gridSpan w:val="2"/>
            <w:noWrap w:val="0"/>
            <w:vAlign w:val="center"/>
          </w:tcPr>
          <w:p w14:paraId="25E67C0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5DA7B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4" w:hRule="atLeast"/>
        </w:trPr>
        <w:tc>
          <w:tcPr>
            <w:tcW w:w="649" w:type="dxa"/>
            <w:vMerge w:val="continue"/>
            <w:noWrap w:val="0"/>
            <w:textDirection w:val="tbRlV"/>
            <w:vAlign w:val="center"/>
          </w:tcPr>
          <w:p w14:paraId="75413C8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771" w:type="dxa"/>
            <w:vMerge w:val="restart"/>
            <w:noWrap w:val="0"/>
            <w:vAlign w:val="center"/>
          </w:tcPr>
          <w:p w14:paraId="4E76289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效益</w:t>
            </w:r>
            <w:r>
              <w:rPr>
                <w:rFonts w:hint="eastAsia" w:ascii="宋体" w:hAnsi="宋体" w:eastAsia="宋体" w:cs="宋体"/>
                <w:sz w:val="22"/>
                <w:szCs w:val="22"/>
                <w:lang w:val="en-US" w:eastAsia="zh-CN"/>
              </w:rPr>
              <w:t xml:space="preserve">  </w:t>
            </w:r>
            <w:r>
              <w:rPr>
                <w:rFonts w:hint="eastAsia" w:ascii="宋体" w:hAnsi="宋体" w:eastAsia="宋体" w:cs="宋体"/>
                <w:sz w:val="22"/>
                <w:szCs w:val="22"/>
                <w:lang w:eastAsia="zh-CN"/>
              </w:rPr>
              <w:t>指标</w:t>
            </w:r>
          </w:p>
        </w:tc>
        <w:tc>
          <w:tcPr>
            <w:tcW w:w="852" w:type="dxa"/>
            <w:vMerge w:val="restart"/>
            <w:noWrap w:val="0"/>
            <w:vAlign w:val="center"/>
          </w:tcPr>
          <w:p w14:paraId="79FC1A5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社会效益</w:t>
            </w:r>
          </w:p>
        </w:tc>
        <w:tc>
          <w:tcPr>
            <w:tcW w:w="1492" w:type="dxa"/>
            <w:gridSpan w:val="3"/>
            <w:noWrap w:val="0"/>
            <w:vAlign w:val="center"/>
          </w:tcPr>
          <w:p w14:paraId="168A0AA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保障所有公立医疗机构系统正常运转</w:t>
            </w:r>
          </w:p>
        </w:tc>
        <w:tc>
          <w:tcPr>
            <w:tcW w:w="908" w:type="dxa"/>
            <w:noWrap w:val="0"/>
            <w:vAlign w:val="center"/>
          </w:tcPr>
          <w:p w14:paraId="6594CD4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保障</w:t>
            </w:r>
          </w:p>
        </w:tc>
        <w:tc>
          <w:tcPr>
            <w:tcW w:w="838" w:type="dxa"/>
            <w:noWrap w:val="0"/>
            <w:vAlign w:val="center"/>
          </w:tcPr>
          <w:p w14:paraId="513587E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保障</w:t>
            </w:r>
          </w:p>
        </w:tc>
        <w:tc>
          <w:tcPr>
            <w:tcW w:w="648" w:type="dxa"/>
            <w:gridSpan w:val="2"/>
            <w:noWrap w:val="0"/>
            <w:vAlign w:val="center"/>
          </w:tcPr>
          <w:p w14:paraId="7953985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8" w:type="dxa"/>
            <w:gridSpan w:val="2"/>
            <w:noWrap w:val="0"/>
            <w:vAlign w:val="center"/>
          </w:tcPr>
          <w:p w14:paraId="7BF0018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53" w:type="dxa"/>
            <w:gridSpan w:val="2"/>
            <w:noWrap w:val="0"/>
            <w:vAlign w:val="center"/>
          </w:tcPr>
          <w:p w14:paraId="2F8E544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2D1D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649" w:type="dxa"/>
            <w:vMerge w:val="continue"/>
            <w:noWrap w:val="0"/>
            <w:textDirection w:val="tbRlV"/>
            <w:vAlign w:val="center"/>
          </w:tcPr>
          <w:p w14:paraId="39CB0FD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771" w:type="dxa"/>
            <w:vMerge w:val="continue"/>
            <w:noWrap w:val="0"/>
            <w:vAlign w:val="center"/>
          </w:tcPr>
          <w:p w14:paraId="225CB2B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852" w:type="dxa"/>
            <w:vMerge w:val="continue"/>
            <w:noWrap w:val="0"/>
            <w:vAlign w:val="center"/>
          </w:tcPr>
          <w:p w14:paraId="739CB827">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宋体" w:hAnsi="宋体" w:eastAsia="宋体" w:cs="宋体"/>
                <w:sz w:val="22"/>
                <w:szCs w:val="22"/>
              </w:rPr>
            </w:pPr>
          </w:p>
        </w:tc>
        <w:tc>
          <w:tcPr>
            <w:tcW w:w="1492" w:type="dxa"/>
            <w:gridSpan w:val="3"/>
            <w:noWrap w:val="0"/>
            <w:vAlign w:val="center"/>
          </w:tcPr>
          <w:p w14:paraId="2CBF7C4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方便群众就医看病</w:t>
            </w:r>
          </w:p>
        </w:tc>
        <w:tc>
          <w:tcPr>
            <w:tcW w:w="908" w:type="dxa"/>
            <w:noWrap w:val="0"/>
            <w:vAlign w:val="center"/>
          </w:tcPr>
          <w:p w14:paraId="63FBE84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方便</w:t>
            </w:r>
          </w:p>
        </w:tc>
        <w:tc>
          <w:tcPr>
            <w:tcW w:w="838" w:type="dxa"/>
            <w:noWrap w:val="0"/>
            <w:vAlign w:val="center"/>
          </w:tcPr>
          <w:p w14:paraId="41C1371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方便</w:t>
            </w:r>
          </w:p>
        </w:tc>
        <w:tc>
          <w:tcPr>
            <w:tcW w:w="648" w:type="dxa"/>
            <w:gridSpan w:val="2"/>
            <w:noWrap w:val="0"/>
            <w:vAlign w:val="center"/>
          </w:tcPr>
          <w:p w14:paraId="394B5B9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48" w:type="dxa"/>
            <w:gridSpan w:val="2"/>
            <w:noWrap w:val="0"/>
            <w:vAlign w:val="center"/>
          </w:tcPr>
          <w:p w14:paraId="51C07B1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15</w:t>
            </w:r>
          </w:p>
        </w:tc>
        <w:tc>
          <w:tcPr>
            <w:tcW w:w="1653" w:type="dxa"/>
            <w:gridSpan w:val="2"/>
            <w:noWrap w:val="0"/>
            <w:vAlign w:val="center"/>
          </w:tcPr>
          <w:p w14:paraId="021164B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74741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4" w:hRule="atLeast"/>
        </w:trPr>
        <w:tc>
          <w:tcPr>
            <w:tcW w:w="649" w:type="dxa"/>
            <w:vMerge w:val="continue"/>
            <w:noWrap w:val="0"/>
            <w:textDirection w:val="tbRlV"/>
            <w:vAlign w:val="center"/>
          </w:tcPr>
          <w:p w14:paraId="411778E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771" w:type="dxa"/>
            <w:vMerge w:val="continue"/>
            <w:noWrap w:val="0"/>
            <w:vAlign w:val="center"/>
          </w:tcPr>
          <w:p w14:paraId="65DF00C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852" w:type="dxa"/>
            <w:noWrap w:val="0"/>
            <w:vAlign w:val="center"/>
          </w:tcPr>
          <w:p w14:paraId="1846B51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可持续影响指标</w:t>
            </w:r>
          </w:p>
        </w:tc>
        <w:tc>
          <w:tcPr>
            <w:tcW w:w="1492" w:type="dxa"/>
            <w:gridSpan w:val="3"/>
            <w:noWrap w:val="0"/>
            <w:vAlign w:val="center"/>
          </w:tcPr>
          <w:p w14:paraId="59A05E2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卫生专网链路畅通</w:t>
            </w:r>
          </w:p>
        </w:tc>
        <w:tc>
          <w:tcPr>
            <w:tcW w:w="908" w:type="dxa"/>
            <w:noWrap w:val="0"/>
            <w:vAlign w:val="center"/>
          </w:tcPr>
          <w:p w14:paraId="2AFC7B4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畅通</w:t>
            </w:r>
          </w:p>
        </w:tc>
        <w:tc>
          <w:tcPr>
            <w:tcW w:w="838" w:type="dxa"/>
            <w:noWrap w:val="0"/>
            <w:vAlign w:val="center"/>
          </w:tcPr>
          <w:p w14:paraId="76FD078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通畅</w:t>
            </w:r>
          </w:p>
        </w:tc>
        <w:tc>
          <w:tcPr>
            <w:tcW w:w="648" w:type="dxa"/>
            <w:gridSpan w:val="2"/>
            <w:noWrap w:val="0"/>
            <w:vAlign w:val="center"/>
          </w:tcPr>
          <w:p w14:paraId="6C5B621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8" w:type="dxa"/>
            <w:gridSpan w:val="2"/>
            <w:noWrap w:val="0"/>
            <w:vAlign w:val="center"/>
          </w:tcPr>
          <w:p w14:paraId="592552F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10</w:t>
            </w:r>
          </w:p>
        </w:tc>
        <w:tc>
          <w:tcPr>
            <w:tcW w:w="1653" w:type="dxa"/>
            <w:gridSpan w:val="2"/>
            <w:noWrap w:val="0"/>
            <w:vAlign w:val="center"/>
          </w:tcPr>
          <w:p w14:paraId="6AA4E5D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567E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8" w:hRule="atLeast"/>
        </w:trPr>
        <w:tc>
          <w:tcPr>
            <w:tcW w:w="649" w:type="dxa"/>
            <w:vMerge w:val="continue"/>
            <w:noWrap w:val="0"/>
            <w:vAlign w:val="center"/>
          </w:tcPr>
          <w:p w14:paraId="22C8C08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c>
          <w:tcPr>
            <w:tcW w:w="771" w:type="dxa"/>
            <w:noWrap w:val="0"/>
            <w:vAlign w:val="center"/>
          </w:tcPr>
          <w:p w14:paraId="0BADC9C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满意度指标</w:t>
            </w:r>
          </w:p>
        </w:tc>
        <w:tc>
          <w:tcPr>
            <w:tcW w:w="852" w:type="dxa"/>
            <w:noWrap w:val="0"/>
            <w:vAlign w:val="center"/>
          </w:tcPr>
          <w:p w14:paraId="2234F04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服务对象</w:t>
            </w:r>
            <w:r>
              <w:rPr>
                <w:rFonts w:hint="eastAsia" w:ascii="宋体" w:hAnsi="宋体" w:eastAsia="宋体" w:cs="宋体"/>
                <w:i w:val="0"/>
                <w:snapToGrid w:val="0"/>
                <w:color w:val="000000"/>
                <w:kern w:val="0"/>
                <w:sz w:val="22"/>
                <w:szCs w:val="22"/>
                <w:u w:val="none"/>
                <w:lang w:val="en-US" w:eastAsia="zh-CN" w:bidi="ar"/>
              </w:rPr>
              <w:br w:type="textWrapping"/>
            </w:r>
            <w:r>
              <w:rPr>
                <w:rFonts w:hint="eastAsia" w:ascii="宋体" w:hAnsi="宋体" w:eastAsia="宋体" w:cs="宋体"/>
                <w:i w:val="0"/>
                <w:snapToGrid w:val="0"/>
                <w:color w:val="000000"/>
                <w:kern w:val="0"/>
                <w:sz w:val="22"/>
                <w:szCs w:val="22"/>
                <w:u w:val="none"/>
                <w:lang w:val="en-US" w:eastAsia="zh-CN" w:bidi="ar"/>
              </w:rPr>
              <w:t>满意度</w:t>
            </w:r>
          </w:p>
        </w:tc>
        <w:tc>
          <w:tcPr>
            <w:tcW w:w="1492" w:type="dxa"/>
            <w:gridSpan w:val="3"/>
            <w:noWrap w:val="0"/>
            <w:vAlign w:val="center"/>
          </w:tcPr>
          <w:p w14:paraId="08BC00E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居民就医满意度</w:t>
            </w:r>
          </w:p>
        </w:tc>
        <w:tc>
          <w:tcPr>
            <w:tcW w:w="908" w:type="dxa"/>
            <w:noWrap w:val="0"/>
            <w:vAlign w:val="center"/>
          </w:tcPr>
          <w:p w14:paraId="15096D0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2"/>
                <w:szCs w:val="22"/>
              </w:rPr>
            </w:pPr>
            <w:r>
              <w:rPr>
                <w:rFonts w:hint="eastAsia" w:ascii="宋体" w:hAnsi="宋体" w:eastAsia="宋体" w:cs="宋体"/>
                <w:i w:val="0"/>
                <w:snapToGrid w:val="0"/>
                <w:color w:val="000000"/>
                <w:kern w:val="0"/>
                <w:sz w:val="22"/>
                <w:szCs w:val="22"/>
                <w:u w:val="none"/>
                <w:lang w:val="en-US" w:eastAsia="zh-CN" w:bidi="ar"/>
              </w:rPr>
              <w:t>≧90%</w:t>
            </w:r>
          </w:p>
        </w:tc>
        <w:tc>
          <w:tcPr>
            <w:tcW w:w="838" w:type="dxa"/>
            <w:noWrap w:val="0"/>
            <w:vAlign w:val="center"/>
          </w:tcPr>
          <w:p w14:paraId="3A74766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90%</w:t>
            </w:r>
          </w:p>
        </w:tc>
        <w:tc>
          <w:tcPr>
            <w:tcW w:w="648" w:type="dxa"/>
            <w:gridSpan w:val="2"/>
            <w:noWrap w:val="0"/>
            <w:vAlign w:val="center"/>
          </w:tcPr>
          <w:p w14:paraId="4303C02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15</w:t>
            </w:r>
          </w:p>
        </w:tc>
        <w:tc>
          <w:tcPr>
            <w:tcW w:w="748" w:type="dxa"/>
            <w:gridSpan w:val="2"/>
            <w:noWrap w:val="0"/>
            <w:vAlign w:val="center"/>
          </w:tcPr>
          <w:p w14:paraId="42ADD0E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15</w:t>
            </w:r>
          </w:p>
        </w:tc>
        <w:tc>
          <w:tcPr>
            <w:tcW w:w="1653" w:type="dxa"/>
            <w:gridSpan w:val="2"/>
            <w:noWrap w:val="0"/>
            <w:vAlign w:val="center"/>
          </w:tcPr>
          <w:p w14:paraId="5FB5C9A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2"/>
                <w:szCs w:val="22"/>
              </w:rPr>
            </w:pPr>
          </w:p>
        </w:tc>
      </w:tr>
      <w:tr w14:paraId="4D2C1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8" w:hRule="atLeast"/>
        </w:trPr>
        <w:tc>
          <w:tcPr>
            <w:tcW w:w="5510" w:type="dxa"/>
            <w:gridSpan w:val="8"/>
            <w:noWrap w:val="0"/>
            <w:vAlign w:val="center"/>
          </w:tcPr>
          <w:p w14:paraId="72D3E218">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48" w:type="dxa"/>
            <w:gridSpan w:val="2"/>
            <w:noWrap w:val="0"/>
            <w:vAlign w:val="center"/>
          </w:tcPr>
          <w:p w14:paraId="26920C3C">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48" w:type="dxa"/>
            <w:gridSpan w:val="2"/>
            <w:noWrap w:val="0"/>
            <w:vAlign w:val="center"/>
          </w:tcPr>
          <w:p w14:paraId="0A466401">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1653" w:type="dxa"/>
            <w:gridSpan w:val="2"/>
            <w:noWrap w:val="0"/>
            <w:vAlign w:val="center"/>
          </w:tcPr>
          <w:p w14:paraId="11F7566B">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2"/>
                <w:szCs w:val="22"/>
              </w:rPr>
            </w:pPr>
          </w:p>
        </w:tc>
      </w:tr>
      <w:tr w14:paraId="699A0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3" w:hRule="atLeast"/>
        </w:trPr>
        <w:tc>
          <w:tcPr>
            <w:tcW w:w="649" w:type="dxa"/>
            <w:noWrap w:val="0"/>
            <w:vAlign w:val="center"/>
          </w:tcPr>
          <w:p w14:paraId="155D97C2">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910" w:type="dxa"/>
            <w:gridSpan w:val="13"/>
            <w:noWrap w:val="0"/>
            <w:vAlign w:val="center"/>
          </w:tcPr>
          <w:p w14:paraId="48E3EA65">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3C7DC6C1">
      <w:pPr>
        <w:pageBreakBefore w:val="0"/>
        <w:wordWrap/>
        <w:overflowPunct/>
        <w:topLinePunct w:val="0"/>
        <w:bidi w:val="0"/>
        <w:spacing w:line="560" w:lineRule="exact"/>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0B259F5A">
      <w:pPr>
        <w:pageBreakBefore w:val="0"/>
        <w:wordWrap/>
        <w:overflowPunct/>
        <w:topLinePunct w:val="0"/>
        <w:bidi w:val="0"/>
        <w:spacing w:line="560" w:lineRule="exact"/>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7567E7D5">
      <w:pPr>
        <w:pageBreakBefore w:val="0"/>
        <w:wordWrap/>
        <w:overflowPunct/>
        <w:topLinePunct w:val="0"/>
        <w:bidi w:val="0"/>
        <w:spacing w:line="560" w:lineRule="exact"/>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68067012">
      <w:pPr>
        <w:pageBreakBefore w:val="0"/>
        <w:wordWrap/>
        <w:overflowPunct/>
        <w:topLinePunct w:val="0"/>
        <w:bidi w:val="0"/>
        <w:spacing w:line="560" w:lineRule="exact"/>
        <w:ind w:firstLine="432"/>
        <w:rPr>
          <w:rFonts w:ascii="宋体" w:hAnsi="宋体" w:eastAsia="宋体" w:cs="宋体"/>
          <w:spacing w:val="-2"/>
          <w:sz w:val="22"/>
          <w:szCs w:val="22"/>
        </w:rPr>
      </w:pPr>
    </w:p>
    <w:p w14:paraId="7E8A41B2">
      <w:pPr>
        <w:pStyle w:val="2"/>
        <w:pageBreakBefore w:val="0"/>
        <w:numPr>
          <w:ilvl w:val="5"/>
          <w:numId w:val="0"/>
        </w:numPr>
        <w:wordWrap/>
        <w:overflowPunct/>
        <w:topLinePunct w:val="0"/>
        <w:bidi w:val="0"/>
        <w:spacing w:line="560" w:lineRule="exact"/>
        <w:rPr>
          <w:rFonts w:ascii="宋体" w:hAnsi="宋体" w:eastAsia="宋体" w:cs="宋体"/>
          <w:spacing w:val="-2"/>
          <w:sz w:val="22"/>
          <w:szCs w:val="22"/>
        </w:rPr>
      </w:pPr>
    </w:p>
    <w:p w14:paraId="6C04B40B">
      <w:pPr>
        <w:pageBreakBefore w:val="0"/>
        <w:tabs>
          <w:tab w:val="left" w:pos="251"/>
        </w:tabs>
        <w:wordWrap/>
        <w:overflowPunct/>
        <w:topLinePunct w:val="0"/>
        <w:bidi w:val="0"/>
        <w:spacing w:line="560" w:lineRule="exact"/>
        <w:rPr>
          <w:rFonts w:hint="eastAsia" w:ascii="宋体" w:hAnsi="宋体" w:eastAsia="宋体" w:cs="宋体"/>
          <w:spacing w:val="-2"/>
          <w:sz w:val="22"/>
          <w:szCs w:val="22"/>
          <w:lang w:eastAsia="zh-CN"/>
        </w:rPr>
      </w:pPr>
      <w:r>
        <w:rPr>
          <w:rFonts w:hint="eastAsia" w:ascii="宋体" w:hAnsi="宋体" w:eastAsia="宋体" w:cs="宋体"/>
          <w:spacing w:val="-2"/>
          <w:sz w:val="22"/>
          <w:szCs w:val="22"/>
          <w:lang w:eastAsia="zh-CN"/>
        </w:rPr>
        <w:tab/>
      </w:r>
    </w:p>
    <w:p w14:paraId="404AC165">
      <w:pPr>
        <w:pageBreakBefore w:val="0"/>
        <w:wordWrap/>
        <w:overflowPunct/>
        <w:topLinePunct w:val="0"/>
        <w:bidi w:val="0"/>
        <w:spacing w:before="111" w:line="560" w:lineRule="exact"/>
        <w:ind w:firstLine="0" w:firstLineChars="0"/>
        <w:outlineLvl w:val="1"/>
        <w:rPr>
          <w:rFonts w:hint="eastAsia" w:ascii="宋体" w:hAnsi="宋体" w:eastAsia="宋体" w:cs="宋体"/>
          <w:b/>
          <w:bCs/>
          <w:lang w:val="en-US" w:eastAsia="zh-CN"/>
        </w:rPr>
      </w:pPr>
    </w:p>
    <w:p w14:paraId="11B857EF">
      <w:pPr>
        <w:pageBreakBefore w:val="0"/>
        <w:wordWrap/>
        <w:overflowPunct/>
        <w:topLinePunct w:val="0"/>
        <w:bidi w:val="0"/>
        <w:spacing w:before="111" w:line="560" w:lineRule="exact"/>
        <w:ind w:firstLine="0" w:firstLineChars="0"/>
        <w:outlineLvl w:val="1"/>
        <w:rPr>
          <w:rFonts w:hint="eastAsia" w:ascii="宋体" w:hAnsi="宋体" w:eastAsia="宋体" w:cs="宋体"/>
          <w:b/>
          <w:bCs/>
          <w:lang w:val="en-US" w:eastAsia="zh-CN"/>
        </w:rPr>
      </w:pPr>
    </w:p>
    <w:p w14:paraId="622E6980">
      <w:pPr>
        <w:pageBreakBefore w:val="0"/>
        <w:wordWrap/>
        <w:overflowPunct/>
        <w:topLinePunct w:val="0"/>
        <w:bidi w:val="0"/>
        <w:spacing w:before="111" w:line="560" w:lineRule="exact"/>
        <w:ind w:firstLine="0" w:firstLineChars="0"/>
        <w:outlineLvl w:val="1"/>
        <w:rPr>
          <w:rFonts w:hint="eastAsia" w:ascii="宋体" w:hAnsi="宋体" w:eastAsia="宋体" w:cs="宋体"/>
          <w:b/>
          <w:bCs/>
          <w:lang w:val="en-US" w:eastAsia="zh-CN"/>
        </w:rPr>
      </w:pPr>
    </w:p>
    <w:p w14:paraId="60814DBE">
      <w:pPr>
        <w:pageBreakBefore w:val="0"/>
        <w:wordWrap/>
        <w:overflowPunct/>
        <w:topLinePunct w:val="0"/>
        <w:bidi w:val="0"/>
        <w:spacing w:before="111" w:line="560" w:lineRule="exact"/>
        <w:ind w:firstLine="0" w:firstLineChars="0"/>
        <w:outlineLvl w:val="1"/>
        <w:rPr>
          <w:rFonts w:hint="default" w:ascii="宋体" w:hAnsi="宋体" w:eastAsia="宋体" w:cs="宋体"/>
          <w:b/>
          <w:bCs/>
          <w:lang w:val="en-US" w:eastAsia="zh-CN"/>
        </w:rPr>
      </w:pPr>
    </w:p>
    <w:p w14:paraId="39777209">
      <w:pPr>
        <w:pageBreakBefore w:val="0"/>
        <w:wordWrap/>
        <w:overflowPunct/>
        <w:topLinePunct w:val="0"/>
        <w:bidi w:val="0"/>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附件19</w:t>
      </w:r>
    </w:p>
    <w:p w14:paraId="3D729C15">
      <w:pPr>
        <w:pageBreakBefore w:val="0"/>
        <w:wordWrap/>
        <w:overflowPunct/>
        <w:topLinePunct w:val="0"/>
        <w:bidi w:val="0"/>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3E73ED17">
      <w:pPr>
        <w:pageBreakBefore w:val="0"/>
        <w:wordWrap/>
        <w:overflowPunct/>
        <w:topLinePunct w:val="0"/>
        <w:bidi w:val="0"/>
        <w:spacing w:line="560" w:lineRule="exact"/>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47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3"/>
        <w:gridCol w:w="763"/>
        <w:gridCol w:w="844"/>
        <w:gridCol w:w="264"/>
        <w:gridCol w:w="1019"/>
        <w:gridCol w:w="195"/>
        <w:gridCol w:w="900"/>
        <w:gridCol w:w="831"/>
        <w:gridCol w:w="570"/>
        <w:gridCol w:w="72"/>
        <w:gridCol w:w="660"/>
        <w:gridCol w:w="81"/>
        <w:gridCol w:w="569"/>
        <w:gridCol w:w="1068"/>
      </w:tblGrid>
      <w:tr w14:paraId="3880A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1406" w:type="dxa"/>
            <w:gridSpan w:val="2"/>
            <w:noWrap w:val="0"/>
            <w:vAlign w:val="center"/>
          </w:tcPr>
          <w:p w14:paraId="6E155125">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073" w:type="dxa"/>
            <w:gridSpan w:val="12"/>
            <w:noWrap w:val="0"/>
            <w:vAlign w:val="center"/>
          </w:tcPr>
          <w:p w14:paraId="12618392">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疫情防控</w:t>
            </w:r>
            <w:r>
              <w:rPr>
                <w:rFonts w:hint="eastAsia" w:ascii="宋体" w:hAnsi="宋体" w:eastAsia="宋体" w:cs="宋体"/>
                <w:sz w:val="22"/>
                <w:szCs w:val="22"/>
                <w:lang w:eastAsia="zh-CN"/>
              </w:rPr>
              <w:t>预算</w:t>
            </w:r>
            <w:r>
              <w:rPr>
                <w:rFonts w:hint="eastAsia" w:ascii="宋体" w:hAnsi="宋体" w:eastAsia="宋体" w:cs="宋体"/>
                <w:sz w:val="22"/>
                <w:szCs w:val="22"/>
              </w:rPr>
              <w:t>工作经费</w:t>
            </w:r>
          </w:p>
        </w:tc>
      </w:tr>
      <w:tr w14:paraId="69418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1406" w:type="dxa"/>
            <w:gridSpan w:val="2"/>
            <w:noWrap w:val="0"/>
            <w:vAlign w:val="center"/>
          </w:tcPr>
          <w:p w14:paraId="0436DE7F">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222" w:type="dxa"/>
            <w:gridSpan w:val="5"/>
            <w:noWrap w:val="0"/>
            <w:vAlign w:val="center"/>
          </w:tcPr>
          <w:p w14:paraId="6CE6D04A">
            <w:pPr>
              <w:pageBreakBefore w:val="0"/>
              <w:wordWrap/>
              <w:overflowPunct/>
              <w:topLinePunct w:val="0"/>
              <w:bidi w:val="0"/>
              <w:spacing w:line="560" w:lineRule="exact"/>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兰州新区卫生健康委员会</w:t>
            </w:r>
          </w:p>
        </w:tc>
        <w:tc>
          <w:tcPr>
            <w:tcW w:w="1401" w:type="dxa"/>
            <w:gridSpan w:val="2"/>
            <w:noWrap w:val="0"/>
            <w:vAlign w:val="center"/>
          </w:tcPr>
          <w:p w14:paraId="4D6517B4">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50" w:type="dxa"/>
            <w:gridSpan w:val="5"/>
            <w:noWrap w:val="0"/>
            <w:vAlign w:val="center"/>
          </w:tcPr>
          <w:p w14:paraId="7F2DA04F">
            <w:pPr>
              <w:pageBreakBefore w:val="0"/>
              <w:wordWrap/>
              <w:overflowPunct/>
              <w:topLinePunct w:val="0"/>
              <w:bidi w:val="0"/>
              <w:spacing w:line="560" w:lineRule="exact"/>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各责任单位</w:t>
            </w:r>
          </w:p>
        </w:tc>
      </w:tr>
      <w:tr w14:paraId="3E5FB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1406" w:type="dxa"/>
            <w:gridSpan w:val="2"/>
            <w:vMerge w:val="restart"/>
            <w:noWrap w:val="0"/>
            <w:vAlign w:val="center"/>
          </w:tcPr>
          <w:p w14:paraId="4ED2E190">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108" w:type="dxa"/>
            <w:gridSpan w:val="2"/>
            <w:noWrap w:val="0"/>
            <w:vAlign w:val="center"/>
          </w:tcPr>
          <w:p w14:paraId="6DDE4433">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1019" w:type="dxa"/>
            <w:noWrap w:val="0"/>
            <w:vAlign w:val="center"/>
          </w:tcPr>
          <w:p w14:paraId="2F549A67">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95" w:type="dxa"/>
            <w:gridSpan w:val="2"/>
            <w:noWrap w:val="0"/>
            <w:vAlign w:val="center"/>
          </w:tcPr>
          <w:p w14:paraId="2B9A7C0E">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401" w:type="dxa"/>
            <w:gridSpan w:val="2"/>
            <w:noWrap w:val="0"/>
            <w:vAlign w:val="center"/>
          </w:tcPr>
          <w:p w14:paraId="15852B85">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32" w:type="dxa"/>
            <w:gridSpan w:val="2"/>
            <w:noWrap w:val="0"/>
            <w:vAlign w:val="center"/>
          </w:tcPr>
          <w:p w14:paraId="7BDC2C0C">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50" w:type="dxa"/>
            <w:gridSpan w:val="2"/>
            <w:noWrap w:val="0"/>
            <w:vAlign w:val="center"/>
          </w:tcPr>
          <w:p w14:paraId="4DB83D01">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68" w:type="dxa"/>
            <w:noWrap w:val="0"/>
            <w:vAlign w:val="center"/>
          </w:tcPr>
          <w:p w14:paraId="73C79355">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420C1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1406" w:type="dxa"/>
            <w:gridSpan w:val="2"/>
            <w:vMerge w:val="continue"/>
            <w:noWrap w:val="0"/>
            <w:vAlign w:val="center"/>
          </w:tcPr>
          <w:p w14:paraId="721054D5">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1108" w:type="dxa"/>
            <w:gridSpan w:val="2"/>
            <w:noWrap w:val="0"/>
            <w:vAlign w:val="center"/>
          </w:tcPr>
          <w:p w14:paraId="493A61C6">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pacing w:val="-3"/>
                <w:sz w:val="20"/>
                <w:szCs w:val="20"/>
                <w:lang w:eastAsia="zh-CN"/>
              </w:rPr>
            </w:pPr>
            <w:r>
              <w:rPr>
                <w:rFonts w:hint="eastAsia" w:ascii="宋体" w:hAnsi="宋体" w:eastAsia="宋体" w:cs="宋体"/>
                <w:spacing w:val="-3"/>
                <w:sz w:val="20"/>
                <w:szCs w:val="20"/>
              </w:rPr>
              <w:t>年度资金</w:t>
            </w:r>
          </w:p>
          <w:p w14:paraId="7D3E16C3">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总</w:t>
            </w:r>
            <w:r>
              <w:rPr>
                <w:rFonts w:hint="eastAsia" w:ascii="宋体" w:hAnsi="宋体" w:eastAsia="宋体" w:cs="宋体"/>
                <w:spacing w:val="-3"/>
                <w:sz w:val="20"/>
                <w:szCs w:val="20"/>
                <w:lang w:eastAsia="zh-CN"/>
              </w:rPr>
              <w:t xml:space="preserve">  </w:t>
            </w:r>
            <w:r>
              <w:rPr>
                <w:rFonts w:hint="eastAsia" w:ascii="宋体" w:hAnsi="宋体" w:eastAsia="宋体" w:cs="宋体"/>
                <w:spacing w:val="-3"/>
                <w:sz w:val="20"/>
                <w:szCs w:val="20"/>
              </w:rPr>
              <w:t>额</w:t>
            </w:r>
          </w:p>
        </w:tc>
        <w:tc>
          <w:tcPr>
            <w:tcW w:w="1019" w:type="dxa"/>
            <w:noWrap w:val="0"/>
            <w:vAlign w:val="center"/>
          </w:tcPr>
          <w:p w14:paraId="2C0BFD98">
            <w:pPr>
              <w:keepNext w:val="0"/>
              <w:keepLines w:val="0"/>
              <w:pageBreakBefore w:val="0"/>
              <w:wordWrap/>
              <w:overflowPunct/>
              <w:topLinePunct w:val="0"/>
              <w:bidi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2500</w:t>
            </w:r>
          </w:p>
        </w:tc>
        <w:tc>
          <w:tcPr>
            <w:tcW w:w="1095" w:type="dxa"/>
            <w:gridSpan w:val="2"/>
            <w:noWrap w:val="0"/>
            <w:vAlign w:val="center"/>
          </w:tcPr>
          <w:p w14:paraId="550E734F">
            <w:pPr>
              <w:keepNext w:val="0"/>
              <w:keepLines w:val="0"/>
              <w:pageBreakBefore w:val="0"/>
              <w:wordWrap/>
              <w:overflowPunct/>
              <w:topLinePunct w:val="0"/>
              <w:bidi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2500</w:t>
            </w:r>
          </w:p>
        </w:tc>
        <w:tc>
          <w:tcPr>
            <w:tcW w:w="1401" w:type="dxa"/>
            <w:gridSpan w:val="2"/>
            <w:noWrap w:val="0"/>
            <w:vAlign w:val="center"/>
          </w:tcPr>
          <w:p w14:paraId="6EEEA7E7">
            <w:pPr>
              <w:keepNext w:val="0"/>
              <w:keepLines w:val="0"/>
              <w:pageBreakBefore w:val="0"/>
              <w:wordWrap/>
              <w:overflowPunct/>
              <w:topLinePunct w:val="0"/>
              <w:bidi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2486.14</w:t>
            </w:r>
          </w:p>
        </w:tc>
        <w:tc>
          <w:tcPr>
            <w:tcW w:w="732" w:type="dxa"/>
            <w:gridSpan w:val="2"/>
            <w:noWrap w:val="0"/>
            <w:vAlign w:val="center"/>
          </w:tcPr>
          <w:p w14:paraId="7B13F718">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5"/>
                <w:sz w:val="20"/>
                <w:szCs w:val="20"/>
              </w:rPr>
              <w:t>10</w:t>
            </w:r>
          </w:p>
        </w:tc>
        <w:tc>
          <w:tcPr>
            <w:tcW w:w="650" w:type="dxa"/>
            <w:gridSpan w:val="2"/>
            <w:noWrap w:val="0"/>
            <w:vAlign w:val="center"/>
          </w:tcPr>
          <w:p w14:paraId="7ED231A8">
            <w:pPr>
              <w:keepNext w:val="0"/>
              <w:keepLines w:val="0"/>
              <w:pageBreakBefore w:val="0"/>
              <w:wordWrap/>
              <w:overflowPunct/>
              <w:topLinePunct w:val="0"/>
              <w:bidi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99.45%</w:t>
            </w:r>
          </w:p>
        </w:tc>
        <w:tc>
          <w:tcPr>
            <w:tcW w:w="1068" w:type="dxa"/>
            <w:noWrap w:val="0"/>
            <w:vAlign w:val="center"/>
          </w:tcPr>
          <w:p w14:paraId="4294FCC2">
            <w:pPr>
              <w:keepNext w:val="0"/>
              <w:keepLines w:val="0"/>
              <w:pageBreakBefore w:val="0"/>
              <w:wordWrap/>
              <w:overflowPunct/>
              <w:topLinePunct w:val="0"/>
              <w:bidi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r>
      <w:tr w14:paraId="34436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1406" w:type="dxa"/>
            <w:gridSpan w:val="2"/>
            <w:vMerge w:val="continue"/>
            <w:noWrap w:val="0"/>
            <w:vAlign w:val="center"/>
          </w:tcPr>
          <w:p w14:paraId="675EF6A9">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1108" w:type="dxa"/>
            <w:gridSpan w:val="2"/>
            <w:noWrap w:val="0"/>
            <w:vAlign w:val="center"/>
          </w:tcPr>
          <w:p w14:paraId="51BCF1A6">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其中：当年财政拨款</w:t>
            </w:r>
          </w:p>
        </w:tc>
        <w:tc>
          <w:tcPr>
            <w:tcW w:w="1019" w:type="dxa"/>
            <w:noWrap w:val="0"/>
            <w:vAlign w:val="center"/>
          </w:tcPr>
          <w:p w14:paraId="3DBBC312">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2500</w:t>
            </w:r>
          </w:p>
        </w:tc>
        <w:tc>
          <w:tcPr>
            <w:tcW w:w="1095" w:type="dxa"/>
            <w:gridSpan w:val="2"/>
            <w:noWrap w:val="0"/>
            <w:vAlign w:val="center"/>
          </w:tcPr>
          <w:p w14:paraId="7C284C32">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2500</w:t>
            </w:r>
          </w:p>
        </w:tc>
        <w:tc>
          <w:tcPr>
            <w:tcW w:w="1401" w:type="dxa"/>
            <w:gridSpan w:val="2"/>
            <w:noWrap w:val="0"/>
            <w:vAlign w:val="center"/>
          </w:tcPr>
          <w:p w14:paraId="54B4F962">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2486.14</w:t>
            </w:r>
          </w:p>
        </w:tc>
        <w:tc>
          <w:tcPr>
            <w:tcW w:w="732" w:type="dxa"/>
            <w:gridSpan w:val="2"/>
            <w:noWrap w:val="0"/>
            <w:vAlign w:val="center"/>
          </w:tcPr>
          <w:p w14:paraId="45E5A2BC">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position w:val="-3"/>
                <w:sz w:val="20"/>
                <w:szCs w:val="20"/>
              </w:rPr>
              <w:t>—</w:t>
            </w:r>
          </w:p>
        </w:tc>
        <w:tc>
          <w:tcPr>
            <w:tcW w:w="650" w:type="dxa"/>
            <w:gridSpan w:val="2"/>
            <w:noWrap w:val="0"/>
            <w:vAlign w:val="center"/>
          </w:tcPr>
          <w:p w14:paraId="190F975B">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99.45%</w:t>
            </w:r>
          </w:p>
        </w:tc>
        <w:tc>
          <w:tcPr>
            <w:tcW w:w="1068" w:type="dxa"/>
            <w:noWrap w:val="0"/>
            <w:vAlign w:val="center"/>
          </w:tcPr>
          <w:p w14:paraId="01122751">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position w:val="-3"/>
                <w:sz w:val="20"/>
                <w:szCs w:val="20"/>
              </w:rPr>
              <w:t>—</w:t>
            </w:r>
          </w:p>
        </w:tc>
      </w:tr>
      <w:tr w14:paraId="3D832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1406" w:type="dxa"/>
            <w:gridSpan w:val="2"/>
            <w:vMerge w:val="continue"/>
            <w:noWrap w:val="0"/>
            <w:vAlign w:val="center"/>
          </w:tcPr>
          <w:p w14:paraId="0D464BA2">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1108" w:type="dxa"/>
            <w:gridSpan w:val="2"/>
            <w:noWrap w:val="0"/>
            <w:vAlign w:val="center"/>
          </w:tcPr>
          <w:p w14:paraId="511BAC80">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pacing w:val="-3"/>
                <w:sz w:val="20"/>
                <w:szCs w:val="20"/>
                <w:lang w:eastAsia="zh-CN"/>
              </w:rPr>
            </w:pPr>
            <w:r>
              <w:rPr>
                <w:rFonts w:hint="eastAsia" w:ascii="宋体" w:hAnsi="宋体" w:eastAsia="宋体" w:cs="宋体"/>
                <w:spacing w:val="-3"/>
                <w:sz w:val="20"/>
                <w:szCs w:val="20"/>
              </w:rPr>
              <w:t>上年结转</w:t>
            </w:r>
          </w:p>
          <w:p w14:paraId="22BCF903">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资</w:t>
            </w:r>
            <w:r>
              <w:rPr>
                <w:rFonts w:hint="eastAsia" w:ascii="宋体" w:hAnsi="宋体" w:eastAsia="宋体" w:cs="宋体"/>
                <w:spacing w:val="-3"/>
                <w:sz w:val="20"/>
                <w:szCs w:val="20"/>
                <w:lang w:eastAsia="zh-CN"/>
              </w:rPr>
              <w:t xml:space="preserve">  </w:t>
            </w:r>
            <w:r>
              <w:rPr>
                <w:rFonts w:hint="eastAsia" w:ascii="宋体" w:hAnsi="宋体" w:eastAsia="宋体" w:cs="宋体"/>
                <w:spacing w:val="-3"/>
                <w:sz w:val="20"/>
                <w:szCs w:val="20"/>
              </w:rPr>
              <w:t>金</w:t>
            </w:r>
          </w:p>
        </w:tc>
        <w:tc>
          <w:tcPr>
            <w:tcW w:w="1019" w:type="dxa"/>
            <w:noWrap w:val="0"/>
            <w:vAlign w:val="center"/>
          </w:tcPr>
          <w:p w14:paraId="66046530">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1095" w:type="dxa"/>
            <w:gridSpan w:val="2"/>
            <w:noWrap w:val="0"/>
            <w:vAlign w:val="center"/>
          </w:tcPr>
          <w:p w14:paraId="47B5C0E0">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1401" w:type="dxa"/>
            <w:gridSpan w:val="2"/>
            <w:noWrap w:val="0"/>
            <w:vAlign w:val="center"/>
          </w:tcPr>
          <w:p w14:paraId="44CA1462">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732" w:type="dxa"/>
            <w:gridSpan w:val="2"/>
            <w:noWrap w:val="0"/>
            <w:vAlign w:val="center"/>
          </w:tcPr>
          <w:p w14:paraId="2062F1BF">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position w:val="-3"/>
                <w:sz w:val="20"/>
                <w:szCs w:val="20"/>
              </w:rPr>
              <w:t>—</w:t>
            </w:r>
          </w:p>
        </w:tc>
        <w:tc>
          <w:tcPr>
            <w:tcW w:w="650" w:type="dxa"/>
            <w:gridSpan w:val="2"/>
            <w:noWrap w:val="0"/>
            <w:vAlign w:val="center"/>
          </w:tcPr>
          <w:p w14:paraId="7FD0FA07">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1068" w:type="dxa"/>
            <w:noWrap w:val="0"/>
            <w:vAlign w:val="center"/>
          </w:tcPr>
          <w:p w14:paraId="7F18CD0B">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position w:val="-3"/>
                <w:sz w:val="20"/>
                <w:szCs w:val="20"/>
              </w:rPr>
              <w:t>—</w:t>
            </w:r>
          </w:p>
        </w:tc>
      </w:tr>
      <w:tr w14:paraId="6B265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406" w:type="dxa"/>
            <w:gridSpan w:val="2"/>
            <w:vMerge w:val="continue"/>
            <w:noWrap w:val="0"/>
            <w:vAlign w:val="center"/>
          </w:tcPr>
          <w:p w14:paraId="3D6240E6">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1108" w:type="dxa"/>
            <w:gridSpan w:val="2"/>
            <w:noWrap w:val="0"/>
            <w:vAlign w:val="center"/>
          </w:tcPr>
          <w:p w14:paraId="10F49792">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其他资金</w:t>
            </w:r>
          </w:p>
        </w:tc>
        <w:tc>
          <w:tcPr>
            <w:tcW w:w="1019" w:type="dxa"/>
            <w:noWrap w:val="0"/>
            <w:vAlign w:val="center"/>
          </w:tcPr>
          <w:p w14:paraId="3935A7B8">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1095" w:type="dxa"/>
            <w:gridSpan w:val="2"/>
            <w:noWrap w:val="0"/>
            <w:vAlign w:val="center"/>
          </w:tcPr>
          <w:p w14:paraId="1A910741">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1401" w:type="dxa"/>
            <w:gridSpan w:val="2"/>
            <w:noWrap w:val="0"/>
            <w:vAlign w:val="center"/>
          </w:tcPr>
          <w:p w14:paraId="110A6308">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732" w:type="dxa"/>
            <w:gridSpan w:val="2"/>
            <w:noWrap w:val="0"/>
            <w:vAlign w:val="center"/>
          </w:tcPr>
          <w:p w14:paraId="06ACAC52">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position w:val="-3"/>
                <w:sz w:val="20"/>
                <w:szCs w:val="20"/>
              </w:rPr>
              <w:t>—</w:t>
            </w:r>
          </w:p>
        </w:tc>
        <w:tc>
          <w:tcPr>
            <w:tcW w:w="650" w:type="dxa"/>
            <w:gridSpan w:val="2"/>
            <w:noWrap w:val="0"/>
            <w:vAlign w:val="center"/>
          </w:tcPr>
          <w:p w14:paraId="53877F60">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1068" w:type="dxa"/>
            <w:noWrap w:val="0"/>
            <w:vAlign w:val="center"/>
          </w:tcPr>
          <w:p w14:paraId="07608371">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position w:val="-3"/>
                <w:sz w:val="20"/>
                <w:szCs w:val="20"/>
              </w:rPr>
              <w:t>—</w:t>
            </w:r>
          </w:p>
        </w:tc>
      </w:tr>
      <w:tr w14:paraId="4032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643" w:type="dxa"/>
            <w:vMerge w:val="restart"/>
            <w:noWrap w:val="0"/>
            <w:vAlign w:val="center"/>
          </w:tcPr>
          <w:p w14:paraId="4F9297BC">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3985" w:type="dxa"/>
            <w:gridSpan w:val="6"/>
            <w:noWrap w:val="0"/>
            <w:vAlign w:val="center"/>
          </w:tcPr>
          <w:p w14:paraId="388524FE">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预期目标</w:t>
            </w:r>
          </w:p>
        </w:tc>
        <w:tc>
          <w:tcPr>
            <w:tcW w:w="3851" w:type="dxa"/>
            <w:gridSpan w:val="7"/>
            <w:noWrap w:val="0"/>
            <w:vAlign w:val="center"/>
          </w:tcPr>
          <w:p w14:paraId="1FFA71A9">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实际完成情况</w:t>
            </w:r>
          </w:p>
        </w:tc>
      </w:tr>
      <w:tr w14:paraId="3C5EE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9" w:hRule="atLeast"/>
        </w:trPr>
        <w:tc>
          <w:tcPr>
            <w:tcW w:w="643" w:type="dxa"/>
            <w:vMerge w:val="continue"/>
            <w:noWrap w:val="0"/>
            <w:vAlign w:val="center"/>
          </w:tcPr>
          <w:p w14:paraId="3CC9B2A8">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3985" w:type="dxa"/>
            <w:gridSpan w:val="6"/>
            <w:noWrap w:val="0"/>
            <w:vAlign w:val="center"/>
          </w:tcPr>
          <w:p w14:paraId="28769A25">
            <w:pPr>
              <w:keepNext w:val="0"/>
              <w:keepLines w:val="0"/>
              <w:pageBreakBefore w:val="0"/>
              <w:wordWrap/>
              <w:overflowPunct/>
              <w:topLinePunct w:val="0"/>
              <w:bidi w:val="0"/>
              <w:spacing w:line="240" w:lineRule="exact"/>
              <w:ind w:firstLine="0" w:firstLineChars="0"/>
              <w:jc w:val="left"/>
              <w:textAlignment w:val="auto"/>
              <w:rPr>
                <w:rFonts w:hint="eastAsia" w:ascii="宋体" w:hAnsi="宋体" w:eastAsia="宋体" w:cs="宋体"/>
                <w:sz w:val="20"/>
                <w:szCs w:val="20"/>
              </w:rPr>
            </w:pPr>
            <w:r>
              <w:rPr>
                <w:rFonts w:hint="eastAsia" w:ascii="宋体" w:hAnsi="宋体" w:eastAsia="宋体" w:cs="宋体"/>
                <w:sz w:val="20"/>
                <w:szCs w:val="20"/>
              </w:rPr>
              <w:t>及时处置突发公共卫生事件，保障人民群众身体健康、生命安全，促进新区经济社区高质量发展。支付2022年疫情防控工作中产生的生活物资储备、防疫物资储备、酒店征用、交通运转、医废、甘肃方剂等费用。做好2023年常态化疫情防控工作，完善亚定点医院储备工作。</w:t>
            </w:r>
          </w:p>
        </w:tc>
        <w:tc>
          <w:tcPr>
            <w:tcW w:w="3851" w:type="dxa"/>
            <w:gridSpan w:val="7"/>
            <w:noWrap w:val="0"/>
            <w:vAlign w:val="center"/>
          </w:tcPr>
          <w:p w14:paraId="325CE3CE">
            <w:pPr>
              <w:keepNext w:val="0"/>
              <w:keepLines w:val="0"/>
              <w:pageBreakBefore w:val="0"/>
              <w:wordWrap/>
              <w:overflowPunct/>
              <w:topLinePunct w:val="0"/>
              <w:bidi w:val="0"/>
              <w:spacing w:line="240" w:lineRule="exact"/>
              <w:ind w:firstLine="0" w:firstLineChars="0"/>
              <w:jc w:val="left"/>
              <w:textAlignment w:val="auto"/>
              <w:rPr>
                <w:rFonts w:hint="eastAsia" w:ascii="宋体" w:hAnsi="宋体" w:eastAsia="宋体" w:cs="宋体"/>
                <w:sz w:val="20"/>
                <w:szCs w:val="20"/>
                <w:lang w:eastAsia="zh-CN"/>
              </w:rPr>
            </w:pPr>
            <w:r>
              <w:rPr>
                <w:rFonts w:hint="eastAsia" w:ascii="宋体" w:hAnsi="宋体" w:eastAsia="宋体" w:cs="宋体"/>
                <w:sz w:val="20"/>
                <w:szCs w:val="20"/>
              </w:rPr>
              <w:t>及时处置突发公共卫生事件，保障人民群众身体健康、生命安全，促进新区经济社区高质量发展。支付2022年疫情防控工作中产生的生活物资储备、防疫物资储备、酒店征用、交通运转、医废、甘肃方剂等费用。做好2023年常态化疫情防控工作，完善亚定点医院储备工作。</w:t>
            </w:r>
          </w:p>
        </w:tc>
      </w:tr>
      <w:tr w14:paraId="4CE46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643" w:type="dxa"/>
            <w:vMerge w:val="continue"/>
            <w:noWrap w:val="0"/>
            <w:vAlign w:val="center"/>
          </w:tcPr>
          <w:p w14:paraId="294455FB">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3985" w:type="dxa"/>
            <w:gridSpan w:val="6"/>
            <w:noWrap w:val="0"/>
            <w:vAlign w:val="center"/>
          </w:tcPr>
          <w:p w14:paraId="5CC5F314">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c>
          <w:tcPr>
            <w:tcW w:w="3851" w:type="dxa"/>
            <w:gridSpan w:val="7"/>
            <w:noWrap w:val="0"/>
            <w:vAlign w:val="center"/>
          </w:tcPr>
          <w:p w14:paraId="6B0A0749">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r>
      <w:tr w14:paraId="22F19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85" w:hRule="atLeast"/>
        </w:trPr>
        <w:tc>
          <w:tcPr>
            <w:tcW w:w="643" w:type="dxa"/>
            <w:vMerge w:val="restart"/>
            <w:noWrap w:val="0"/>
            <w:vAlign w:val="center"/>
          </w:tcPr>
          <w:p w14:paraId="294AE625">
            <w:pPr>
              <w:pageBreakBefore w:val="0"/>
              <w:wordWrap/>
              <w:overflowPunct/>
              <w:topLinePunct w:val="0"/>
              <w:bidi w:val="0"/>
              <w:spacing w:line="560" w:lineRule="exact"/>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763" w:type="dxa"/>
            <w:noWrap w:val="0"/>
            <w:vAlign w:val="center"/>
          </w:tcPr>
          <w:p w14:paraId="6232AC2F">
            <w:pPr>
              <w:pageBreakBefore w:val="0"/>
              <w:wordWrap/>
              <w:overflowPunct/>
              <w:topLinePunct w:val="0"/>
              <w:bidi w:val="0"/>
              <w:spacing w:line="560" w:lineRule="exact"/>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38E55B38">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4" w:type="dxa"/>
            <w:noWrap w:val="0"/>
            <w:vAlign w:val="center"/>
          </w:tcPr>
          <w:p w14:paraId="3CB39C38">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pacing w:val="-3"/>
                <w:sz w:val="20"/>
                <w:szCs w:val="20"/>
              </w:rPr>
            </w:pPr>
            <w:r>
              <w:rPr>
                <w:rFonts w:hint="eastAsia" w:ascii="宋体" w:hAnsi="宋体" w:eastAsia="宋体" w:cs="宋体"/>
                <w:spacing w:val="-3"/>
                <w:sz w:val="20"/>
                <w:szCs w:val="20"/>
              </w:rPr>
              <w:t>二级</w:t>
            </w:r>
          </w:p>
          <w:p w14:paraId="4545F83A">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指标</w:t>
            </w:r>
          </w:p>
        </w:tc>
        <w:tc>
          <w:tcPr>
            <w:tcW w:w="1478" w:type="dxa"/>
            <w:gridSpan w:val="3"/>
            <w:noWrap w:val="0"/>
            <w:vAlign w:val="center"/>
          </w:tcPr>
          <w:p w14:paraId="2338E1FE">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三级指标</w:t>
            </w:r>
          </w:p>
        </w:tc>
        <w:tc>
          <w:tcPr>
            <w:tcW w:w="900" w:type="dxa"/>
            <w:noWrap w:val="0"/>
            <w:vAlign w:val="center"/>
          </w:tcPr>
          <w:p w14:paraId="5B818764">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年度指标值</w:t>
            </w:r>
          </w:p>
        </w:tc>
        <w:tc>
          <w:tcPr>
            <w:tcW w:w="831" w:type="dxa"/>
            <w:noWrap w:val="0"/>
            <w:vAlign w:val="center"/>
          </w:tcPr>
          <w:p w14:paraId="1E536567">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实际完成值</w:t>
            </w:r>
          </w:p>
        </w:tc>
        <w:tc>
          <w:tcPr>
            <w:tcW w:w="642" w:type="dxa"/>
            <w:gridSpan w:val="2"/>
            <w:noWrap w:val="0"/>
            <w:vAlign w:val="center"/>
          </w:tcPr>
          <w:p w14:paraId="79E365FA">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分值</w:t>
            </w:r>
          </w:p>
        </w:tc>
        <w:tc>
          <w:tcPr>
            <w:tcW w:w="741" w:type="dxa"/>
            <w:gridSpan w:val="2"/>
            <w:noWrap w:val="0"/>
            <w:vAlign w:val="center"/>
          </w:tcPr>
          <w:p w14:paraId="0501C0A6">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得分</w:t>
            </w:r>
          </w:p>
        </w:tc>
        <w:tc>
          <w:tcPr>
            <w:tcW w:w="1637" w:type="dxa"/>
            <w:gridSpan w:val="2"/>
            <w:noWrap w:val="0"/>
            <w:vAlign w:val="center"/>
          </w:tcPr>
          <w:p w14:paraId="48B7E154">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2"/>
                <w:sz w:val="20"/>
                <w:szCs w:val="20"/>
              </w:rPr>
              <w:t>偏差原因分析及改进措施</w:t>
            </w:r>
          </w:p>
        </w:tc>
      </w:tr>
      <w:tr w14:paraId="2AD9B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trPr>
        <w:tc>
          <w:tcPr>
            <w:tcW w:w="643" w:type="dxa"/>
            <w:vMerge w:val="continue"/>
            <w:noWrap w:val="0"/>
            <w:vAlign w:val="center"/>
          </w:tcPr>
          <w:p w14:paraId="0158DCBD">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restart"/>
            <w:noWrap w:val="0"/>
            <w:vAlign w:val="center"/>
          </w:tcPr>
          <w:p w14:paraId="16EEBF76">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1FB5CB65">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844" w:type="dxa"/>
            <w:vMerge w:val="restart"/>
            <w:noWrap w:val="0"/>
            <w:vAlign w:val="center"/>
          </w:tcPr>
          <w:p w14:paraId="525303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lang w:eastAsia="zh-CN"/>
              </w:rPr>
            </w:pPr>
            <w:r>
              <w:rPr>
                <w:rFonts w:hint="eastAsia" w:ascii="宋体" w:hAnsi="宋体" w:eastAsia="宋体" w:cs="宋体"/>
                <w:i w:val="0"/>
                <w:snapToGrid w:val="0"/>
                <w:color w:val="000000"/>
                <w:kern w:val="0"/>
                <w:sz w:val="20"/>
                <w:szCs w:val="20"/>
                <w:u w:val="none"/>
                <w:lang w:val="en-US" w:eastAsia="zh-CN" w:bidi="ar"/>
              </w:rPr>
              <w:t>数量指标</w:t>
            </w:r>
          </w:p>
        </w:tc>
        <w:tc>
          <w:tcPr>
            <w:tcW w:w="1478" w:type="dxa"/>
            <w:gridSpan w:val="3"/>
            <w:noWrap w:val="0"/>
            <w:vAlign w:val="center"/>
          </w:tcPr>
          <w:p w14:paraId="12F6D0D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亚定点医院储备</w:t>
            </w:r>
          </w:p>
        </w:tc>
        <w:tc>
          <w:tcPr>
            <w:tcW w:w="900" w:type="dxa"/>
            <w:noWrap w:val="0"/>
            <w:vAlign w:val="center"/>
          </w:tcPr>
          <w:p w14:paraId="0B41D07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1个以上</w:t>
            </w:r>
          </w:p>
        </w:tc>
        <w:tc>
          <w:tcPr>
            <w:tcW w:w="831" w:type="dxa"/>
            <w:noWrap w:val="0"/>
            <w:vAlign w:val="center"/>
          </w:tcPr>
          <w:p w14:paraId="23A37DD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1个</w:t>
            </w:r>
          </w:p>
        </w:tc>
        <w:tc>
          <w:tcPr>
            <w:tcW w:w="642" w:type="dxa"/>
            <w:gridSpan w:val="2"/>
            <w:noWrap w:val="0"/>
            <w:vAlign w:val="center"/>
          </w:tcPr>
          <w:p w14:paraId="6529B6A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3D2C538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1D084C7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603BA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643" w:type="dxa"/>
            <w:vMerge w:val="continue"/>
            <w:noWrap w:val="0"/>
            <w:vAlign w:val="center"/>
          </w:tcPr>
          <w:p w14:paraId="0C2C0598">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69B36F9D">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continue"/>
            <w:noWrap w:val="0"/>
            <w:vAlign w:val="center"/>
          </w:tcPr>
          <w:p w14:paraId="6F21A4D8">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auto"/>
              <w:rPr>
                <w:rFonts w:hint="eastAsia" w:ascii="宋体" w:hAnsi="宋体" w:eastAsia="宋体" w:cs="宋体"/>
                <w:sz w:val="20"/>
                <w:szCs w:val="20"/>
              </w:rPr>
            </w:pPr>
          </w:p>
        </w:tc>
        <w:tc>
          <w:tcPr>
            <w:tcW w:w="1478" w:type="dxa"/>
            <w:gridSpan w:val="3"/>
            <w:noWrap w:val="0"/>
            <w:vAlign w:val="center"/>
          </w:tcPr>
          <w:p w14:paraId="1D9BB2B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信息采集系统建设</w:t>
            </w:r>
          </w:p>
        </w:tc>
        <w:tc>
          <w:tcPr>
            <w:tcW w:w="900" w:type="dxa"/>
            <w:noWrap w:val="0"/>
            <w:vAlign w:val="center"/>
          </w:tcPr>
          <w:p w14:paraId="540732B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1个</w:t>
            </w:r>
          </w:p>
        </w:tc>
        <w:tc>
          <w:tcPr>
            <w:tcW w:w="831" w:type="dxa"/>
            <w:noWrap w:val="0"/>
            <w:vAlign w:val="center"/>
          </w:tcPr>
          <w:p w14:paraId="10BBC1B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lang w:eastAsia="zh-CN"/>
              </w:rPr>
            </w:pPr>
            <w:r>
              <w:rPr>
                <w:rFonts w:hint="eastAsia" w:ascii="宋体" w:hAnsi="宋体" w:eastAsia="宋体" w:cs="宋体"/>
                <w:i w:val="0"/>
                <w:snapToGrid w:val="0"/>
                <w:color w:val="000000"/>
                <w:kern w:val="0"/>
                <w:sz w:val="20"/>
                <w:szCs w:val="20"/>
                <w:u w:val="none"/>
                <w:lang w:val="en-US" w:eastAsia="zh-CN" w:bidi="ar"/>
              </w:rPr>
              <w:t>1个</w:t>
            </w:r>
          </w:p>
        </w:tc>
        <w:tc>
          <w:tcPr>
            <w:tcW w:w="642" w:type="dxa"/>
            <w:gridSpan w:val="2"/>
            <w:noWrap w:val="0"/>
            <w:vAlign w:val="center"/>
          </w:tcPr>
          <w:p w14:paraId="4162FB0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741" w:type="dxa"/>
            <w:gridSpan w:val="2"/>
            <w:noWrap w:val="0"/>
            <w:vAlign w:val="center"/>
          </w:tcPr>
          <w:p w14:paraId="043A849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7</w:t>
            </w:r>
          </w:p>
        </w:tc>
        <w:tc>
          <w:tcPr>
            <w:tcW w:w="1637" w:type="dxa"/>
            <w:gridSpan w:val="2"/>
            <w:noWrap w:val="0"/>
            <w:vAlign w:val="center"/>
          </w:tcPr>
          <w:p w14:paraId="2D57032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2465C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643" w:type="dxa"/>
            <w:vMerge w:val="continue"/>
            <w:noWrap w:val="0"/>
            <w:vAlign w:val="center"/>
          </w:tcPr>
          <w:p w14:paraId="3D310CD4">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3A8053CA">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continue"/>
            <w:noWrap w:val="0"/>
            <w:vAlign w:val="center"/>
          </w:tcPr>
          <w:p w14:paraId="3E3FB938">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auto"/>
              <w:rPr>
                <w:rFonts w:hint="eastAsia" w:ascii="宋体" w:hAnsi="宋体" w:eastAsia="宋体" w:cs="宋体"/>
                <w:sz w:val="20"/>
                <w:szCs w:val="20"/>
              </w:rPr>
            </w:pPr>
          </w:p>
        </w:tc>
        <w:tc>
          <w:tcPr>
            <w:tcW w:w="1478" w:type="dxa"/>
            <w:gridSpan w:val="3"/>
            <w:noWrap w:val="0"/>
            <w:vAlign w:val="center"/>
          </w:tcPr>
          <w:p w14:paraId="1558815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新冠疫苗接种</w:t>
            </w:r>
          </w:p>
        </w:tc>
        <w:tc>
          <w:tcPr>
            <w:tcW w:w="900" w:type="dxa"/>
            <w:noWrap w:val="0"/>
            <w:vAlign w:val="center"/>
          </w:tcPr>
          <w:p w14:paraId="74FD5E7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全员</w:t>
            </w:r>
          </w:p>
        </w:tc>
        <w:tc>
          <w:tcPr>
            <w:tcW w:w="831" w:type="dxa"/>
            <w:noWrap w:val="0"/>
            <w:vAlign w:val="center"/>
          </w:tcPr>
          <w:p w14:paraId="1CEDB7C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全员</w:t>
            </w:r>
          </w:p>
        </w:tc>
        <w:tc>
          <w:tcPr>
            <w:tcW w:w="642" w:type="dxa"/>
            <w:gridSpan w:val="2"/>
            <w:noWrap w:val="0"/>
            <w:vAlign w:val="center"/>
          </w:tcPr>
          <w:p w14:paraId="612B6EE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1FCAD75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2C3CE2C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648CB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643" w:type="dxa"/>
            <w:vMerge w:val="continue"/>
            <w:noWrap w:val="0"/>
            <w:vAlign w:val="center"/>
          </w:tcPr>
          <w:p w14:paraId="2B1D7A3A">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02C60AA6">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restart"/>
            <w:noWrap w:val="0"/>
            <w:vAlign w:val="center"/>
          </w:tcPr>
          <w:p w14:paraId="1F69AAF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质量指标</w:t>
            </w:r>
          </w:p>
        </w:tc>
        <w:tc>
          <w:tcPr>
            <w:tcW w:w="1478" w:type="dxa"/>
            <w:gridSpan w:val="3"/>
            <w:noWrap w:val="0"/>
            <w:vAlign w:val="center"/>
          </w:tcPr>
          <w:p w14:paraId="44D367F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亚定点医院储备</w:t>
            </w:r>
          </w:p>
        </w:tc>
        <w:tc>
          <w:tcPr>
            <w:tcW w:w="900" w:type="dxa"/>
            <w:noWrap w:val="0"/>
            <w:vAlign w:val="center"/>
          </w:tcPr>
          <w:p w14:paraId="0D3AF15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达标</w:t>
            </w:r>
          </w:p>
        </w:tc>
        <w:tc>
          <w:tcPr>
            <w:tcW w:w="831" w:type="dxa"/>
            <w:noWrap w:val="0"/>
            <w:vAlign w:val="center"/>
          </w:tcPr>
          <w:p w14:paraId="72AADAD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达标</w:t>
            </w:r>
          </w:p>
        </w:tc>
        <w:tc>
          <w:tcPr>
            <w:tcW w:w="642" w:type="dxa"/>
            <w:gridSpan w:val="2"/>
            <w:noWrap w:val="0"/>
            <w:vAlign w:val="center"/>
          </w:tcPr>
          <w:p w14:paraId="5B177DA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387B41D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4C3D1CF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0AF4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643" w:type="dxa"/>
            <w:vMerge w:val="continue"/>
            <w:noWrap w:val="0"/>
            <w:vAlign w:val="center"/>
          </w:tcPr>
          <w:p w14:paraId="2AEAA5BE">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77C5FC0B">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continue"/>
            <w:noWrap w:val="0"/>
            <w:vAlign w:val="center"/>
          </w:tcPr>
          <w:p w14:paraId="182AB587">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auto"/>
              <w:rPr>
                <w:rFonts w:hint="eastAsia" w:ascii="宋体" w:hAnsi="宋体" w:eastAsia="宋体" w:cs="宋体"/>
                <w:sz w:val="20"/>
                <w:szCs w:val="20"/>
              </w:rPr>
            </w:pPr>
          </w:p>
        </w:tc>
        <w:tc>
          <w:tcPr>
            <w:tcW w:w="1478" w:type="dxa"/>
            <w:gridSpan w:val="3"/>
            <w:noWrap w:val="0"/>
            <w:vAlign w:val="center"/>
          </w:tcPr>
          <w:p w14:paraId="1E483B3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信息采集系统建设</w:t>
            </w:r>
          </w:p>
        </w:tc>
        <w:tc>
          <w:tcPr>
            <w:tcW w:w="900" w:type="dxa"/>
            <w:noWrap w:val="0"/>
            <w:vAlign w:val="center"/>
          </w:tcPr>
          <w:p w14:paraId="2E9EC91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达标</w:t>
            </w:r>
          </w:p>
        </w:tc>
        <w:tc>
          <w:tcPr>
            <w:tcW w:w="831" w:type="dxa"/>
            <w:noWrap w:val="0"/>
            <w:vAlign w:val="center"/>
          </w:tcPr>
          <w:p w14:paraId="3860084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达标</w:t>
            </w:r>
          </w:p>
        </w:tc>
        <w:tc>
          <w:tcPr>
            <w:tcW w:w="642" w:type="dxa"/>
            <w:gridSpan w:val="2"/>
            <w:noWrap w:val="0"/>
            <w:vAlign w:val="center"/>
          </w:tcPr>
          <w:p w14:paraId="0B278AE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741" w:type="dxa"/>
            <w:gridSpan w:val="2"/>
            <w:noWrap w:val="0"/>
            <w:vAlign w:val="center"/>
          </w:tcPr>
          <w:p w14:paraId="283E0C7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7</w:t>
            </w:r>
          </w:p>
        </w:tc>
        <w:tc>
          <w:tcPr>
            <w:tcW w:w="1637" w:type="dxa"/>
            <w:gridSpan w:val="2"/>
            <w:noWrap w:val="0"/>
            <w:vAlign w:val="center"/>
          </w:tcPr>
          <w:p w14:paraId="75EC7CC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1FE11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643" w:type="dxa"/>
            <w:vMerge w:val="continue"/>
            <w:noWrap w:val="0"/>
            <w:vAlign w:val="center"/>
          </w:tcPr>
          <w:p w14:paraId="739EA4B9">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61B1EBEE">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continue"/>
            <w:noWrap w:val="0"/>
            <w:vAlign w:val="center"/>
          </w:tcPr>
          <w:p w14:paraId="108BF902">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auto"/>
              <w:rPr>
                <w:rFonts w:hint="eastAsia" w:ascii="宋体" w:hAnsi="宋体" w:eastAsia="宋体" w:cs="宋体"/>
                <w:sz w:val="20"/>
                <w:szCs w:val="20"/>
              </w:rPr>
            </w:pPr>
          </w:p>
        </w:tc>
        <w:tc>
          <w:tcPr>
            <w:tcW w:w="1478" w:type="dxa"/>
            <w:gridSpan w:val="3"/>
            <w:noWrap w:val="0"/>
            <w:vAlign w:val="center"/>
          </w:tcPr>
          <w:p w14:paraId="5CA1753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新冠疫苗接种</w:t>
            </w:r>
          </w:p>
        </w:tc>
        <w:tc>
          <w:tcPr>
            <w:tcW w:w="900" w:type="dxa"/>
            <w:noWrap w:val="0"/>
            <w:vAlign w:val="center"/>
          </w:tcPr>
          <w:p w14:paraId="342822C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规范</w:t>
            </w:r>
          </w:p>
        </w:tc>
        <w:tc>
          <w:tcPr>
            <w:tcW w:w="831" w:type="dxa"/>
            <w:noWrap w:val="0"/>
            <w:vAlign w:val="center"/>
          </w:tcPr>
          <w:p w14:paraId="03A1CF1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规范</w:t>
            </w:r>
          </w:p>
        </w:tc>
        <w:tc>
          <w:tcPr>
            <w:tcW w:w="642" w:type="dxa"/>
            <w:gridSpan w:val="2"/>
            <w:noWrap w:val="0"/>
            <w:vAlign w:val="center"/>
          </w:tcPr>
          <w:p w14:paraId="4DC0C4A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121F494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080D57D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7EE3E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643" w:type="dxa"/>
            <w:vMerge w:val="continue"/>
            <w:noWrap w:val="0"/>
            <w:vAlign w:val="center"/>
          </w:tcPr>
          <w:p w14:paraId="41935DB2">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2D44FDE7">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restart"/>
            <w:noWrap w:val="0"/>
            <w:vAlign w:val="center"/>
          </w:tcPr>
          <w:p w14:paraId="6180596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时效指标</w:t>
            </w:r>
          </w:p>
        </w:tc>
        <w:tc>
          <w:tcPr>
            <w:tcW w:w="1478" w:type="dxa"/>
            <w:gridSpan w:val="3"/>
            <w:noWrap w:val="0"/>
            <w:vAlign w:val="center"/>
          </w:tcPr>
          <w:p w14:paraId="05378D7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亚定点医院储备及时性</w:t>
            </w:r>
          </w:p>
        </w:tc>
        <w:tc>
          <w:tcPr>
            <w:tcW w:w="900" w:type="dxa"/>
            <w:noWrap w:val="0"/>
            <w:vAlign w:val="center"/>
          </w:tcPr>
          <w:p w14:paraId="148D67E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831" w:type="dxa"/>
            <w:noWrap w:val="0"/>
            <w:vAlign w:val="center"/>
          </w:tcPr>
          <w:p w14:paraId="1F6808D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642" w:type="dxa"/>
            <w:gridSpan w:val="2"/>
            <w:noWrap w:val="0"/>
            <w:vAlign w:val="center"/>
          </w:tcPr>
          <w:p w14:paraId="68E331C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1E4B945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134DEB6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7F9E6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643" w:type="dxa"/>
            <w:vMerge w:val="continue"/>
            <w:noWrap w:val="0"/>
            <w:vAlign w:val="center"/>
          </w:tcPr>
          <w:p w14:paraId="2F1F6707">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0DE7C6F1">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continue"/>
            <w:noWrap w:val="0"/>
            <w:vAlign w:val="center"/>
          </w:tcPr>
          <w:p w14:paraId="171DEBFA">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auto"/>
              <w:rPr>
                <w:rFonts w:hint="eastAsia" w:ascii="宋体" w:hAnsi="宋体" w:eastAsia="宋体" w:cs="宋体"/>
                <w:sz w:val="20"/>
                <w:szCs w:val="20"/>
              </w:rPr>
            </w:pPr>
          </w:p>
        </w:tc>
        <w:tc>
          <w:tcPr>
            <w:tcW w:w="1478" w:type="dxa"/>
            <w:gridSpan w:val="3"/>
            <w:noWrap w:val="0"/>
            <w:vAlign w:val="center"/>
          </w:tcPr>
          <w:p w14:paraId="466F8DC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信息采集系统建设及时性</w:t>
            </w:r>
          </w:p>
        </w:tc>
        <w:tc>
          <w:tcPr>
            <w:tcW w:w="900" w:type="dxa"/>
            <w:noWrap w:val="0"/>
            <w:vAlign w:val="center"/>
          </w:tcPr>
          <w:p w14:paraId="11C3C6A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831" w:type="dxa"/>
            <w:noWrap w:val="0"/>
            <w:vAlign w:val="center"/>
          </w:tcPr>
          <w:p w14:paraId="13CDEC3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642" w:type="dxa"/>
            <w:gridSpan w:val="2"/>
            <w:noWrap w:val="0"/>
            <w:vAlign w:val="center"/>
          </w:tcPr>
          <w:p w14:paraId="429C2D5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741" w:type="dxa"/>
            <w:gridSpan w:val="2"/>
            <w:noWrap w:val="0"/>
            <w:vAlign w:val="center"/>
          </w:tcPr>
          <w:p w14:paraId="3269E60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7</w:t>
            </w:r>
          </w:p>
        </w:tc>
        <w:tc>
          <w:tcPr>
            <w:tcW w:w="1637" w:type="dxa"/>
            <w:gridSpan w:val="2"/>
            <w:noWrap w:val="0"/>
            <w:vAlign w:val="center"/>
          </w:tcPr>
          <w:p w14:paraId="5B738E3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7623B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643" w:type="dxa"/>
            <w:vMerge w:val="continue"/>
            <w:noWrap w:val="0"/>
            <w:vAlign w:val="center"/>
          </w:tcPr>
          <w:p w14:paraId="7CC4940B">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5A3D218D">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continue"/>
            <w:noWrap w:val="0"/>
            <w:vAlign w:val="center"/>
          </w:tcPr>
          <w:p w14:paraId="76A56748">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auto"/>
              <w:rPr>
                <w:rFonts w:hint="eastAsia" w:ascii="宋体" w:hAnsi="宋体" w:eastAsia="宋体" w:cs="宋体"/>
                <w:sz w:val="20"/>
                <w:szCs w:val="20"/>
              </w:rPr>
            </w:pPr>
          </w:p>
        </w:tc>
        <w:tc>
          <w:tcPr>
            <w:tcW w:w="1478" w:type="dxa"/>
            <w:gridSpan w:val="3"/>
            <w:noWrap w:val="0"/>
            <w:vAlign w:val="center"/>
          </w:tcPr>
          <w:p w14:paraId="597BB36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新冠疫苗接种及时性</w:t>
            </w:r>
          </w:p>
        </w:tc>
        <w:tc>
          <w:tcPr>
            <w:tcW w:w="900" w:type="dxa"/>
            <w:noWrap w:val="0"/>
            <w:vAlign w:val="center"/>
          </w:tcPr>
          <w:p w14:paraId="2E6A49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831" w:type="dxa"/>
            <w:noWrap w:val="0"/>
            <w:vAlign w:val="center"/>
          </w:tcPr>
          <w:p w14:paraId="003DD27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642" w:type="dxa"/>
            <w:gridSpan w:val="2"/>
            <w:noWrap w:val="0"/>
            <w:vAlign w:val="center"/>
          </w:tcPr>
          <w:p w14:paraId="064FC3F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2C4EC83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5FE7A9D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193D4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643" w:type="dxa"/>
            <w:vMerge w:val="continue"/>
            <w:noWrap w:val="0"/>
            <w:vAlign w:val="center"/>
          </w:tcPr>
          <w:p w14:paraId="72CF0B98">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restart"/>
            <w:noWrap w:val="0"/>
            <w:vAlign w:val="center"/>
          </w:tcPr>
          <w:p w14:paraId="002336AE">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效益指标</w:t>
            </w:r>
          </w:p>
        </w:tc>
        <w:tc>
          <w:tcPr>
            <w:tcW w:w="844" w:type="dxa"/>
            <w:vMerge w:val="restart"/>
            <w:noWrap w:val="0"/>
            <w:vAlign w:val="center"/>
          </w:tcPr>
          <w:p w14:paraId="4844F05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社会效益</w:t>
            </w:r>
          </w:p>
        </w:tc>
        <w:tc>
          <w:tcPr>
            <w:tcW w:w="1478" w:type="dxa"/>
            <w:gridSpan w:val="3"/>
            <w:noWrap w:val="0"/>
            <w:vAlign w:val="center"/>
          </w:tcPr>
          <w:p w14:paraId="030CE24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提高辖区居民对传染病的认识</w:t>
            </w:r>
          </w:p>
        </w:tc>
        <w:tc>
          <w:tcPr>
            <w:tcW w:w="900" w:type="dxa"/>
            <w:noWrap w:val="0"/>
            <w:vAlign w:val="center"/>
          </w:tcPr>
          <w:p w14:paraId="0B9F96E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提高</w:t>
            </w:r>
          </w:p>
        </w:tc>
        <w:tc>
          <w:tcPr>
            <w:tcW w:w="831" w:type="dxa"/>
            <w:noWrap w:val="0"/>
            <w:vAlign w:val="center"/>
          </w:tcPr>
          <w:p w14:paraId="24D237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提高</w:t>
            </w:r>
          </w:p>
        </w:tc>
        <w:tc>
          <w:tcPr>
            <w:tcW w:w="642" w:type="dxa"/>
            <w:gridSpan w:val="2"/>
            <w:noWrap w:val="0"/>
            <w:vAlign w:val="center"/>
          </w:tcPr>
          <w:p w14:paraId="0ADF7ED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4905F63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6DB5666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05824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643" w:type="dxa"/>
            <w:vMerge w:val="continue"/>
            <w:noWrap w:val="0"/>
            <w:vAlign w:val="center"/>
          </w:tcPr>
          <w:p w14:paraId="35E5CDDB">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644C0F13">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vMerge w:val="continue"/>
            <w:noWrap w:val="0"/>
            <w:vAlign w:val="center"/>
          </w:tcPr>
          <w:p w14:paraId="70271B5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auto"/>
              <w:rPr>
                <w:rFonts w:hint="eastAsia" w:ascii="宋体" w:hAnsi="宋体" w:eastAsia="宋体" w:cs="宋体"/>
                <w:sz w:val="20"/>
                <w:szCs w:val="20"/>
              </w:rPr>
            </w:pPr>
          </w:p>
        </w:tc>
        <w:tc>
          <w:tcPr>
            <w:tcW w:w="1478" w:type="dxa"/>
            <w:gridSpan w:val="3"/>
            <w:noWrap w:val="0"/>
            <w:vAlign w:val="center"/>
          </w:tcPr>
          <w:p w14:paraId="4F1FF27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提升各类传染病科学防控能力</w:t>
            </w:r>
          </w:p>
        </w:tc>
        <w:tc>
          <w:tcPr>
            <w:tcW w:w="900" w:type="dxa"/>
            <w:noWrap w:val="0"/>
            <w:vAlign w:val="center"/>
          </w:tcPr>
          <w:p w14:paraId="222451A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提升</w:t>
            </w:r>
          </w:p>
        </w:tc>
        <w:tc>
          <w:tcPr>
            <w:tcW w:w="831" w:type="dxa"/>
            <w:noWrap w:val="0"/>
            <w:vAlign w:val="center"/>
          </w:tcPr>
          <w:p w14:paraId="464C0A7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提升</w:t>
            </w:r>
          </w:p>
        </w:tc>
        <w:tc>
          <w:tcPr>
            <w:tcW w:w="642" w:type="dxa"/>
            <w:gridSpan w:val="2"/>
            <w:noWrap w:val="0"/>
            <w:vAlign w:val="center"/>
          </w:tcPr>
          <w:p w14:paraId="2ECD681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6D5C351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0C36C98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4831B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3" w:hRule="atLeast"/>
        </w:trPr>
        <w:tc>
          <w:tcPr>
            <w:tcW w:w="643" w:type="dxa"/>
            <w:vMerge w:val="continue"/>
            <w:noWrap w:val="0"/>
            <w:vAlign w:val="center"/>
          </w:tcPr>
          <w:p w14:paraId="4E75C4B2">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vMerge w:val="continue"/>
            <w:noWrap w:val="0"/>
            <w:vAlign w:val="center"/>
          </w:tcPr>
          <w:p w14:paraId="71B9A742">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rPr>
            </w:pPr>
          </w:p>
        </w:tc>
        <w:tc>
          <w:tcPr>
            <w:tcW w:w="844" w:type="dxa"/>
            <w:noWrap w:val="0"/>
            <w:vAlign w:val="center"/>
          </w:tcPr>
          <w:p w14:paraId="4C0822C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可持续影响指标</w:t>
            </w:r>
          </w:p>
        </w:tc>
        <w:tc>
          <w:tcPr>
            <w:tcW w:w="1478" w:type="dxa"/>
            <w:gridSpan w:val="3"/>
            <w:noWrap w:val="0"/>
            <w:vAlign w:val="center"/>
          </w:tcPr>
          <w:p w14:paraId="423602D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pacing w:val="-5"/>
                <w:sz w:val="20"/>
                <w:szCs w:val="20"/>
              </w:rPr>
            </w:pPr>
            <w:r>
              <w:rPr>
                <w:rFonts w:hint="eastAsia" w:ascii="宋体" w:hAnsi="宋体" w:eastAsia="宋体" w:cs="宋体"/>
                <w:i w:val="0"/>
                <w:snapToGrid w:val="0"/>
                <w:color w:val="000000"/>
                <w:kern w:val="0"/>
                <w:sz w:val="20"/>
                <w:szCs w:val="20"/>
                <w:u w:val="none"/>
                <w:lang w:val="en-US" w:eastAsia="zh-CN" w:bidi="ar"/>
              </w:rPr>
              <w:t>人民群众身体健康、生命安全得到保障</w:t>
            </w:r>
          </w:p>
        </w:tc>
        <w:tc>
          <w:tcPr>
            <w:tcW w:w="900" w:type="dxa"/>
            <w:noWrap w:val="0"/>
            <w:vAlign w:val="center"/>
          </w:tcPr>
          <w:p w14:paraId="5A25AE2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ascii="宋体" w:hAnsi="宋体" w:eastAsia="宋体" w:cs="宋体"/>
                <w:i w:val="0"/>
                <w:snapToGrid w:val="0"/>
                <w:color w:val="000000"/>
                <w:kern w:val="0"/>
                <w:sz w:val="20"/>
                <w:szCs w:val="20"/>
                <w:u w:val="none"/>
                <w:lang w:val="en-US" w:eastAsia="zh-CN" w:bidi="ar"/>
              </w:rPr>
              <w:t>保障人民群众身体健康、生命安全</w:t>
            </w:r>
          </w:p>
        </w:tc>
        <w:tc>
          <w:tcPr>
            <w:tcW w:w="831" w:type="dxa"/>
            <w:noWrap w:val="0"/>
            <w:vAlign w:val="center"/>
          </w:tcPr>
          <w:p w14:paraId="457D3FA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ascii="宋体" w:hAnsi="宋体" w:eastAsia="宋体" w:cs="宋体"/>
                <w:i w:val="0"/>
                <w:snapToGrid w:val="0"/>
                <w:color w:val="000000"/>
                <w:kern w:val="0"/>
                <w:sz w:val="20"/>
                <w:szCs w:val="20"/>
                <w:u w:val="none"/>
                <w:lang w:val="en-US" w:eastAsia="zh-CN" w:bidi="ar"/>
              </w:rPr>
              <w:t>保障人民群众身体健康、生命安全</w:t>
            </w:r>
          </w:p>
        </w:tc>
        <w:tc>
          <w:tcPr>
            <w:tcW w:w="642" w:type="dxa"/>
            <w:gridSpan w:val="2"/>
            <w:noWrap w:val="0"/>
            <w:vAlign w:val="center"/>
          </w:tcPr>
          <w:p w14:paraId="489B0CB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41" w:type="dxa"/>
            <w:gridSpan w:val="2"/>
            <w:noWrap w:val="0"/>
            <w:vAlign w:val="center"/>
          </w:tcPr>
          <w:p w14:paraId="0AB38A4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37" w:type="dxa"/>
            <w:gridSpan w:val="2"/>
            <w:noWrap w:val="0"/>
            <w:vAlign w:val="center"/>
          </w:tcPr>
          <w:p w14:paraId="17E0B09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5330D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643" w:type="dxa"/>
            <w:vMerge w:val="continue"/>
            <w:noWrap w:val="0"/>
            <w:textDirection w:val="tbRlV"/>
            <w:vAlign w:val="center"/>
          </w:tcPr>
          <w:p w14:paraId="0DFBF265">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763" w:type="dxa"/>
            <w:noWrap w:val="0"/>
            <w:vAlign w:val="center"/>
          </w:tcPr>
          <w:p w14:paraId="775AA9FF">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满意度</w:t>
            </w:r>
          </w:p>
        </w:tc>
        <w:tc>
          <w:tcPr>
            <w:tcW w:w="844" w:type="dxa"/>
            <w:noWrap w:val="0"/>
            <w:vAlign w:val="center"/>
          </w:tcPr>
          <w:p w14:paraId="634D181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服务对象</w:t>
            </w:r>
            <w:r>
              <w:rPr>
                <w:rFonts w:hint="eastAsia" w:ascii="宋体" w:hAnsi="宋体" w:eastAsia="宋体" w:cs="宋体"/>
                <w:i w:val="0"/>
                <w:snapToGrid w:val="0"/>
                <w:color w:val="000000"/>
                <w:kern w:val="0"/>
                <w:sz w:val="20"/>
                <w:szCs w:val="20"/>
                <w:u w:val="none"/>
                <w:lang w:val="en-US" w:eastAsia="zh-CN" w:bidi="ar"/>
              </w:rPr>
              <w:br w:type="textWrapping"/>
            </w:r>
            <w:r>
              <w:rPr>
                <w:rFonts w:hint="eastAsia" w:ascii="宋体" w:hAnsi="宋体" w:eastAsia="宋体" w:cs="宋体"/>
                <w:i w:val="0"/>
                <w:snapToGrid w:val="0"/>
                <w:color w:val="000000"/>
                <w:kern w:val="0"/>
                <w:sz w:val="20"/>
                <w:szCs w:val="20"/>
                <w:u w:val="none"/>
                <w:lang w:val="en-US" w:eastAsia="zh-CN" w:bidi="ar"/>
              </w:rPr>
              <w:t>满意度</w:t>
            </w:r>
          </w:p>
        </w:tc>
        <w:tc>
          <w:tcPr>
            <w:tcW w:w="1478" w:type="dxa"/>
            <w:gridSpan w:val="3"/>
            <w:noWrap w:val="0"/>
            <w:vAlign w:val="center"/>
          </w:tcPr>
          <w:p w14:paraId="1198D9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群众满意度</w:t>
            </w:r>
          </w:p>
        </w:tc>
        <w:tc>
          <w:tcPr>
            <w:tcW w:w="900" w:type="dxa"/>
            <w:noWrap w:val="0"/>
            <w:vAlign w:val="center"/>
          </w:tcPr>
          <w:p w14:paraId="77FB3D7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满意</w:t>
            </w:r>
          </w:p>
        </w:tc>
        <w:tc>
          <w:tcPr>
            <w:tcW w:w="831" w:type="dxa"/>
            <w:noWrap w:val="0"/>
            <w:vAlign w:val="center"/>
          </w:tcPr>
          <w:p w14:paraId="41D66C5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auto"/>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满意</w:t>
            </w:r>
          </w:p>
        </w:tc>
        <w:tc>
          <w:tcPr>
            <w:tcW w:w="642" w:type="dxa"/>
            <w:gridSpan w:val="2"/>
            <w:noWrap w:val="0"/>
            <w:vAlign w:val="center"/>
          </w:tcPr>
          <w:p w14:paraId="3FDB950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741" w:type="dxa"/>
            <w:gridSpan w:val="2"/>
            <w:noWrap w:val="0"/>
            <w:vAlign w:val="center"/>
          </w:tcPr>
          <w:p w14:paraId="00F28F2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z w:val="20"/>
                <w:szCs w:val="20"/>
                <w:lang w:val="en-US" w:eastAsia="zh-CN"/>
              </w:rPr>
              <w:t>7</w:t>
            </w:r>
          </w:p>
        </w:tc>
        <w:tc>
          <w:tcPr>
            <w:tcW w:w="1637" w:type="dxa"/>
            <w:gridSpan w:val="2"/>
            <w:noWrap w:val="0"/>
            <w:vAlign w:val="center"/>
          </w:tcPr>
          <w:p w14:paraId="537A2E7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textAlignment w:val="auto"/>
              <w:rPr>
                <w:rFonts w:hint="eastAsia" w:ascii="宋体" w:hAnsi="宋体" w:eastAsia="宋体" w:cs="宋体"/>
                <w:sz w:val="20"/>
                <w:szCs w:val="20"/>
              </w:rPr>
            </w:pPr>
          </w:p>
        </w:tc>
      </w:tr>
      <w:tr w14:paraId="6DC2C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5459" w:type="dxa"/>
            <w:gridSpan w:val="8"/>
            <w:noWrap w:val="0"/>
            <w:vAlign w:val="center"/>
          </w:tcPr>
          <w:p w14:paraId="17943C8A">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3"/>
                <w:sz w:val="20"/>
                <w:szCs w:val="20"/>
              </w:rPr>
              <w:t>总分</w:t>
            </w:r>
          </w:p>
        </w:tc>
        <w:tc>
          <w:tcPr>
            <w:tcW w:w="642" w:type="dxa"/>
            <w:gridSpan w:val="2"/>
            <w:noWrap w:val="0"/>
            <w:vAlign w:val="center"/>
          </w:tcPr>
          <w:p w14:paraId="39A75406">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r>
              <w:rPr>
                <w:rFonts w:hint="eastAsia" w:ascii="宋体" w:hAnsi="宋体" w:eastAsia="宋体" w:cs="宋体"/>
                <w:spacing w:val="-5"/>
                <w:sz w:val="20"/>
                <w:szCs w:val="20"/>
              </w:rPr>
              <w:t>100</w:t>
            </w:r>
          </w:p>
        </w:tc>
        <w:tc>
          <w:tcPr>
            <w:tcW w:w="741" w:type="dxa"/>
            <w:gridSpan w:val="2"/>
            <w:noWrap w:val="0"/>
            <w:vAlign w:val="center"/>
          </w:tcPr>
          <w:p w14:paraId="273250F0">
            <w:pPr>
              <w:keepNext w:val="0"/>
              <w:keepLines w:val="0"/>
              <w:pageBreakBefore w:val="0"/>
              <w:wordWrap/>
              <w:overflowPunct/>
              <w:topLinePunct w:val="0"/>
              <w:bidi w:val="0"/>
              <w:spacing w:line="240" w:lineRule="exact"/>
              <w:ind w:firstLine="0" w:firstLineChars="0"/>
              <w:jc w:val="center"/>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100</w:t>
            </w:r>
          </w:p>
        </w:tc>
        <w:tc>
          <w:tcPr>
            <w:tcW w:w="1637" w:type="dxa"/>
            <w:gridSpan w:val="2"/>
            <w:noWrap w:val="0"/>
            <w:vAlign w:val="center"/>
          </w:tcPr>
          <w:p w14:paraId="45817F06">
            <w:pPr>
              <w:keepNext w:val="0"/>
              <w:keepLines w:val="0"/>
              <w:pageBreakBefore w:val="0"/>
              <w:wordWrap/>
              <w:overflowPunct/>
              <w:topLinePunct w:val="0"/>
              <w:bidi w:val="0"/>
              <w:spacing w:line="240" w:lineRule="exact"/>
              <w:ind w:firstLine="0" w:firstLineChars="0"/>
              <w:jc w:val="center"/>
              <w:textAlignment w:val="auto"/>
              <w:rPr>
                <w:rFonts w:hint="eastAsia" w:ascii="宋体" w:hAnsi="宋体" w:eastAsia="宋体" w:cs="宋体"/>
                <w:sz w:val="20"/>
                <w:szCs w:val="20"/>
              </w:rPr>
            </w:pPr>
          </w:p>
        </w:tc>
      </w:tr>
      <w:tr w14:paraId="108D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trPr>
        <w:tc>
          <w:tcPr>
            <w:tcW w:w="643" w:type="dxa"/>
            <w:noWrap w:val="0"/>
            <w:vAlign w:val="center"/>
          </w:tcPr>
          <w:p w14:paraId="4EC50FD6">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836" w:type="dxa"/>
            <w:gridSpan w:val="13"/>
            <w:noWrap w:val="0"/>
            <w:vAlign w:val="center"/>
          </w:tcPr>
          <w:p w14:paraId="351B1083">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请在此处简要说明</w:t>
            </w:r>
            <w:r>
              <w:rPr>
                <w:rFonts w:hint="eastAsia" w:ascii="宋体" w:hAnsi="宋体" w:eastAsia="宋体" w:cs="宋体"/>
                <w:spacing w:val="-2"/>
                <w:sz w:val="22"/>
                <w:szCs w:val="22"/>
                <w:lang w:eastAsia="zh-CN"/>
              </w:rPr>
              <w:t>巡视巡查</w:t>
            </w:r>
            <w:r>
              <w:rPr>
                <w:rFonts w:hint="eastAsia" w:ascii="宋体" w:hAnsi="宋体" w:eastAsia="宋体" w:cs="宋体"/>
                <w:spacing w:val="-2"/>
                <w:sz w:val="22"/>
                <w:szCs w:val="22"/>
              </w:rPr>
              <w:t>、审计和财政监督中发现的问题及其所涉及的金额，如没有填无。</w:t>
            </w:r>
          </w:p>
        </w:tc>
      </w:tr>
    </w:tbl>
    <w:p w14:paraId="28CE1148">
      <w:pPr>
        <w:pageBreakBefore w:val="0"/>
        <w:wordWrap/>
        <w:overflowPunct/>
        <w:topLinePunct w:val="0"/>
        <w:bidi w:val="0"/>
        <w:spacing w:line="560" w:lineRule="exact"/>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41E927F5">
      <w:pPr>
        <w:pageBreakBefore w:val="0"/>
        <w:wordWrap/>
        <w:overflowPunct/>
        <w:topLinePunct w:val="0"/>
        <w:bidi w:val="0"/>
        <w:spacing w:line="560" w:lineRule="exact"/>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61721D99">
      <w:pPr>
        <w:pageBreakBefore w:val="0"/>
        <w:wordWrap/>
        <w:overflowPunct/>
        <w:topLinePunct w:val="0"/>
        <w:bidi w:val="0"/>
        <w:spacing w:line="560" w:lineRule="exact"/>
        <w:ind w:firstLine="432"/>
        <w:rPr>
          <w:rFonts w:hint="eastAsia" w:ascii="宋体" w:hAnsi="宋体" w:eastAsia="宋体" w:cs="宋体"/>
          <w:b/>
          <w:bCs/>
          <w:lang w:val="en-US" w:eastAsia="zh-CN"/>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6005C8D2">
      <w:pPr>
        <w:pageBreakBefore w:val="0"/>
        <w:wordWrap/>
        <w:overflowPunct/>
        <w:topLinePunct w:val="0"/>
        <w:bidi w:val="0"/>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附件20</w:t>
      </w:r>
    </w:p>
    <w:p w14:paraId="06440D4B">
      <w:pPr>
        <w:pageBreakBefore w:val="0"/>
        <w:wordWrap/>
        <w:overflowPunct/>
        <w:topLinePunct w:val="0"/>
        <w:bidi w:val="0"/>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66385C29">
      <w:pPr>
        <w:pageBreakBefore w:val="0"/>
        <w:wordWrap/>
        <w:overflowPunct/>
        <w:topLinePunct w:val="0"/>
        <w:bidi w:val="0"/>
        <w:spacing w:line="560" w:lineRule="exact"/>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33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3"/>
        <w:gridCol w:w="750"/>
        <w:gridCol w:w="830"/>
        <w:gridCol w:w="260"/>
        <w:gridCol w:w="1002"/>
        <w:gridCol w:w="192"/>
        <w:gridCol w:w="885"/>
        <w:gridCol w:w="817"/>
        <w:gridCol w:w="561"/>
        <w:gridCol w:w="70"/>
        <w:gridCol w:w="650"/>
        <w:gridCol w:w="78"/>
        <w:gridCol w:w="561"/>
        <w:gridCol w:w="1050"/>
      </w:tblGrid>
      <w:tr w14:paraId="6BEBE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1383" w:type="dxa"/>
            <w:gridSpan w:val="2"/>
            <w:noWrap w:val="0"/>
            <w:vAlign w:val="center"/>
          </w:tcPr>
          <w:p w14:paraId="1A6C7D79">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项目名称</w:t>
            </w:r>
          </w:p>
        </w:tc>
        <w:tc>
          <w:tcPr>
            <w:tcW w:w="6956" w:type="dxa"/>
            <w:gridSpan w:val="12"/>
            <w:noWrap w:val="0"/>
            <w:vAlign w:val="center"/>
          </w:tcPr>
          <w:p w14:paraId="70C661F7">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lang w:eastAsia="zh-CN"/>
              </w:rPr>
            </w:pPr>
            <w:r>
              <w:rPr>
                <w:rFonts w:hint="eastAsia" w:ascii="宋体" w:hAnsi="宋体" w:eastAsia="宋体" w:cs="宋体"/>
                <w:sz w:val="20"/>
                <w:szCs w:val="20"/>
              </w:rPr>
              <w:t>医疗卫生项目前期费尾款</w:t>
            </w:r>
          </w:p>
        </w:tc>
      </w:tr>
      <w:tr w14:paraId="60584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1383" w:type="dxa"/>
            <w:gridSpan w:val="2"/>
            <w:noWrap w:val="0"/>
            <w:vAlign w:val="center"/>
          </w:tcPr>
          <w:p w14:paraId="410B3C1B">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主管部门</w:t>
            </w:r>
          </w:p>
        </w:tc>
        <w:tc>
          <w:tcPr>
            <w:tcW w:w="3169" w:type="dxa"/>
            <w:gridSpan w:val="5"/>
            <w:noWrap w:val="0"/>
            <w:vAlign w:val="center"/>
          </w:tcPr>
          <w:p w14:paraId="088686CE">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兰州新区卫生健康委</w:t>
            </w:r>
          </w:p>
        </w:tc>
        <w:tc>
          <w:tcPr>
            <w:tcW w:w="1378" w:type="dxa"/>
            <w:gridSpan w:val="2"/>
            <w:noWrap w:val="0"/>
            <w:vAlign w:val="center"/>
          </w:tcPr>
          <w:p w14:paraId="5EA7D4E8">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实施单位</w:t>
            </w:r>
          </w:p>
        </w:tc>
        <w:tc>
          <w:tcPr>
            <w:tcW w:w="2409" w:type="dxa"/>
            <w:gridSpan w:val="5"/>
            <w:noWrap w:val="0"/>
            <w:vAlign w:val="center"/>
          </w:tcPr>
          <w:p w14:paraId="7E345813">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项目代建单位</w:t>
            </w:r>
          </w:p>
        </w:tc>
      </w:tr>
      <w:tr w14:paraId="3202A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1383" w:type="dxa"/>
            <w:gridSpan w:val="2"/>
            <w:vMerge w:val="restart"/>
            <w:noWrap w:val="0"/>
            <w:vAlign w:val="center"/>
          </w:tcPr>
          <w:p w14:paraId="2AA37444">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项目资金（万元）</w:t>
            </w:r>
          </w:p>
        </w:tc>
        <w:tc>
          <w:tcPr>
            <w:tcW w:w="1090" w:type="dxa"/>
            <w:gridSpan w:val="2"/>
            <w:noWrap w:val="0"/>
            <w:vAlign w:val="center"/>
          </w:tcPr>
          <w:p w14:paraId="385A9C69">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02" w:type="dxa"/>
            <w:noWrap w:val="0"/>
            <w:vAlign w:val="center"/>
          </w:tcPr>
          <w:p w14:paraId="4EAB244B">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年初预算数</w:t>
            </w:r>
          </w:p>
        </w:tc>
        <w:tc>
          <w:tcPr>
            <w:tcW w:w="1077" w:type="dxa"/>
            <w:gridSpan w:val="2"/>
            <w:noWrap w:val="0"/>
            <w:vAlign w:val="center"/>
          </w:tcPr>
          <w:p w14:paraId="3BA0C862">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全年预算数</w:t>
            </w:r>
          </w:p>
        </w:tc>
        <w:tc>
          <w:tcPr>
            <w:tcW w:w="1378" w:type="dxa"/>
            <w:gridSpan w:val="2"/>
            <w:noWrap w:val="0"/>
            <w:vAlign w:val="center"/>
          </w:tcPr>
          <w:p w14:paraId="63CD1CB0">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全年执行数</w:t>
            </w:r>
          </w:p>
        </w:tc>
        <w:tc>
          <w:tcPr>
            <w:tcW w:w="720" w:type="dxa"/>
            <w:gridSpan w:val="2"/>
            <w:noWrap w:val="0"/>
            <w:vAlign w:val="center"/>
          </w:tcPr>
          <w:p w14:paraId="14230905">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分值</w:t>
            </w:r>
          </w:p>
        </w:tc>
        <w:tc>
          <w:tcPr>
            <w:tcW w:w="639" w:type="dxa"/>
            <w:gridSpan w:val="2"/>
            <w:noWrap w:val="0"/>
            <w:vAlign w:val="center"/>
          </w:tcPr>
          <w:p w14:paraId="6B9C5BE5">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执行率</w:t>
            </w:r>
          </w:p>
        </w:tc>
        <w:tc>
          <w:tcPr>
            <w:tcW w:w="1050" w:type="dxa"/>
            <w:noWrap w:val="0"/>
            <w:vAlign w:val="center"/>
          </w:tcPr>
          <w:p w14:paraId="7C2937EF">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得分</w:t>
            </w:r>
          </w:p>
        </w:tc>
      </w:tr>
      <w:tr w14:paraId="0ECBA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trPr>
        <w:tc>
          <w:tcPr>
            <w:tcW w:w="1383" w:type="dxa"/>
            <w:gridSpan w:val="2"/>
            <w:vMerge w:val="continue"/>
            <w:noWrap w:val="0"/>
            <w:vAlign w:val="center"/>
          </w:tcPr>
          <w:p w14:paraId="4306FBB9">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90" w:type="dxa"/>
            <w:gridSpan w:val="2"/>
            <w:noWrap w:val="0"/>
            <w:vAlign w:val="center"/>
          </w:tcPr>
          <w:p w14:paraId="7E5523CC">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pacing w:val="-3"/>
                <w:sz w:val="20"/>
                <w:szCs w:val="20"/>
                <w:lang w:eastAsia="zh-CN"/>
              </w:rPr>
            </w:pPr>
            <w:r>
              <w:rPr>
                <w:rFonts w:hint="eastAsia" w:ascii="宋体" w:hAnsi="宋体" w:eastAsia="宋体" w:cs="宋体"/>
                <w:spacing w:val="-3"/>
                <w:sz w:val="20"/>
                <w:szCs w:val="20"/>
              </w:rPr>
              <w:t>年度资金</w:t>
            </w:r>
          </w:p>
          <w:p w14:paraId="544F769F">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总</w:t>
            </w:r>
            <w:r>
              <w:rPr>
                <w:rFonts w:hint="eastAsia" w:ascii="宋体" w:hAnsi="宋体" w:eastAsia="宋体" w:cs="宋体"/>
                <w:spacing w:val="-3"/>
                <w:sz w:val="20"/>
                <w:szCs w:val="20"/>
                <w:lang w:eastAsia="zh-CN"/>
              </w:rPr>
              <w:t xml:space="preserve">  </w:t>
            </w:r>
            <w:r>
              <w:rPr>
                <w:rFonts w:hint="eastAsia" w:ascii="宋体" w:hAnsi="宋体" w:eastAsia="宋体" w:cs="宋体"/>
                <w:spacing w:val="-3"/>
                <w:sz w:val="20"/>
                <w:szCs w:val="20"/>
              </w:rPr>
              <w:t>额</w:t>
            </w:r>
          </w:p>
        </w:tc>
        <w:tc>
          <w:tcPr>
            <w:tcW w:w="1002" w:type="dxa"/>
            <w:noWrap w:val="0"/>
            <w:vAlign w:val="center"/>
          </w:tcPr>
          <w:p w14:paraId="401FA762">
            <w:pPr>
              <w:keepNext w:val="0"/>
              <w:keepLines w:val="0"/>
              <w:pageBreakBefore w:val="0"/>
              <w:widowControl/>
              <w:kinsoku/>
              <w:wordWrap/>
              <w:overflowPunct/>
              <w:topLinePunct w:val="0"/>
              <w:autoSpaceDE w:val="0"/>
              <w:autoSpaceDN w:val="0"/>
              <w:bidi w:val="0"/>
              <w:adjustRightInd/>
              <w:snapToGrid/>
              <w:spacing w:line="240" w:lineRule="exact"/>
              <w:ind w:left="0" w:leftChars="0" w:right="0" w:rightChars="0" w:firstLine="0" w:firstLineChars="0"/>
              <w:jc w:val="center"/>
              <w:textAlignment w:val="baseline"/>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100</w:t>
            </w:r>
          </w:p>
        </w:tc>
        <w:tc>
          <w:tcPr>
            <w:tcW w:w="1077" w:type="dxa"/>
            <w:gridSpan w:val="2"/>
            <w:noWrap w:val="0"/>
            <w:vAlign w:val="center"/>
          </w:tcPr>
          <w:p w14:paraId="7C49B9F0">
            <w:pPr>
              <w:keepNext w:val="0"/>
              <w:keepLines w:val="0"/>
              <w:pageBreakBefore w:val="0"/>
              <w:widowControl/>
              <w:kinsoku/>
              <w:wordWrap/>
              <w:overflowPunct/>
              <w:topLinePunct w:val="0"/>
              <w:autoSpaceDE w:val="0"/>
              <w:autoSpaceDN w:val="0"/>
              <w:bidi w:val="0"/>
              <w:adjustRightInd/>
              <w:snapToGrid/>
              <w:spacing w:line="240" w:lineRule="exact"/>
              <w:ind w:left="0" w:leftChars="0" w:right="0" w:rightChars="0" w:firstLine="0" w:firstLineChars="0"/>
              <w:jc w:val="center"/>
              <w:textAlignment w:val="baseline"/>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100</w:t>
            </w:r>
          </w:p>
        </w:tc>
        <w:tc>
          <w:tcPr>
            <w:tcW w:w="1378" w:type="dxa"/>
            <w:gridSpan w:val="2"/>
            <w:noWrap w:val="0"/>
            <w:vAlign w:val="center"/>
          </w:tcPr>
          <w:p w14:paraId="08885E7F">
            <w:pPr>
              <w:keepNext w:val="0"/>
              <w:keepLines w:val="0"/>
              <w:pageBreakBefore w:val="0"/>
              <w:widowControl/>
              <w:kinsoku/>
              <w:wordWrap/>
              <w:overflowPunct/>
              <w:topLinePunct w:val="0"/>
              <w:autoSpaceDE w:val="0"/>
              <w:autoSpaceDN w:val="0"/>
              <w:bidi w:val="0"/>
              <w:adjustRightInd/>
              <w:snapToGrid/>
              <w:spacing w:line="240" w:lineRule="exact"/>
              <w:ind w:left="0" w:leftChars="0" w:right="0" w:rightChars="0" w:firstLine="0" w:firstLineChars="0"/>
              <w:jc w:val="center"/>
              <w:textAlignment w:val="baseline"/>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88.4</w:t>
            </w:r>
          </w:p>
        </w:tc>
        <w:tc>
          <w:tcPr>
            <w:tcW w:w="720" w:type="dxa"/>
            <w:gridSpan w:val="2"/>
            <w:noWrap w:val="0"/>
            <w:vAlign w:val="center"/>
          </w:tcPr>
          <w:p w14:paraId="40724377">
            <w:pPr>
              <w:keepNext w:val="0"/>
              <w:keepLines w:val="0"/>
              <w:pageBreakBefore w:val="0"/>
              <w:widowControl/>
              <w:wordWrap/>
              <w:overflowPunct/>
              <w:topLinePunct w:val="0"/>
              <w:autoSpaceDE w:val="0"/>
              <w:autoSpaceDN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639" w:type="dxa"/>
            <w:gridSpan w:val="2"/>
            <w:noWrap w:val="0"/>
            <w:vAlign w:val="center"/>
          </w:tcPr>
          <w:p w14:paraId="67C5485E">
            <w:pPr>
              <w:keepNext w:val="0"/>
              <w:keepLines w:val="0"/>
              <w:pageBreakBefore w:val="0"/>
              <w:widowControl/>
              <w:wordWrap/>
              <w:overflowPunct/>
              <w:topLinePunct w:val="0"/>
              <w:autoSpaceDE w:val="0"/>
              <w:autoSpaceDN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88.4%</w:t>
            </w:r>
          </w:p>
        </w:tc>
        <w:tc>
          <w:tcPr>
            <w:tcW w:w="1050" w:type="dxa"/>
            <w:noWrap w:val="0"/>
            <w:vAlign w:val="center"/>
          </w:tcPr>
          <w:p w14:paraId="20CE94BA">
            <w:pPr>
              <w:keepNext w:val="0"/>
              <w:keepLines w:val="0"/>
              <w:pageBreakBefore w:val="0"/>
              <w:widowControl/>
              <w:wordWrap/>
              <w:overflowPunct/>
              <w:topLinePunct w:val="0"/>
              <w:autoSpaceDE w:val="0"/>
              <w:autoSpaceDN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8.84</w:t>
            </w:r>
          </w:p>
        </w:tc>
      </w:tr>
      <w:tr w14:paraId="6B682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9" w:hRule="atLeast"/>
        </w:trPr>
        <w:tc>
          <w:tcPr>
            <w:tcW w:w="1383" w:type="dxa"/>
            <w:gridSpan w:val="2"/>
            <w:vMerge w:val="continue"/>
            <w:noWrap w:val="0"/>
            <w:vAlign w:val="center"/>
          </w:tcPr>
          <w:p w14:paraId="1A49BECC">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90" w:type="dxa"/>
            <w:gridSpan w:val="2"/>
            <w:noWrap w:val="0"/>
            <w:vAlign w:val="center"/>
          </w:tcPr>
          <w:p w14:paraId="2EF0D31E">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其中：当年财政拨款</w:t>
            </w:r>
          </w:p>
        </w:tc>
        <w:tc>
          <w:tcPr>
            <w:tcW w:w="1002" w:type="dxa"/>
            <w:noWrap w:val="0"/>
            <w:vAlign w:val="center"/>
          </w:tcPr>
          <w:p w14:paraId="52A0611E">
            <w:pPr>
              <w:keepNext w:val="0"/>
              <w:keepLines w:val="0"/>
              <w:pageBreakBefore w:val="0"/>
              <w:widowControl/>
              <w:kinsoku/>
              <w:wordWrap/>
              <w:overflowPunct/>
              <w:topLinePunct w:val="0"/>
              <w:autoSpaceDE w:val="0"/>
              <w:autoSpaceDN w:val="0"/>
              <w:bidi w:val="0"/>
              <w:adjustRightInd/>
              <w:snapToGrid/>
              <w:spacing w:line="240" w:lineRule="exact"/>
              <w:ind w:left="0" w:leftChars="0" w:right="0" w:rightChars="0" w:firstLine="0" w:firstLineChars="0"/>
              <w:jc w:val="center"/>
              <w:textAlignment w:val="baseline"/>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100</w:t>
            </w:r>
          </w:p>
        </w:tc>
        <w:tc>
          <w:tcPr>
            <w:tcW w:w="1077" w:type="dxa"/>
            <w:gridSpan w:val="2"/>
            <w:noWrap w:val="0"/>
            <w:vAlign w:val="center"/>
          </w:tcPr>
          <w:p w14:paraId="65A9F356">
            <w:pPr>
              <w:keepNext w:val="0"/>
              <w:keepLines w:val="0"/>
              <w:pageBreakBefore w:val="0"/>
              <w:widowControl/>
              <w:kinsoku/>
              <w:wordWrap/>
              <w:overflowPunct/>
              <w:topLinePunct w:val="0"/>
              <w:autoSpaceDE w:val="0"/>
              <w:autoSpaceDN w:val="0"/>
              <w:bidi w:val="0"/>
              <w:adjustRightInd/>
              <w:snapToGrid/>
              <w:spacing w:line="240" w:lineRule="exact"/>
              <w:ind w:left="0" w:leftChars="0" w:right="0" w:rightChars="0" w:firstLine="0" w:firstLineChars="0"/>
              <w:jc w:val="center"/>
              <w:textAlignment w:val="baseline"/>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100</w:t>
            </w:r>
          </w:p>
        </w:tc>
        <w:tc>
          <w:tcPr>
            <w:tcW w:w="1378" w:type="dxa"/>
            <w:gridSpan w:val="2"/>
            <w:noWrap w:val="0"/>
            <w:vAlign w:val="center"/>
          </w:tcPr>
          <w:p w14:paraId="7B1C5F18">
            <w:pPr>
              <w:keepNext w:val="0"/>
              <w:keepLines w:val="0"/>
              <w:pageBreakBefore w:val="0"/>
              <w:widowControl/>
              <w:kinsoku/>
              <w:wordWrap/>
              <w:overflowPunct/>
              <w:topLinePunct w:val="0"/>
              <w:autoSpaceDE w:val="0"/>
              <w:autoSpaceDN w:val="0"/>
              <w:bidi w:val="0"/>
              <w:adjustRightInd/>
              <w:snapToGrid/>
              <w:spacing w:line="240" w:lineRule="exact"/>
              <w:ind w:left="0" w:leftChars="0" w:right="0" w:rightChars="0" w:firstLine="0" w:firstLineChars="0"/>
              <w:jc w:val="center"/>
              <w:textAlignment w:val="baseline"/>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88.4</w:t>
            </w:r>
          </w:p>
        </w:tc>
        <w:tc>
          <w:tcPr>
            <w:tcW w:w="720" w:type="dxa"/>
            <w:gridSpan w:val="2"/>
            <w:noWrap w:val="0"/>
            <w:vAlign w:val="center"/>
          </w:tcPr>
          <w:p w14:paraId="4DE49415">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c>
          <w:tcPr>
            <w:tcW w:w="639" w:type="dxa"/>
            <w:gridSpan w:val="2"/>
            <w:noWrap w:val="0"/>
            <w:vAlign w:val="center"/>
          </w:tcPr>
          <w:p w14:paraId="3043A9F0">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color w:val="FF0000"/>
                <w:sz w:val="20"/>
                <w:szCs w:val="20"/>
              </w:rPr>
            </w:pPr>
            <w:r>
              <w:rPr>
                <w:rFonts w:hint="eastAsia" w:ascii="宋体" w:hAnsi="宋体" w:eastAsia="宋体" w:cs="宋体"/>
                <w:sz w:val="20"/>
                <w:szCs w:val="20"/>
                <w:lang w:val="en-US" w:eastAsia="zh-CN"/>
              </w:rPr>
              <w:t>88.4%</w:t>
            </w:r>
          </w:p>
        </w:tc>
        <w:tc>
          <w:tcPr>
            <w:tcW w:w="1050" w:type="dxa"/>
            <w:noWrap w:val="0"/>
            <w:vAlign w:val="center"/>
          </w:tcPr>
          <w:p w14:paraId="2ECE28E6">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r>
      <w:tr w14:paraId="61C6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rPr>
        <w:tc>
          <w:tcPr>
            <w:tcW w:w="1383" w:type="dxa"/>
            <w:gridSpan w:val="2"/>
            <w:vMerge w:val="continue"/>
            <w:noWrap w:val="0"/>
            <w:vAlign w:val="center"/>
          </w:tcPr>
          <w:p w14:paraId="5D3B7216">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90" w:type="dxa"/>
            <w:gridSpan w:val="2"/>
            <w:noWrap w:val="0"/>
            <w:vAlign w:val="center"/>
          </w:tcPr>
          <w:p w14:paraId="19C2C999">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pacing w:val="-3"/>
                <w:sz w:val="20"/>
                <w:szCs w:val="20"/>
                <w:lang w:eastAsia="zh-CN"/>
              </w:rPr>
            </w:pPr>
            <w:r>
              <w:rPr>
                <w:rFonts w:hint="eastAsia" w:ascii="宋体" w:hAnsi="宋体" w:eastAsia="宋体" w:cs="宋体"/>
                <w:spacing w:val="-3"/>
                <w:sz w:val="20"/>
                <w:szCs w:val="20"/>
              </w:rPr>
              <w:t>上年结转</w:t>
            </w:r>
          </w:p>
          <w:p w14:paraId="5F0E06FA">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资</w:t>
            </w:r>
            <w:r>
              <w:rPr>
                <w:rFonts w:hint="eastAsia" w:ascii="宋体" w:hAnsi="宋体" w:eastAsia="宋体" w:cs="宋体"/>
                <w:spacing w:val="-3"/>
                <w:sz w:val="20"/>
                <w:szCs w:val="20"/>
                <w:lang w:eastAsia="zh-CN"/>
              </w:rPr>
              <w:t xml:space="preserve">  </w:t>
            </w:r>
            <w:r>
              <w:rPr>
                <w:rFonts w:hint="eastAsia" w:ascii="宋体" w:hAnsi="宋体" w:eastAsia="宋体" w:cs="宋体"/>
                <w:spacing w:val="-3"/>
                <w:sz w:val="20"/>
                <w:szCs w:val="20"/>
              </w:rPr>
              <w:t>金</w:t>
            </w:r>
          </w:p>
        </w:tc>
        <w:tc>
          <w:tcPr>
            <w:tcW w:w="1002" w:type="dxa"/>
            <w:noWrap w:val="0"/>
            <w:vAlign w:val="center"/>
          </w:tcPr>
          <w:p w14:paraId="6647FCE5">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77" w:type="dxa"/>
            <w:gridSpan w:val="2"/>
            <w:noWrap w:val="0"/>
            <w:vAlign w:val="center"/>
          </w:tcPr>
          <w:p w14:paraId="0BFE6C48">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378" w:type="dxa"/>
            <w:gridSpan w:val="2"/>
            <w:noWrap w:val="0"/>
            <w:vAlign w:val="center"/>
          </w:tcPr>
          <w:p w14:paraId="36C4F686">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720" w:type="dxa"/>
            <w:gridSpan w:val="2"/>
            <w:noWrap w:val="0"/>
            <w:vAlign w:val="center"/>
          </w:tcPr>
          <w:p w14:paraId="3DC20519">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c>
          <w:tcPr>
            <w:tcW w:w="639" w:type="dxa"/>
            <w:gridSpan w:val="2"/>
            <w:noWrap w:val="0"/>
            <w:vAlign w:val="center"/>
          </w:tcPr>
          <w:p w14:paraId="6458BAF3">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50" w:type="dxa"/>
            <w:noWrap w:val="0"/>
            <w:vAlign w:val="center"/>
          </w:tcPr>
          <w:p w14:paraId="5FBD6AF0">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r>
      <w:tr w14:paraId="7344B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1383" w:type="dxa"/>
            <w:gridSpan w:val="2"/>
            <w:vMerge w:val="continue"/>
            <w:noWrap w:val="0"/>
            <w:vAlign w:val="center"/>
          </w:tcPr>
          <w:p w14:paraId="5DC50C39">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90" w:type="dxa"/>
            <w:gridSpan w:val="2"/>
            <w:noWrap w:val="0"/>
            <w:vAlign w:val="center"/>
          </w:tcPr>
          <w:p w14:paraId="5186FD26">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其他资金</w:t>
            </w:r>
          </w:p>
        </w:tc>
        <w:tc>
          <w:tcPr>
            <w:tcW w:w="1002" w:type="dxa"/>
            <w:noWrap w:val="0"/>
            <w:vAlign w:val="center"/>
          </w:tcPr>
          <w:p w14:paraId="55432D5D">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77" w:type="dxa"/>
            <w:gridSpan w:val="2"/>
            <w:noWrap w:val="0"/>
            <w:vAlign w:val="center"/>
          </w:tcPr>
          <w:p w14:paraId="402CE153">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378" w:type="dxa"/>
            <w:gridSpan w:val="2"/>
            <w:noWrap w:val="0"/>
            <w:vAlign w:val="center"/>
          </w:tcPr>
          <w:p w14:paraId="09C8239E">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720" w:type="dxa"/>
            <w:gridSpan w:val="2"/>
            <w:noWrap w:val="0"/>
            <w:vAlign w:val="center"/>
          </w:tcPr>
          <w:p w14:paraId="518DD904">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c>
          <w:tcPr>
            <w:tcW w:w="639" w:type="dxa"/>
            <w:gridSpan w:val="2"/>
            <w:noWrap w:val="0"/>
            <w:vAlign w:val="center"/>
          </w:tcPr>
          <w:p w14:paraId="3A9EFC68">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1050" w:type="dxa"/>
            <w:noWrap w:val="0"/>
            <w:vAlign w:val="center"/>
          </w:tcPr>
          <w:p w14:paraId="72107DF5">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r>
      <w:tr w14:paraId="4FB6D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33" w:type="dxa"/>
            <w:vMerge w:val="restart"/>
            <w:noWrap w:val="0"/>
            <w:vAlign w:val="center"/>
          </w:tcPr>
          <w:p w14:paraId="438ABCB9">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5"/>
                <w:sz w:val="20"/>
                <w:szCs w:val="20"/>
              </w:rPr>
              <w:t>年度</w:t>
            </w:r>
            <w:r>
              <w:rPr>
                <w:rFonts w:hint="eastAsia" w:ascii="宋体" w:hAnsi="宋体" w:eastAsia="宋体" w:cs="宋体"/>
                <w:spacing w:val="4"/>
                <w:sz w:val="20"/>
                <w:szCs w:val="20"/>
              </w:rPr>
              <w:t>总体目标</w:t>
            </w:r>
          </w:p>
        </w:tc>
        <w:tc>
          <w:tcPr>
            <w:tcW w:w="3919" w:type="dxa"/>
            <w:gridSpan w:val="6"/>
            <w:noWrap w:val="0"/>
            <w:vAlign w:val="center"/>
          </w:tcPr>
          <w:p w14:paraId="2799CBF1">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预期目标</w:t>
            </w:r>
          </w:p>
        </w:tc>
        <w:tc>
          <w:tcPr>
            <w:tcW w:w="3787" w:type="dxa"/>
            <w:gridSpan w:val="7"/>
            <w:noWrap w:val="0"/>
            <w:vAlign w:val="center"/>
          </w:tcPr>
          <w:p w14:paraId="40EE7D7B">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实际完成情况</w:t>
            </w:r>
          </w:p>
        </w:tc>
      </w:tr>
      <w:tr w14:paraId="40EEE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atLeast"/>
        </w:trPr>
        <w:tc>
          <w:tcPr>
            <w:tcW w:w="633" w:type="dxa"/>
            <w:vMerge w:val="continue"/>
            <w:noWrap w:val="0"/>
            <w:vAlign w:val="center"/>
          </w:tcPr>
          <w:p w14:paraId="0A488647">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3919" w:type="dxa"/>
            <w:gridSpan w:val="6"/>
            <w:noWrap w:val="0"/>
            <w:vAlign w:val="center"/>
          </w:tcPr>
          <w:p w14:paraId="78EC62AD">
            <w:pPr>
              <w:keepNext w:val="0"/>
              <w:keepLines w:val="0"/>
              <w:pageBreakBefore w:val="0"/>
              <w:widowControl/>
              <w:wordWrap/>
              <w:overflowPunct/>
              <w:topLinePunct w:val="0"/>
              <w:autoSpaceDE w:val="0"/>
              <w:autoSpaceDN w:val="0"/>
              <w:bidi w:val="0"/>
              <w:spacing w:line="240" w:lineRule="exact"/>
              <w:ind w:firstLine="0" w:firstLineChars="0"/>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做好本年度项目前期工作，保障项目后续工作顺利进行；清欠历年谋划项目前期费用。</w:t>
            </w:r>
          </w:p>
        </w:tc>
        <w:tc>
          <w:tcPr>
            <w:tcW w:w="3787" w:type="dxa"/>
            <w:gridSpan w:val="7"/>
            <w:noWrap w:val="0"/>
            <w:vAlign w:val="center"/>
          </w:tcPr>
          <w:p w14:paraId="1F7D262A">
            <w:pPr>
              <w:keepNext w:val="0"/>
              <w:keepLines w:val="0"/>
              <w:pageBreakBefore w:val="0"/>
              <w:widowControl/>
              <w:wordWrap/>
              <w:overflowPunct/>
              <w:topLinePunct w:val="0"/>
              <w:autoSpaceDE w:val="0"/>
              <w:autoSpaceDN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eastAsia="zh-CN"/>
              </w:rPr>
              <w:t>做好本年度项目前期工作，保障项目后续工作顺利进行；清欠历年谋划项目前期费用。</w:t>
            </w:r>
          </w:p>
        </w:tc>
      </w:tr>
      <w:tr w14:paraId="2D50D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633" w:type="dxa"/>
            <w:vMerge w:val="continue"/>
            <w:noWrap w:val="0"/>
            <w:vAlign w:val="center"/>
          </w:tcPr>
          <w:p w14:paraId="6AC36E3B">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3919" w:type="dxa"/>
            <w:gridSpan w:val="6"/>
            <w:noWrap w:val="0"/>
            <w:vAlign w:val="center"/>
          </w:tcPr>
          <w:p w14:paraId="7EE6DD7B">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3787" w:type="dxa"/>
            <w:gridSpan w:val="7"/>
            <w:noWrap w:val="0"/>
            <w:vAlign w:val="center"/>
          </w:tcPr>
          <w:p w14:paraId="7AC872B7">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r>
      <w:tr w14:paraId="0905F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9" w:hRule="atLeast"/>
        </w:trPr>
        <w:tc>
          <w:tcPr>
            <w:tcW w:w="633" w:type="dxa"/>
            <w:vMerge w:val="restart"/>
            <w:noWrap w:val="0"/>
            <w:vAlign w:val="center"/>
          </w:tcPr>
          <w:p w14:paraId="31F34A08">
            <w:pPr>
              <w:keepNext w:val="0"/>
              <w:keepLines w:val="0"/>
              <w:pageBreakBefore w:val="0"/>
              <w:wordWrap/>
              <w:overflowPunct/>
              <w:topLinePunct w:val="0"/>
              <w:bidi w:val="0"/>
              <w:spacing w:line="240" w:lineRule="exact"/>
              <w:ind w:left="113" w:right="113" w:firstLine="0" w:firstLineChars="0"/>
              <w:jc w:val="center"/>
              <w:rPr>
                <w:rFonts w:hint="eastAsia" w:ascii="宋体" w:hAnsi="宋体" w:eastAsia="宋体" w:cs="宋体"/>
                <w:sz w:val="20"/>
                <w:szCs w:val="20"/>
              </w:rPr>
            </w:pPr>
            <w:r>
              <w:rPr>
                <w:rFonts w:hint="eastAsia" w:ascii="宋体" w:hAnsi="宋体" w:eastAsia="宋体" w:cs="宋体"/>
                <w:sz w:val="20"/>
                <w:szCs w:val="20"/>
              </w:rPr>
              <w:t>绩</w:t>
            </w:r>
            <w:r>
              <w:rPr>
                <w:rFonts w:hint="eastAsia" w:ascii="宋体" w:hAnsi="宋体" w:eastAsia="宋体" w:cs="宋体"/>
                <w:sz w:val="20"/>
                <w:szCs w:val="20"/>
                <w:lang w:val="en-US" w:eastAsia="zh-CN"/>
              </w:rPr>
              <w:t xml:space="preserve">  </w:t>
            </w:r>
            <w:r>
              <w:rPr>
                <w:rFonts w:hint="eastAsia" w:ascii="宋体" w:hAnsi="宋体" w:eastAsia="宋体" w:cs="宋体"/>
                <w:spacing w:val="-1"/>
                <w:sz w:val="20"/>
                <w:szCs w:val="20"/>
              </w:rPr>
              <w:t>效</w:t>
            </w:r>
            <w:r>
              <w:rPr>
                <w:rFonts w:hint="eastAsia" w:ascii="宋体" w:hAnsi="宋体" w:eastAsia="宋体" w:cs="宋体"/>
                <w:spacing w:val="-1"/>
                <w:sz w:val="20"/>
                <w:szCs w:val="20"/>
                <w:lang w:val="en-US" w:eastAsia="zh-CN"/>
              </w:rPr>
              <w:t xml:space="preserve">  </w:t>
            </w:r>
            <w:r>
              <w:rPr>
                <w:rFonts w:hint="eastAsia" w:ascii="宋体" w:hAnsi="宋体" w:eastAsia="宋体" w:cs="宋体"/>
                <w:spacing w:val="-1"/>
                <w:sz w:val="20"/>
                <w:szCs w:val="20"/>
              </w:rPr>
              <w:t>指</w:t>
            </w:r>
            <w:r>
              <w:rPr>
                <w:rFonts w:hint="eastAsia" w:ascii="宋体" w:hAnsi="宋体" w:eastAsia="宋体" w:cs="宋体"/>
                <w:spacing w:val="-1"/>
                <w:sz w:val="20"/>
                <w:szCs w:val="20"/>
                <w:lang w:val="en-US" w:eastAsia="zh-CN"/>
              </w:rPr>
              <w:t xml:space="preserve">  </w:t>
            </w:r>
            <w:r>
              <w:rPr>
                <w:rFonts w:hint="eastAsia" w:ascii="宋体" w:hAnsi="宋体" w:eastAsia="宋体" w:cs="宋体"/>
                <w:spacing w:val="-1"/>
                <w:sz w:val="20"/>
                <w:szCs w:val="20"/>
              </w:rPr>
              <w:t>标</w:t>
            </w:r>
          </w:p>
        </w:tc>
        <w:tc>
          <w:tcPr>
            <w:tcW w:w="750" w:type="dxa"/>
            <w:noWrap w:val="0"/>
            <w:vAlign w:val="center"/>
          </w:tcPr>
          <w:p w14:paraId="71A921B4">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一级</w:t>
            </w:r>
          </w:p>
          <w:p w14:paraId="76262873">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指标</w:t>
            </w:r>
          </w:p>
        </w:tc>
        <w:tc>
          <w:tcPr>
            <w:tcW w:w="830" w:type="dxa"/>
            <w:noWrap w:val="0"/>
            <w:vAlign w:val="center"/>
          </w:tcPr>
          <w:p w14:paraId="5D98FC0B">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二级</w:t>
            </w:r>
          </w:p>
          <w:p w14:paraId="6CFBF7E5">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指标</w:t>
            </w:r>
          </w:p>
        </w:tc>
        <w:tc>
          <w:tcPr>
            <w:tcW w:w="1454" w:type="dxa"/>
            <w:gridSpan w:val="3"/>
            <w:noWrap w:val="0"/>
            <w:vAlign w:val="center"/>
          </w:tcPr>
          <w:p w14:paraId="61524374">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三级指标</w:t>
            </w:r>
          </w:p>
        </w:tc>
        <w:tc>
          <w:tcPr>
            <w:tcW w:w="885" w:type="dxa"/>
            <w:noWrap w:val="0"/>
            <w:vAlign w:val="center"/>
          </w:tcPr>
          <w:p w14:paraId="3B4FC688">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年度指标值</w:t>
            </w:r>
          </w:p>
        </w:tc>
        <w:tc>
          <w:tcPr>
            <w:tcW w:w="817" w:type="dxa"/>
            <w:noWrap w:val="0"/>
            <w:vAlign w:val="center"/>
          </w:tcPr>
          <w:p w14:paraId="4345206E">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实际完成值</w:t>
            </w:r>
          </w:p>
        </w:tc>
        <w:tc>
          <w:tcPr>
            <w:tcW w:w="631" w:type="dxa"/>
            <w:gridSpan w:val="2"/>
            <w:noWrap w:val="0"/>
            <w:vAlign w:val="center"/>
          </w:tcPr>
          <w:p w14:paraId="14BF8E17">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分值</w:t>
            </w:r>
          </w:p>
        </w:tc>
        <w:tc>
          <w:tcPr>
            <w:tcW w:w="728" w:type="dxa"/>
            <w:gridSpan w:val="2"/>
            <w:noWrap w:val="0"/>
            <w:vAlign w:val="center"/>
          </w:tcPr>
          <w:p w14:paraId="3EA34380">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得分</w:t>
            </w:r>
          </w:p>
        </w:tc>
        <w:tc>
          <w:tcPr>
            <w:tcW w:w="1611" w:type="dxa"/>
            <w:gridSpan w:val="2"/>
            <w:noWrap w:val="0"/>
            <w:vAlign w:val="center"/>
          </w:tcPr>
          <w:p w14:paraId="7203E78F">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2"/>
                <w:sz w:val="20"/>
                <w:szCs w:val="20"/>
              </w:rPr>
              <w:t>偏差原因分析及改进措施</w:t>
            </w:r>
          </w:p>
        </w:tc>
      </w:tr>
      <w:tr w14:paraId="5EA74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2" w:hRule="atLeast"/>
        </w:trPr>
        <w:tc>
          <w:tcPr>
            <w:tcW w:w="633" w:type="dxa"/>
            <w:vMerge w:val="continue"/>
            <w:noWrap w:val="0"/>
            <w:textDirection w:val="tbRlV"/>
            <w:vAlign w:val="center"/>
          </w:tcPr>
          <w:p w14:paraId="247BC062">
            <w:pPr>
              <w:keepNext w:val="0"/>
              <w:keepLines w:val="0"/>
              <w:pageBreakBefore w:val="0"/>
              <w:wordWrap/>
              <w:overflowPunct/>
              <w:topLinePunct w:val="0"/>
              <w:bidi w:val="0"/>
              <w:spacing w:line="240" w:lineRule="exact"/>
              <w:ind w:left="113" w:right="113" w:firstLine="0" w:firstLineChars="0"/>
              <w:jc w:val="center"/>
              <w:rPr>
                <w:rFonts w:hint="eastAsia" w:ascii="宋体" w:hAnsi="宋体" w:eastAsia="宋体" w:cs="宋体"/>
                <w:sz w:val="20"/>
                <w:szCs w:val="20"/>
              </w:rPr>
            </w:pPr>
          </w:p>
        </w:tc>
        <w:tc>
          <w:tcPr>
            <w:tcW w:w="750" w:type="dxa"/>
            <w:vMerge w:val="restart"/>
            <w:noWrap w:val="0"/>
            <w:vAlign w:val="center"/>
          </w:tcPr>
          <w:p w14:paraId="10C2D4DD">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产出</w:t>
            </w:r>
          </w:p>
          <w:p w14:paraId="5003FA4A">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指标</w:t>
            </w:r>
          </w:p>
          <w:p w14:paraId="6F7AA57D">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830" w:type="dxa"/>
            <w:noWrap w:val="0"/>
            <w:vAlign w:val="center"/>
          </w:tcPr>
          <w:p w14:paraId="4134935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数量指标</w:t>
            </w:r>
          </w:p>
        </w:tc>
        <w:tc>
          <w:tcPr>
            <w:tcW w:w="1454" w:type="dxa"/>
            <w:gridSpan w:val="3"/>
            <w:noWrap w:val="0"/>
            <w:vAlign w:val="center"/>
          </w:tcPr>
          <w:p w14:paraId="4C69A4F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项目前期工作完成率</w:t>
            </w:r>
          </w:p>
        </w:tc>
        <w:tc>
          <w:tcPr>
            <w:tcW w:w="885" w:type="dxa"/>
            <w:noWrap w:val="0"/>
            <w:vAlign w:val="center"/>
          </w:tcPr>
          <w:p w14:paraId="097339C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100%</w:t>
            </w:r>
          </w:p>
        </w:tc>
        <w:tc>
          <w:tcPr>
            <w:tcW w:w="817" w:type="dxa"/>
            <w:noWrap w:val="0"/>
            <w:vAlign w:val="center"/>
          </w:tcPr>
          <w:p w14:paraId="410C242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default" w:ascii="宋体" w:hAnsi="宋体" w:eastAsia="宋体" w:cs="宋体"/>
                <w:color w:val="auto"/>
                <w:sz w:val="20"/>
                <w:szCs w:val="20"/>
                <w:lang w:val="en-US" w:eastAsia="zh-CN"/>
              </w:rPr>
            </w:pPr>
            <w:r>
              <w:rPr>
                <w:rFonts w:hint="eastAsia" w:ascii="宋体" w:hAnsi="宋体" w:eastAsia="宋体" w:cs="宋体"/>
                <w:i w:val="0"/>
                <w:snapToGrid w:val="0"/>
                <w:color w:val="000000"/>
                <w:kern w:val="0"/>
                <w:sz w:val="20"/>
                <w:szCs w:val="20"/>
                <w:u w:val="none"/>
                <w:lang w:val="en-US" w:eastAsia="zh-CN" w:bidi="ar"/>
              </w:rPr>
              <w:t>100%</w:t>
            </w:r>
          </w:p>
        </w:tc>
        <w:tc>
          <w:tcPr>
            <w:tcW w:w="631" w:type="dxa"/>
            <w:gridSpan w:val="2"/>
            <w:noWrap w:val="0"/>
            <w:vAlign w:val="center"/>
          </w:tcPr>
          <w:p w14:paraId="41A1481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20</w:t>
            </w:r>
          </w:p>
        </w:tc>
        <w:tc>
          <w:tcPr>
            <w:tcW w:w="728" w:type="dxa"/>
            <w:gridSpan w:val="2"/>
            <w:noWrap w:val="0"/>
            <w:vAlign w:val="center"/>
          </w:tcPr>
          <w:p w14:paraId="62BFA0F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20</w:t>
            </w:r>
          </w:p>
        </w:tc>
        <w:tc>
          <w:tcPr>
            <w:tcW w:w="1611" w:type="dxa"/>
            <w:gridSpan w:val="2"/>
            <w:noWrap w:val="0"/>
            <w:vAlign w:val="bottom"/>
          </w:tcPr>
          <w:p w14:paraId="206AF82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color w:val="auto"/>
                <w:sz w:val="20"/>
                <w:szCs w:val="20"/>
              </w:rPr>
            </w:pPr>
          </w:p>
        </w:tc>
      </w:tr>
      <w:tr w14:paraId="73699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633" w:type="dxa"/>
            <w:vMerge w:val="continue"/>
            <w:noWrap w:val="0"/>
            <w:vAlign w:val="center"/>
          </w:tcPr>
          <w:p w14:paraId="7CD5201F">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50" w:type="dxa"/>
            <w:vMerge w:val="continue"/>
            <w:noWrap w:val="0"/>
            <w:vAlign w:val="center"/>
          </w:tcPr>
          <w:p w14:paraId="175E5DA8">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830" w:type="dxa"/>
            <w:noWrap w:val="0"/>
            <w:vAlign w:val="center"/>
          </w:tcPr>
          <w:p w14:paraId="3AD663F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质量指标</w:t>
            </w:r>
          </w:p>
        </w:tc>
        <w:tc>
          <w:tcPr>
            <w:tcW w:w="1454" w:type="dxa"/>
            <w:gridSpan w:val="3"/>
            <w:noWrap w:val="0"/>
            <w:vAlign w:val="center"/>
          </w:tcPr>
          <w:p w14:paraId="14DDE82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质量验收合格率</w:t>
            </w:r>
          </w:p>
        </w:tc>
        <w:tc>
          <w:tcPr>
            <w:tcW w:w="885" w:type="dxa"/>
            <w:noWrap w:val="0"/>
            <w:vAlign w:val="center"/>
          </w:tcPr>
          <w:p w14:paraId="3522727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100%</w:t>
            </w:r>
          </w:p>
        </w:tc>
        <w:tc>
          <w:tcPr>
            <w:tcW w:w="817" w:type="dxa"/>
            <w:noWrap w:val="0"/>
            <w:vAlign w:val="center"/>
          </w:tcPr>
          <w:p w14:paraId="290D19C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default" w:ascii="宋体" w:hAnsi="宋体" w:eastAsia="宋体" w:cs="宋体"/>
                <w:color w:val="auto"/>
                <w:sz w:val="20"/>
                <w:szCs w:val="20"/>
                <w:lang w:val="en-US" w:eastAsia="zh-CN"/>
              </w:rPr>
            </w:pPr>
            <w:r>
              <w:rPr>
                <w:rFonts w:hint="eastAsia" w:ascii="宋体" w:hAnsi="宋体" w:eastAsia="宋体" w:cs="宋体"/>
                <w:i w:val="0"/>
                <w:snapToGrid w:val="0"/>
                <w:color w:val="000000"/>
                <w:kern w:val="0"/>
                <w:sz w:val="20"/>
                <w:szCs w:val="20"/>
                <w:u w:val="none"/>
                <w:lang w:val="en-US" w:eastAsia="zh-CN" w:bidi="ar"/>
              </w:rPr>
              <w:t>100%</w:t>
            </w:r>
          </w:p>
        </w:tc>
        <w:tc>
          <w:tcPr>
            <w:tcW w:w="631" w:type="dxa"/>
            <w:gridSpan w:val="2"/>
            <w:noWrap w:val="0"/>
            <w:vAlign w:val="center"/>
          </w:tcPr>
          <w:p w14:paraId="21D9564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15</w:t>
            </w:r>
          </w:p>
        </w:tc>
        <w:tc>
          <w:tcPr>
            <w:tcW w:w="728" w:type="dxa"/>
            <w:gridSpan w:val="2"/>
            <w:noWrap w:val="0"/>
            <w:vAlign w:val="center"/>
          </w:tcPr>
          <w:p w14:paraId="16DF0C8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15</w:t>
            </w:r>
          </w:p>
        </w:tc>
        <w:tc>
          <w:tcPr>
            <w:tcW w:w="1611" w:type="dxa"/>
            <w:gridSpan w:val="2"/>
            <w:noWrap w:val="0"/>
            <w:vAlign w:val="bottom"/>
          </w:tcPr>
          <w:p w14:paraId="4D991D7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color w:val="auto"/>
                <w:sz w:val="20"/>
                <w:szCs w:val="20"/>
              </w:rPr>
            </w:pPr>
          </w:p>
        </w:tc>
      </w:tr>
      <w:tr w14:paraId="2044B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9" w:hRule="atLeast"/>
        </w:trPr>
        <w:tc>
          <w:tcPr>
            <w:tcW w:w="633" w:type="dxa"/>
            <w:vMerge w:val="continue"/>
            <w:noWrap w:val="0"/>
            <w:vAlign w:val="center"/>
          </w:tcPr>
          <w:p w14:paraId="029A071D">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50" w:type="dxa"/>
            <w:vMerge w:val="continue"/>
            <w:noWrap w:val="0"/>
            <w:vAlign w:val="center"/>
          </w:tcPr>
          <w:p w14:paraId="1AC04F28">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830" w:type="dxa"/>
            <w:noWrap w:val="0"/>
            <w:vAlign w:val="center"/>
          </w:tcPr>
          <w:p w14:paraId="1C6620C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时效指标</w:t>
            </w:r>
          </w:p>
        </w:tc>
        <w:tc>
          <w:tcPr>
            <w:tcW w:w="1454" w:type="dxa"/>
            <w:gridSpan w:val="3"/>
            <w:noWrap w:val="0"/>
            <w:vAlign w:val="center"/>
          </w:tcPr>
          <w:p w14:paraId="148C29B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事项完成及时性</w:t>
            </w:r>
          </w:p>
        </w:tc>
        <w:tc>
          <w:tcPr>
            <w:tcW w:w="885" w:type="dxa"/>
            <w:noWrap w:val="0"/>
            <w:vAlign w:val="center"/>
          </w:tcPr>
          <w:p w14:paraId="7EDCB1E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817" w:type="dxa"/>
            <w:noWrap w:val="0"/>
            <w:vAlign w:val="center"/>
          </w:tcPr>
          <w:p w14:paraId="0549183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default" w:ascii="宋体" w:hAnsi="宋体" w:eastAsia="宋体" w:cs="宋体"/>
                <w:color w:val="auto"/>
                <w:sz w:val="20"/>
                <w:szCs w:val="20"/>
                <w:lang w:val="en-US" w:eastAsia="zh-CN"/>
              </w:rPr>
            </w:pPr>
            <w:r>
              <w:rPr>
                <w:rFonts w:hint="eastAsia" w:ascii="宋体" w:hAnsi="宋体" w:eastAsia="宋体" w:cs="宋体"/>
                <w:i w:val="0"/>
                <w:snapToGrid w:val="0"/>
                <w:color w:val="000000"/>
                <w:kern w:val="0"/>
                <w:sz w:val="20"/>
                <w:szCs w:val="20"/>
                <w:u w:val="none"/>
                <w:lang w:val="en-US" w:eastAsia="zh-CN" w:bidi="ar"/>
              </w:rPr>
              <w:t>及时</w:t>
            </w:r>
          </w:p>
        </w:tc>
        <w:tc>
          <w:tcPr>
            <w:tcW w:w="631" w:type="dxa"/>
            <w:gridSpan w:val="2"/>
            <w:noWrap w:val="0"/>
            <w:vAlign w:val="center"/>
          </w:tcPr>
          <w:p w14:paraId="431AA56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15</w:t>
            </w:r>
          </w:p>
        </w:tc>
        <w:tc>
          <w:tcPr>
            <w:tcW w:w="728" w:type="dxa"/>
            <w:gridSpan w:val="2"/>
            <w:noWrap w:val="0"/>
            <w:vAlign w:val="center"/>
          </w:tcPr>
          <w:p w14:paraId="14BF7B3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10</w:t>
            </w:r>
          </w:p>
        </w:tc>
        <w:tc>
          <w:tcPr>
            <w:tcW w:w="1611" w:type="dxa"/>
            <w:gridSpan w:val="2"/>
            <w:noWrap w:val="0"/>
            <w:vAlign w:val="bottom"/>
          </w:tcPr>
          <w:p w14:paraId="3EF067C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both"/>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预算执行中11.6万元的执行计划已提交财政局，但因财政资金紧张，此项费用未完成支付，造成与年初预算目标偏差。</w:t>
            </w:r>
          </w:p>
        </w:tc>
      </w:tr>
      <w:tr w14:paraId="6EE96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7" w:hRule="atLeast"/>
        </w:trPr>
        <w:tc>
          <w:tcPr>
            <w:tcW w:w="633" w:type="dxa"/>
            <w:vMerge w:val="continue"/>
            <w:noWrap w:val="0"/>
            <w:textDirection w:val="tbRlV"/>
            <w:vAlign w:val="center"/>
          </w:tcPr>
          <w:p w14:paraId="5CB305A7">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50" w:type="dxa"/>
            <w:vMerge w:val="continue"/>
            <w:noWrap w:val="0"/>
            <w:vAlign w:val="center"/>
          </w:tcPr>
          <w:p w14:paraId="4542EF72">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830" w:type="dxa"/>
            <w:noWrap w:val="0"/>
            <w:vAlign w:val="center"/>
          </w:tcPr>
          <w:p w14:paraId="30016D6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成本指标</w:t>
            </w:r>
          </w:p>
        </w:tc>
        <w:tc>
          <w:tcPr>
            <w:tcW w:w="1454" w:type="dxa"/>
            <w:gridSpan w:val="3"/>
            <w:noWrap w:val="0"/>
            <w:vAlign w:val="center"/>
          </w:tcPr>
          <w:p w14:paraId="1C05C51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实际成本超概（预）算比率</w:t>
            </w:r>
          </w:p>
        </w:tc>
        <w:tc>
          <w:tcPr>
            <w:tcW w:w="885" w:type="dxa"/>
            <w:noWrap w:val="0"/>
            <w:vAlign w:val="center"/>
          </w:tcPr>
          <w:p w14:paraId="760773F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snapToGrid w:val="0"/>
                <w:color w:val="000000"/>
                <w:kern w:val="0"/>
                <w:sz w:val="20"/>
                <w:szCs w:val="20"/>
                <w:u w:val="none"/>
                <w:lang w:val="en-US" w:eastAsia="zh-CN" w:bidi="ar"/>
              </w:rPr>
              <w:t>&lt;10%</w:t>
            </w:r>
          </w:p>
        </w:tc>
        <w:tc>
          <w:tcPr>
            <w:tcW w:w="817" w:type="dxa"/>
            <w:noWrap w:val="0"/>
            <w:vAlign w:val="center"/>
          </w:tcPr>
          <w:p w14:paraId="7ACEBD7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snapToGrid w:val="0"/>
                <w:color w:val="000000"/>
                <w:kern w:val="0"/>
                <w:sz w:val="20"/>
                <w:szCs w:val="20"/>
                <w:u w:val="none"/>
                <w:lang w:val="en-US" w:eastAsia="zh-CN" w:bidi="ar"/>
              </w:rPr>
              <w:t>&lt;10%</w:t>
            </w:r>
          </w:p>
        </w:tc>
        <w:tc>
          <w:tcPr>
            <w:tcW w:w="631" w:type="dxa"/>
            <w:gridSpan w:val="2"/>
            <w:noWrap w:val="0"/>
            <w:vAlign w:val="center"/>
          </w:tcPr>
          <w:p w14:paraId="5EB6E00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10</w:t>
            </w:r>
          </w:p>
        </w:tc>
        <w:tc>
          <w:tcPr>
            <w:tcW w:w="728" w:type="dxa"/>
            <w:gridSpan w:val="2"/>
            <w:noWrap w:val="0"/>
            <w:vAlign w:val="center"/>
          </w:tcPr>
          <w:p w14:paraId="7EBF4DD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10</w:t>
            </w:r>
          </w:p>
        </w:tc>
        <w:tc>
          <w:tcPr>
            <w:tcW w:w="1611" w:type="dxa"/>
            <w:gridSpan w:val="2"/>
            <w:noWrap w:val="0"/>
            <w:vAlign w:val="bottom"/>
          </w:tcPr>
          <w:p w14:paraId="5090207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color w:val="auto"/>
                <w:sz w:val="20"/>
                <w:szCs w:val="20"/>
              </w:rPr>
            </w:pPr>
          </w:p>
        </w:tc>
      </w:tr>
      <w:tr w14:paraId="0AFB1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9" w:hRule="atLeast"/>
        </w:trPr>
        <w:tc>
          <w:tcPr>
            <w:tcW w:w="633" w:type="dxa"/>
            <w:vMerge w:val="continue"/>
            <w:noWrap w:val="0"/>
            <w:textDirection w:val="tbRlV"/>
            <w:vAlign w:val="center"/>
          </w:tcPr>
          <w:p w14:paraId="430A08DE">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50" w:type="dxa"/>
            <w:vMerge w:val="restart"/>
            <w:noWrap w:val="0"/>
            <w:vAlign w:val="center"/>
          </w:tcPr>
          <w:p w14:paraId="232A46BE">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效益</w:t>
            </w:r>
          </w:p>
          <w:p w14:paraId="4B32CC9D">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指标</w:t>
            </w:r>
          </w:p>
        </w:tc>
        <w:tc>
          <w:tcPr>
            <w:tcW w:w="830" w:type="dxa"/>
            <w:noWrap w:val="0"/>
            <w:vAlign w:val="center"/>
          </w:tcPr>
          <w:p w14:paraId="6CC4C33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社会效益</w:t>
            </w:r>
          </w:p>
        </w:tc>
        <w:tc>
          <w:tcPr>
            <w:tcW w:w="1454" w:type="dxa"/>
            <w:gridSpan w:val="3"/>
            <w:noWrap w:val="0"/>
            <w:vAlign w:val="center"/>
          </w:tcPr>
          <w:p w14:paraId="052E17D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促进卫生健康事业有序发展</w:t>
            </w:r>
          </w:p>
        </w:tc>
        <w:tc>
          <w:tcPr>
            <w:tcW w:w="885" w:type="dxa"/>
            <w:noWrap w:val="0"/>
            <w:vAlign w:val="center"/>
          </w:tcPr>
          <w:p w14:paraId="58512F9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有序发展</w:t>
            </w:r>
          </w:p>
        </w:tc>
        <w:tc>
          <w:tcPr>
            <w:tcW w:w="817" w:type="dxa"/>
            <w:noWrap w:val="0"/>
            <w:vAlign w:val="center"/>
          </w:tcPr>
          <w:p w14:paraId="4A24AD7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lang w:eastAsia="zh-CN"/>
              </w:rPr>
            </w:pPr>
            <w:r>
              <w:rPr>
                <w:rFonts w:hint="eastAsia" w:ascii="宋体" w:hAnsi="宋体" w:eastAsia="宋体" w:cs="宋体"/>
                <w:i w:val="0"/>
                <w:snapToGrid w:val="0"/>
                <w:color w:val="000000"/>
                <w:kern w:val="0"/>
                <w:sz w:val="20"/>
                <w:szCs w:val="20"/>
                <w:u w:val="none"/>
                <w:lang w:val="en-US" w:eastAsia="zh-CN" w:bidi="ar"/>
              </w:rPr>
              <w:t>有序发展</w:t>
            </w:r>
          </w:p>
        </w:tc>
        <w:tc>
          <w:tcPr>
            <w:tcW w:w="631" w:type="dxa"/>
            <w:gridSpan w:val="2"/>
            <w:noWrap w:val="0"/>
            <w:vAlign w:val="center"/>
          </w:tcPr>
          <w:p w14:paraId="55CC9491">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15</w:t>
            </w:r>
          </w:p>
        </w:tc>
        <w:tc>
          <w:tcPr>
            <w:tcW w:w="728" w:type="dxa"/>
            <w:gridSpan w:val="2"/>
            <w:noWrap w:val="0"/>
            <w:vAlign w:val="center"/>
          </w:tcPr>
          <w:p w14:paraId="3270390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15</w:t>
            </w:r>
          </w:p>
        </w:tc>
        <w:tc>
          <w:tcPr>
            <w:tcW w:w="1611" w:type="dxa"/>
            <w:gridSpan w:val="2"/>
            <w:noWrap w:val="0"/>
            <w:vAlign w:val="bottom"/>
          </w:tcPr>
          <w:p w14:paraId="2B5DC2E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color w:val="auto"/>
                <w:sz w:val="20"/>
                <w:szCs w:val="20"/>
              </w:rPr>
            </w:pPr>
          </w:p>
        </w:tc>
      </w:tr>
      <w:tr w14:paraId="4C03E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9" w:hRule="atLeast"/>
        </w:trPr>
        <w:tc>
          <w:tcPr>
            <w:tcW w:w="633" w:type="dxa"/>
            <w:vMerge w:val="continue"/>
            <w:noWrap w:val="0"/>
            <w:textDirection w:val="tbRlV"/>
            <w:vAlign w:val="center"/>
          </w:tcPr>
          <w:p w14:paraId="60CDE400">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50" w:type="dxa"/>
            <w:vMerge w:val="continue"/>
            <w:noWrap w:val="0"/>
            <w:vAlign w:val="center"/>
          </w:tcPr>
          <w:p w14:paraId="1E62B250">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c>
          <w:tcPr>
            <w:tcW w:w="830" w:type="dxa"/>
            <w:noWrap w:val="0"/>
            <w:vAlign w:val="center"/>
          </w:tcPr>
          <w:p w14:paraId="2F8E628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pacing w:val="-3"/>
                <w:sz w:val="20"/>
                <w:szCs w:val="20"/>
              </w:rPr>
            </w:pPr>
            <w:r>
              <w:rPr>
                <w:rFonts w:hint="eastAsia" w:ascii="宋体" w:hAnsi="宋体" w:eastAsia="宋体" w:cs="宋体"/>
                <w:i w:val="0"/>
                <w:snapToGrid w:val="0"/>
                <w:color w:val="000000"/>
                <w:kern w:val="0"/>
                <w:sz w:val="20"/>
                <w:szCs w:val="20"/>
                <w:u w:val="none"/>
                <w:lang w:val="en-US" w:eastAsia="zh-CN" w:bidi="ar"/>
              </w:rPr>
              <w:t>可持续影响指标</w:t>
            </w:r>
          </w:p>
        </w:tc>
        <w:tc>
          <w:tcPr>
            <w:tcW w:w="1454" w:type="dxa"/>
            <w:gridSpan w:val="3"/>
            <w:noWrap w:val="0"/>
            <w:vAlign w:val="center"/>
          </w:tcPr>
          <w:p w14:paraId="2CA6186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auto"/>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项目持续推进</w:t>
            </w:r>
          </w:p>
        </w:tc>
        <w:tc>
          <w:tcPr>
            <w:tcW w:w="885" w:type="dxa"/>
            <w:noWrap w:val="0"/>
            <w:vAlign w:val="center"/>
          </w:tcPr>
          <w:p w14:paraId="008F6EC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auto"/>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持续推进</w:t>
            </w:r>
          </w:p>
        </w:tc>
        <w:tc>
          <w:tcPr>
            <w:tcW w:w="817" w:type="dxa"/>
            <w:noWrap w:val="0"/>
            <w:vAlign w:val="center"/>
          </w:tcPr>
          <w:p w14:paraId="4E76A9D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lang w:eastAsia="zh-CN"/>
              </w:rPr>
            </w:pPr>
            <w:r>
              <w:rPr>
                <w:rFonts w:hint="eastAsia" w:ascii="宋体" w:hAnsi="宋体" w:eastAsia="宋体" w:cs="宋体"/>
                <w:i w:val="0"/>
                <w:snapToGrid w:val="0"/>
                <w:color w:val="000000"/>
                <w:kern w:val="0"/>
                <w:sz w:val="20"/>
                <w:szCs w:val="20"/>
                <w:u w:val="none"/>
                <w:lang w:val="en-US" w:eastAsia="zh-CN" w:bidi="ar"/>
              </w:rPr>
              <w:t>持续推进</w:t>
            </w:r>
          </w:p>
        </w:tc>
        <w:tc>
          <w:tcPr>
            <w:tcW w:w="631" w:type="dxa"/>
            <w:gridSpan w:val="2"/>
            <w:noWrap w:val="0"/>
            <w:vAlign w:val="center"/>
          </w:tcPr>
          <w:p w14:paraId="641546A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15</w:t>
            </w:r>
          </w:p>
        </w:tc>
        <w:tc>
          <w:tcPr>
            <w:tcW w:w="728" w:type="dxa"/>
            <w:gridSpan w:val="2"/>
            <w:noWrap w:val="0"/>
            <w:vAlign w:val="center"/>
          </w:tcPr>
          <w:p w14:paraId="17CB6C8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15</w:t>
            </w:r>
          </w:p>
        </w:tc>
        <w:tc>
          <w:tcPr>
            <w:tcW w:w="1611" w:type="dxa"/>
            <w:gridSpan w:val="2"/>
            <w:noWrap w:val="0"/>
            <w:vAlign w:val="bottom"/>
          </w:tcPr>
          <w:p w14:paraId="406F2D9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color w:val="auto"/>
                <w:sz w:val="20"/>
                <w:szCs w:val="20"/>
              </w:rPr>
            </w:pPr>
          </w:p>
        </w:tc>
      </w:tr>
      <w:tr w14:paraId="23639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9" w:hRule="atLeast"/>
        </w:trPr>
        <w:tc>
          <w:tcPr>
            <w:tcW w:w="633" w:type="dxa"/>
            <w:vMerge w:val="continue"/>
            <w:noWrap w:val="0"/>
            <w:vAlign w:val="center"/>
          </w:tcPr>
          <w:p w14:paraId="349B5361">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50" w:type="dxa"/>
            <w:noWrap w:val="0"/>
            <w:vAlign w:val="center"/>
          </w:tcPr>
          <w:p w14:paraId="4CFA246E">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满意度指标</w:t>
            </w:r>
          </w:p>
        </w:tc>
        <w:tc>
          <w:tcPr>
            <w:tcW w:w="830" w:type="dxa"/>
            <w:noWrap w:val="0"/>
            <w:vAlign w:val="center"/>
          </w:tcPr>
          <w:p w14:paraId="49058E9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服务对象</w:t>
            </w:r>
            <w:r>
              <w:rPr>
                <w:rFonts w:hint="eastAsia" w:ascii="宋体" w:hAnsi="宋体" w:eastAsia="宋体" w:cs="宋体"/>
                <w:i w:val="0"/>
                <w:snapToGrid w:val="0"/>
                <w:color w:val="000000"/>
                <w:kern w:val="0"/>
                <w:sz w:val="20"/>
                <w:szCs w:val="20"/>
                <w:u w:val="none"/>
                <w:lang w:val="en-US" w:eastAsia="zh-CN" w:bidi="ar"/>
              </w:rPr>
              <w:br w:type="textWrapping"/>
            </w:r>
            <w:r>
              <w:rPr>
                <w:rFonts w:hint="eastAsia" w:ascii="宋体" w:hAnsi="宋体" w:eastAsia="宋体" w:cs="宋体"/>
                <w:i w:val="0"/>
                <w:snapToGrid w:val="0"/>
                <w:color w:val="000000"/>
                <w:kern w:val="0"/>
                <w:sz w:val="20"/>
                <w:szCs w:val="20"/>
                <w:u w:val="none"/>
                <w:lang w:val="en-US" w:eastAsia="zh-CN" w:bidi="ar"/>
              </w:rPr>
              <w:t>满意度</w:t>
            </w:r>
          </w:p>
        </w:tc>
        <w:tc>
          <w:tcPr>
            <w:tcW w:w="1454" w:type="dxa"/>
            <w:gridSpan w:val="3"/>
            <w:noWrap w:val="0"/>
            <w:vAlign w:val="center"/>
          </w:tcPr>
          <w:p w14:paraId="032C10A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社会居民满意度</w:t>
            </w:r>
          </w:p>
        </w:tc>
        <w:tc>
          <w:tcPr>
            <w:tcW w:w="885" w:type="dxa"/>
            <w:noWrap w:val="0"/>
            <w:vAlign w:val="center"/>
          </w:tcPr>
          <w:p w14:paraId="1F0EBA7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color w:val="auto"/>
                <w:sz w:val="20"/>
                <w:szCs w:val="20"/>
              </w:rPr>
            </w:pPr>
            <w:r>
              <w:rPr>
                <w:rFonts w:hint="eastAsia" w:ascii="宋体" w:hAnsi="宋体" w:eastAsia="宋体" w:cs="宋体"/>
                <w:i w:val="0"/>
                <w:snapToGrid w:val="0"/>
                <w:color w:val="000000"/>
                <w:kern w:val="0"/>
                <w:sz w:val="20"/>
                <w:szCs w:val="20"/>
                <w:u w:val="none"/>
                <w:lang w:val="en-US" w:eastAsia="zh-CN" w:bidi="ar"/>
              </w:rPr>
              <w:t>≥90%</w:t>
            </w:r>
          </w:p>
        </w:tc>
        <w:tc>
          <w:tcPr>
            <w:tcW w:w="817" w:type="dxa"/>
            <w:noWrap w:val="0"/>
            <w:vAlign w:val="center"/>
          </w:tcPr>
          <w:p w14:paraId="4DECDEF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default" w:ascii="宋体" w:hAnsi="宋体" w:eastAsia="宋体" w:cs="宋体"/>
                <w:color w:val="auto"/>
                <w:sz w:val="20"/>
                <w:szCs w:val="20"/>
                <w:lang w:val="en-US" w:eastAsia="zh-CN"/>
              </w:rPr>
            </w:pPr>
            <w:r>
              <w:rPr>
                <w:rFonts w:hint="eastAsia" w:ascii="宋体" w:hAnsi="宋体" w:eastAsia="宋体" w:cs="宋体"/>
                <w:i w:val="0"/>
                <w:snapToGrid w:val="0"/>
                <w:color w:val="000000"/>
                <w:kern w:val="0"/>
                <w:sz w:val="20"/>
                <w:szCs w:val="20"/>
                <w:u w:val="none"/>
                <w:lang w:val="en-US" w:eastAsia="zh-CN" w:bidi="ar"/>
              </w:rPr>
              <w:t>≥90%</w:t>
            </w:r>
          </w:p>
        </w:tc>
        <w:tc>
          <w:tcPr>
            <w:tcW w:w="631" w:type="dxa"/>
            <w:gridSpan w:val="2"/>
            <w:noWrap w:val="0"/>
            <w:vAlign w:val="center"/>
          </w:tcPr>
          <w:p w14:paraId="28CEA75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10</w:t>
            </w:r>
          </w:p>
        </w:tc>
        <w:tc>
          <w:tcPr>
            <w:tcW w:w="728" w:type="dxa"/>
            <w:gridSpan w:val="2"/>
            <w:noWrap w:val="0"/>
            <w:vAlign w:val="center"/>
          </w:tcPr>
          <w:p w14:paraId="75A46F4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10</w:t>
            </w:r>
          </w:p>
        </w:tc>
        <w:tc>
          <w:tcPr>
            <w:tcW w:w="1611" w:type="dxa"/>
            <w:gridSpan w:val="2"/>
            <w:noWrap w:val="0"/>
            <w:vAlign w:val="bottom"/>
          </w:tcPr>
          <w:p w14:paraId="369FCFD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color w:val="auto"/>
                <w:sz w:val="20"/>
                <w:szCs w:val="20"/>
              </w:rPr>
            </w:pPr>
          </w:p>
        </w:tc>
      </w:tr>
      <w:tr w14:paraId="269D8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5369" w:type="dxa"/>
            <w:gridSpan w:val="8"/>
            <w:noWrap w:val="0"/>
            <w:vAlign w:val="center"/>
          </w:tcPr>
          <w:p w14:paraId="2447A5EF">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总分</w:t>
            </w:r>
          </w:p>
        </w:tc>
        <w:tc>
          <w:tcPr>
            <w:tcW w:w="631" w:type="dxa"/>
            <w:gridSpan w:val="2"/>
            <w:noWrap w:val="0"/>
            <w:vAlign w:val="center"/>
          </w:tcPr>
          <w:p w14:paraId="7575565C">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5"/>
                <w:sz w:val="20"/>
                <w:szCs w:val="20"/>
              </w:rPr>
              <w:t>100</w:t>
            </w:r>
          </w:p>
        </w:tc>
        <w:tc>
          <w:tcPr>
            <w:tcW w:w="728" w:type="dxa"/>
            <w:gridSpan w:val="2"/>
            <w:noWrap w:val="0"/>
            <w:vAlign w:val="center"/>
          </w:tcPr>
          <w:p w14:paraId="3DB236AD">
            <w:pPr>
              <w:keepNext w:val="0"/>
              <w:keepLines w:val="0"/>
              <w:pageBreakBefore w:val="0"/>
              <w:widowControl/>
              <w:wordWrap/>
              <w:overflowPunct/>
              <w:topLinePunct w:val="0"/>
              <w:autoSpaceDE w:val="0"/>
              <w:autoSpaceDN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95</w:t>
            </w:r>
          </w:p>
        </w:tc>
        <w:tc>
          <w:tcPr>
            <w:tcW w:w="1611" w:type="dxa"/>
            <w:gridSpan w:val="2"/>
            <w:noWrap w:val="0"/>
            <w:vAlign w:val="bottom"/>
          </w:tcPr>
          <w:p w14:paraId="1FFD25B6">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p>
        </w:tc>
      </w:tr>
      <w:tr w14:paraId="3ABAD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633" w:type="dxa"/>
            <w:noWrap w:val="0"/>
            <w:vAlign w:val="center"/>
          </w:tcPr>
          <w:p w14:paraId="3AB537C6">
            <w:pPr>
              <w:keepNext w:val="0"/>
              <w:keepLines w:val="0"/>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说明</w:t>
            </w:r>
          </w:p>
        </w:tc>
        <w:tc>
          <w:tcPr>
            <w:tcW w:w="7706" w:type="dxa"/>
            <w:gridSpan w:val="13"/>
            <w:noWrap w:val="0"/>
            <w:vAlign w:val="center"/>
          </w:tcPr>
          <w:p w14:paraId="799CB62A">
            <w:pPr>
              <w:keepNext w:val="0"/>
              <w:keepLines w:val="0"/>
              <w:pageBreakBefore w:val="0"/>
              <w:widowControl/>
              <w:wordWrap/>
              <w:overflowPunct/>
              <w:topLinePunct w:val="0"/>
              <w:autoSpaceDE w:val="0"/>
              <w:autoSpaceDN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2"/>
                <w:sz w:val="20"/>
                <w:szCs w:val="20"/>
              </w:rPr>
              <w:t>请在此处简要说明</w:t>
            </w:r>
            <w:r>
              <w:rPr>
                <w:rFonts w:hint="eastAsia" w:ascii="宋体" w:hAnsi="宋体" w:eastAsia="宋体" w:cs="宋体"/>
                <w:spacing w:val="-2"/>
                <w:sz w:val="20"/>
                <w:szCs w:val="20"/>
                <w:lang w:eastAsia="zh-CN"/>
              </w:rPr>
              <w:t>巡视巡查</w:t>
            </w:r>
            <w:r>
              <w:rPr>
                <w:rFonts w:hint="eastAsia" w:ascii="宋体" w:hAnsi="宋体" w:eastAsia="宋体" w:cs="宋体"/>
                <w:spacing w:val="-2"/>
                <w:sz w:val="20"/>
                <w:szCs w:val="20"/>
              </w:rPr>
              <w:t>、审计和财政监督中发现的问题及其所涉及的金额，如没有填无。</w:t>
            </w:r>
          </w:p>
        </w:tc>
      </w:tr>
    </w:tbl>
    <w:p w14:paraId="08339B71">
      <w:pPr>
        <w:pageBreakBefore w:val="0"/>
        <w:wordWrap/>
        <w:overflowPunct/>
        <w:topLinePunct w:val="0"/>
        <w:bidi w:val="0"/>
        <w:spacing w:line="560" w:lineRule="exact"/>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1FDCCDA7">
      <w:pPr>
        <w:pageBreakBefore w:val="0"/>
        <w:wordWrap/>
        <w:overflowPunct/>
        <w:topLinePunct w:val="0"/>
        <w:bidi w:val="0"/>
        <w:spacing w:line="560" w:lineRule="exact"/>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099747F2">
      <w:pPr>
        <w:pageBreakBefore w:val="0"/>
        <w:wordWrap/>
        <w:overflowPunct/>
        <w:topLinePunct w:val="0"/>
        <w:bidi w:val="0"/>
        <w:spacing w:line="560" w:lineRule="exact"/>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6BAE1C15">
      <w:pPr>
        <w:pageBreakBefore w:val="0"/>
        <w:wordWrap/>
        <w:overflowPunct/>
        <w:topLinePunct w:val="0"/>
        <w:bidi w:val="0"/>
        <w:spacing w:line="560" w:lineRule="exact"/>
        <w:ind w:firstLine="432"/>
        <w:rPr>
          <w:rFonts w:ascii="宋体" w:hAnsi="宋体" w:eastAsia="宋体" w:cs="宋体"/>
          <w:spacing w:val="-2"/>
          <w:sz w:val="22"/>
          <w:szCs w:val="22"/>
        </w:rPr>
      </w:pPr>
    </w:p>
    <w:p w14:paraId="68612FFB">
      <w:pPr>
        <w:pageBreakBefore w:val="0"/>
        <w:wordWrap/>
        <w:overflowPunct/>
        <w:topLinePunct w:val="0"/>
        <w:bidi w:val="0"/>
        <w:spacing w:before="111" w:line="560" w:lineRule="exact"/>
        <w:ind w:firstLine="0" w:firstLineChars="0"/>
        <w:outlineLvl w:val="1"/>
        <w:rPr>
          <w:rFonts w:hint="eastAsia" w:ascii="宋体" w:hAnsi="宋体" w:eastAsia="宋体" w:cs="宋体"/>
          <w:b/>
          <w:bCs/>
          <w:lang w:val="en-US" w:eastAsia="zh-CN"/>
        </w:rPr>
      </w:pPr>
    </w:p>
    <w:p w14:paraId="170A6FEF">
      <w:pPr>
        <w:pageBreakBefore w:val="0"/>
        <w:wordWrap/>
        <w:overflowPunct/>
        <w:topLinePunct w:val="0"/>
        <w:bidi w:val="0"/>
        <w:spacing w:before="111" w:line="560" w:lineRule="exact"/>
        <w:ind w:firstLine="0" w:firstLineChars="0"/>
        <w:outlineLvl w:val="1"/>
        <w:rPr>
          <w:rFonts w:hint="eastAsia" w:ascii="宋体" w:hAnsi="宋体" w:eastAsia="宋体" w:cs="宋体"/>
          <w:b/>
          <w:bCs/>
          <w:lang w:val="en-US" w:eastAsia="zh-CN"/>
        </w:rPr>
      </w:pPr>
    </w:p>
    <w:p w14:paraId="295261CE">
      <w:pPr>
        <w:pageBreakBefore w:val="0"/>
        <w:wordWrap/>
        <w:overflowPunct/>
        <w:topLinePunct w:val="0"/>
        <w:bidi w:val="0"/>
        <w:spacing w:before="111" w:line="560" w:lineRule="exact"/>
        <w:ind w:firstLine="0" w:firstLineChars="0"/>
        <w:outlineLvl w:val="1"/>
        <w:rPr>
          <w:rFonts w:hint="default" w:ascii="宋体" w:hAnsi="宋体" w:eastAsia="宋体" w:cs="宋体"/>
          <w:b/>
          <w:bCs/>
          <w:lang w:val="en-US" w:eastAsia="zh-CN"/>
        </w:rPr>
      </w:pPr>
      <w:r>
        <w:rPr>
          <w:rFonts w:hint="eastAsia" w:ascii="宋体" w:hAnsi="宋体" w:eastAsia="宋体" w:cs="宋体"/>
          <w:b/>
          <w:bCs/>
          <w:lang w:val="en-US" w:eastAsia="zh-CN"/>
        </w:rPr>
        <w:t>附件21</w:t>
      </w:r>
    </w:p>
    <w:p w14:paraId="3B858F57">
      <w:pPr>
        <w:pageBreakBefore w:val="0"/>
        <w:wordWrap/>
        <w:overflowPunct/>
        <w:topLinePunct w:val="0"/>
        <w:bidi w:val="0"/>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19B313AD">
      <w:pPr>
        <w:pageBreakBefore w:val="0"/>
        <w:wordWrap/>
        <w:overflowPunct/>
        <w:topLinePunct w:val="0"/>
        <w:bidi w:val="0"/>
        <w:spacing w:line="560" w:lineRule="exact"/>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31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0"/>
        <w:gridCol w:w="749"/>
        <w:gridCol w:w="828"/>
        <w:gridCol w:w="259"/>
        <w:gridCol w:w="997"/>
        <w:gridCol w:w="193"/>
        <w:gridCol w:w="883"/>
        <w:gridCol w:w="814"/>
        <w:gridCol w:w="560"/>
        <w:gridCol w:w="68"/>
        <w:gridCol w:w="649"/>
        <w:gridCol w:w="76"/>
        <w:gridCol w:w="560"/>
        <w:gridCol w:w="1053"/>
      </w:tblGrid>
      <w:tr w14:paraId="028B9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4" w:hRule="atLeast"/>
        </w:trPr>
        <w:tc>
          <w:tcPr>
            <w:tcW w:w="1379" w:type="dxa"/>
            <w:gridSpan w:val="2"/>
            <w:noWrap w:val="0"/>
            <w:vAlign w:val="center"/>
          </w:tcPr>
          <w:p w14:paraId="5AFB9A79">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6940" w:type="dxa"/>
            <w:gridSpan w:val="12"/>
            <w:noWrap w:val="0"/>
            <w:vAlign w:val="center"/>
          </w:tcPr>
          <w:p w14:paraId="67FE7C72">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基层医疗机构改扩建项目</w:t>
            </w:r>
          </w:p>
        </w:tc>
      </w:tr>
      <w:tr w14:paraId="0BAAA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4" w:hRule="atLeast"/>
        </w:trPr>
        <w:tc>
          <w:tcPr>
            <w:tcW w:w="1379" w:type="dxa"/>
            <w:gridSpan w:val="2"/>
            <w:noWrap w:val="0"/>
            <w:vAlign w:val="center"/>
          </w:tcPr>
          <w:p w14:paraId="2B0B06D3">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160" w:type="dxa"/>
            <w:gridSpan w:val="5"/>
            <w:noWrap w:val="0"/>
            <w:vAlign w:val="center"/>
          </w:tcPr>
          <w:p w14:paraId="5E921EC2">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兰州新区卫生健康委员会</w:t>
            </w:r>
          </w:p>
        </w:tc>
        <w:tc>
          <w:tcPr>
            <w:tcW w:w="1374" w:type="dxa"/>
            <w:gridSpan w:val="2"/>
            <w:noWrap w:val="0"/>
            <w:vAlign w:val="center"/>
          </w:tcPr>
          <w:p w14:paraId="54C4FF79">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06" w:type="dxa"/>
            <w:gridSpan w:val="5"/>
            <w:noWrap w:val="0"/>
            <w:vAlign w:val="center"/>
          </w:tcPr>
          <w:p w14:paraId="3A542512">
            <w:pPr>
              <w:pageBreakBefore w:val="0"/>
              <w:wordWrap/>
              <w:overflowPunct/>
              <w:topLinePunct w:val="0"/>
              <w:bidi w:val="0"/>
              <w:spacing w:line="560" w:lineRule="exact"/>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基层医疗机构</w:t>
            </w:r>
          </w:p>
        </w:tc>
      </w:tr>
      <w:tr w14:paraId="37FA9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8" w:hRule="atLeast"/>
        </w:trPr>
        <w:tc>
          <w:tcPr>
            <w:tcW w:w="1379" w:type="dxa"/>
            <w:gridSpan w:val="2"/>
            <w:vMerge w:val="restart"/>
            <w:noWrap w:val="0"/>
            <w:vAlign w:val="center"/>
          </w:tcPr>
          <w:p w14:paraId="54BB2871">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087" w:type="dxa"/>
            <w:gridSpan w:val="2"/>
            <w:noWrap w:val="0"/>
            <w:vAlign w:val="center"/>
          </w:tcPr>
          <w:p w14:paraId="15489629">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p>
        </w:tc>
        <w:tc>
          <w:tcPr>
            <w:tcW w:w="997" w:type="dxa"/>
            <w:noWrap w:val="0"/>
            <w:vAlign w:val="center"/>
          </w:tcPr>
          <w:p w14:paraId="03EDFEF7">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76" w:type="dxa"/>
            <w:gridSpan w:val="2"/>
            <w:noWrap w:val="0"/>
            <w:vAlign w:val="center"/>
          </w:tcPr>
          <w:p w14:paraId="3DBA2561">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374" w:type="dxa"/>
            <w:gridSpan w:val="2"/>
            <w:noWrap w:val="0"/>
            <w:vAlign w:val="center"/>
          </w:tcPr>
          <w:p w14:paraId="1EE1507D">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17" w:type="dxa"/>
            <w:gridSpan w:val="2"/>
            <w:noWrap w:val="0"/>
            <w:vAlign w:val="center"/>
          </w:tcPr>
          <w:p w14:paraId="04CADC2E">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36" w:type="dxa"/>
            <w:gridSpan w:val="2"/>
            <w:noWrap w:val="0"/>
            <w:vAlign w:val="center"/>
          </w:tcPr>
          <w:p w14:paraId="1C0F6323">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53" w:type="dxa"/>
            <w:noWrap w:val="0"/>
            <w:vAlign w:val="center"/>
          </w:tcPr>
          <w:p w14:paraId="70766335">
            <w:pPr>
              <w:pageBreakBefore w:val="0"/>
              <w:wordWrap/>
              <w:overflowPunct/>
              <w:topLinePunct w:val="0"/>
              <w:bidi w:val="0"/>
              <w:spacing w:line="560" w:lineRule="exact"/>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4A876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1379" w:type="dxa"/>
            <w:gridSpan w:val="2"/>
            <w:vMerge w:val="continue"/>
            <w:noWrap w:val="0"/>
            <w:vAlign w:val="center"/>
          </w:tcPr>
          <w:p w14:paraId="08AFC776">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87" w:type="dxa"/>
            <w:gridSpan w:val="2"/>
            <w:noWrap w:val="0"/>
            <w:vAlign w:val="center"/>
          </w:tcPr>
          <w:p w14:paraId="18C80F24">
            <w:pPr>
              <w:pageBreakBefore w:val="0"/>
              <w:wordWrap/>
              <w:overflowPunct/>
              <w:topLinePunct w:val="0"/>
              <w:bidi w:val="0"/>
              <w:spacing w:line="240" w:lineRule="exact"/>
              <w:ind w:firstLine="0" w:firstLineChars="0"/>
              <w:jc w:val="center"/>
              <w:rPr>
                <w:rFonts w:hint="eastAsia" w:ascii="宋体" w:hAnsi="宋体" w:eastAsia="宋体" w:cs="宋体"/>
                <w:spacing w:val="-3"/>
                <w:sz w:val="20"/>
                <w:szCs w:val="20"/>
                <w:lang w:eastAsia="zh-CN"/>
              </w:rPr>
            </w:pPr>
            <w:r>
              <w:rPr>
                <w:rFonts w:hint="eastAsia" w:ascii="宋体" w:hAnsi="宋体" w:eastAsia="宋体" w:cs="宋体"/>
                <w:spacing w:val="-3"/>
                <w:sz w:val="20"/>
                <w:szCs w:val="20"/>
              </w:rPr>
              <w:t>年度资金</w:t>
            </w:r>
          </w:p>
          <w:p w14:paraId="69F80CD7">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总</w:t>
            </w:r>
            <w:r>
              <w:rPr>
                <w:rFonts w:hint="eastAsia" w:ascii="宋体" w:hAnsi="宋体" w:eastAsia="宋体" w:cs="宋体"/>
                <w:spacing w:val="-3"/>
                <w:sz w:val="20"/>
                <w:szCs w:val="20"/>
                <w:lang w:eastAsia="zh-CN"/>
              </w:rPr>
              <w:t xml:space="preserve">  </w:t>
            </w:r>
            <w:r>
              <w:rPr>
                <w:rFonts w:hint="eastAsia" w:ascii="宋体" w:hAnsi="宋体" w:eastAsia="宋体" w:cs="宋体"/>
                <w:spacing w:val="-3"/>
                <w:sz w:val="20"/>
                <w:szCs w:val="20"/>
              </w:rPr>
              <w:t>额</w:t>
            </w:r>
          </w:p>
        </w:tc>
        <w:tc>
          <w:tcPr>
            <w:tcW w:w="997" w:type="dxa"/>
            <w:noWrap w:val="0"/>
            <w:vAlign w:val="center"/>
          </w:tcPr>
          <w:p w14:paraId="44A28777">
            <w:pPr>
              <w:pageBreakBefore w:val="0"/>
              <w:wordWrap/>
              <w:overflowPunct/>
              <w:topLinePunct w:val="0"/>
              <w:bidi w:val="0"/>
              <w:spacing w:line="240" w:lineRule="exact"/>
              <w:ind w:firstLine="0" w:firstLineChars="0"/>
              <w:jc w:val="center"/>
              <w:rPr>
                <w:rFonts w:hint="default" w:ascii="宋体" w:hAnsi="宋体" w:eastAsia="宋体" w:cs="宋体"/>
                <w:b/>
                <w:bCs/>
                <w:sz w:val="20"/>
                <w:szCs w:val="20"/>
                <w:lang w:val="en-US" w:eastAsia="zh-CN"/>
              </w:rPr>
            </w:pPr>
            <w:r>
              <w:rPr>
                <w:rFonts w:hint="eastAsia" w:ascii="宋体" w:hAnsi="宋体" w:eastAsia="宋体" w:cs="宋体"/>
                <w:b w:val="0"/>
                <w:bCs w:val="0"/>
                <w:sz w:val="20"/>
                <w:szCs w:val="20"/>
                <w:lang w:val="en-US" w:eastAsia="zh-CN"/>
              </w:rPr>
              <w:t>800</w:t>
            </w:r>
          </w:p>
        </w:tc>
        <w:tc>
          <w:tcPr>
            <w:tcW w:w="1076" w:type="dxa"/>
            <w:gridSpan w:val="2"/>
            <w:noWrap w:val="0"/>
            <w:vAlign w:val="center"/>
          </w:tcPr>
          <w:p w14:paraId="7346580C">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800</w:t>
            </w:r>
          </w:p>
        </w:tc>
        <w:tc>
          <w:tcPr>
            <w:tcW w:w="1374" w:type="dxa"/>
            <w:gridSpan w:val="2"/>
            <w:noWrap w:val="0"/>
            <w:vAlign w:val="center"/>
          </w:tcPr>
          <w:p w14:paraId="74AF996C">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800</w:t>
            </w:r>
          </w:p>
        </w:tc>
        <w:tc>
          <w:tcPr>
            <w:tcW w:w="717" w:type="dxa"/>
            <w:gridSpan w:val="2"/>
            <w:noWrap w:val="0"/>
            <w:vAlign w:val="center"/>
          </w:tcPr>
          <w:p w14:paraId="44E1CCCA">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636" w:type="dxa"/>
            <w:gridSpan w:val="2"/>
            <w:noWrap w:val="0"/>
            <w:vAlign w:val="center"/>
          </w:tcPr>
          <w:p w14:paraId="23365CA2">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100%</w:t>
            </w:r>
          </w:p>
        </w:tc>
        <w:tc>
          <w:tcPr>
            <w:tcW w:w="1053" w:type="dxa"/>
            <w:noWrap w:val="0"/>
            <w:vAlign w:val="center"/>
          </w:tcPr>
          <w:p w14:paraId="6903AC52">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r>
      <w:tr w14:paraId="24D99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1379" w:type="dxa"/>
            <w:gridSpan w:val="2"/>
            <w:vMerge w:val="continue"/>
            <w:noWrap w:val="0"/>
            <w:vAlign w:val="center"/>
          </w:tcPr>
          <w:p w14:paraId="3681171D">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87" w:type="dxa"/>
            <w:gridSpan w:val="2"/>
            <w:noWrap w:val="0"/>
            <w:vAlign w:val="center"/>
          </w:tcPr>
          <w:p w14:paraId="72B7DA85">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其中：当年财政拨款</w:t>
            </w:r>
          </w:p>
        </w:tc>
        <w:tc>
          <w:tcPr>
            <w:tcW w:w="997" w:type="dxa"/>
            <w:noWrap w:val="0"/>
            <w:vAlign w:val="center"/>
          </w:tcPr>
          <w:p w14:paraId="24A78450">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1076" w:type="dxa"/>
            <w:gridSpan w:val="2"/>
            <w:noWrap w:val="0"/>
            <w:vAlign w:val="center"/>
          </w:tcPr>
          <w:p w14:paraId="7D05EA80">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1374" w:type="dxa"/>
            <w:gridSpan w:val="2"/>
            <w:noWrap w:val="0"/>
            <w:vAlign w:val="center"/>
          </w:tcPr>
          <w:p w14:paraId="5F6DB7A9">
            <w:pPr>
              <w:pageBreakBefore w:val="0"/>
              <w:wordWrap/>
              <w:overflowPunct/>
              <w:topLinePunct w:val="0"/>
              <w:bidi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717" w:type="dxa"/>
            <w:gridSpan w:val="2"/>
            <w:noWrap w:val="0"/>
            <w:vAlign w:val="center"/>
          </w:tcPr>
          <w:p w14:paraId="6D3B2E28">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c>
          <w:tcPr>
            <w:tcW w:w="636" w:type="dxa"/>
            <w:gridSpan w:val="2"/>
            <w:noWrap w:val="0"/>
            <w:vAlign w:val="center"/>
          </w:tcPr>
          <w:p w14:paraId="3F1DAA20">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53" w:type="dxa"/>
            <w:noWrap w:val="0"/>
            <w:vAlign w:val="center"/>
          </w:tcPr>
          <w:p w14:paraId="20E192D3">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r>
      <w:tr w14:paraId="31B35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1379" w:type="dxa"/>
            <w:gridSpan w:val="2"/>
            <w:vMerge w:val="continue"/>
            <w:noWrap w:val="0"/>
            <w:vAlign w:val="center"/>
          </w:tcPr>
          <w:p w14:paraId="1E253D41">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87" w:type="dxa"/>
            <w:gridSpan w:val="2"/>
            <w:noWrap w:val="0"/>
            <w:vAlign w:val="center"/>
          </w:tcPr>
          <w:p w14:paraId="599DD1E6">
            <w:pPr>
              <w:pageBreakBefore w:val="0"/>
              <w:wordWrap/>
              <w:overflowPunct/>
              <w:topLinePunct w:val="0"/>
              <w:bidi w:val="0"/>
              <w:spacing w:line="240" w:lineRule="exact"/>
              <w:ind w:firstLine="0" w:firstLineChars="0"/>
              <w:jc w:val="center"/>
              <w:rPr>
                <w:rFonts w:hint="eastAsia" w:ascii="宋体" w:hAnsi="宋体" w:eastAsia="宋体" w:cs="宋体"/>
                <w:spacing w:val="-3"/>
                <w:sz w:val="20"/>
                <w:szCs w:val="20"/>
                <w:lang w:eastAsia="zh-CN"/>
              </w:rPr>
            </w:pPr>
            <w:r>
              <w:rPr>
                <w:rFonts w:hint="eastAsia" w:ascii="宋体" w:hAnsi="宋体" w:eastAsia="宋体" w:cs="宋体"/>
                <w:spacing w:val="-3"/>
                <w:sz w:val="20"/>
                <w:szCs w:val="20"/>
              </w:rPr>
              <w:t>上年结转</w:t>
            </w:r>
          </w:p>
          <w:p w14:paraId="396BB9DA">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资</w:t>
            </w:r>
            <w:r>
              <w:rPr>
                <w:rFonts w:hint="eastAsia" w:ascii="宋体" w:hAnsi="宋体" w:eastAsia="宋体" w:cs="宋体"/>
                <w:spacing w:val="-3"/>
                <w:sz w:val="20"/>
                <w:szCs w:val="20"/>
                <w:lang w:eastAsia="zh-CN"/>
              </w:rPr>
              <w:t xml:space="preserve">  </w:t>
            </w:r>
            <w:r>
              <w:rPr>
                <w:rFonts w:hint="eastAsia" w:ascii="宋体" w:hAnsi="宋体" w:eastAsia="宋体" w:cs="宋体"/>
                <w:spacing w:val="-3"/>
                <w:sz w:val="20"/>
                <w:szCs w:val="20"/>
              </w:rPr>
              <w:t>金</w:t>
            </w:r>
          </w:p>
        </w:tc>
        <w:tc>
          <w:tcPr>
            <w:tcW w:w="997" w:type="dxa"/>
            <w:noWrap w:val="0"/>
            <w:vAlign w:val="center"/>
          </w:tcPr>
          <w:p w14:paraId="2425DC48">
            <w:pPr>
              <w:pageBreakBefore w:val="0"/>
              <w:wordWrap/>
              <w:overflowPunct/>
              <w:topLinePunct w:val="0"/>
              <w:bidi w:val="0"/>
              <w:spacing w:line="240" w:lineRule="exact"/>
              <w:ind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1076" w:type="dxa"/>
            <w:gridSpan w:val="2"/>
            <w:noWrap w:val="0"/>
            <w:vAlign w:val="center"/>
          </w:tcPr>
          <w:p w14:paraId="245A4644">
            <w:pPr>
              <w:pageBreakBefore w:val="0"/>
              <w:wordWrap/>
              <w:overflowPunct/>
              <w:topLinePunct w:val="0"/>
              <w:bidi w:val="0"/>
              <w:spacing w:line="240" w:lineRule="exact"/>
              <w:ind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1374" w:type="dxa"/>
            <w:gridSpan w:val="2"/>
            <w:noWrap w:val="0"/>
            <w:vAlign w:val="center"/>
          </w:tcPr>
          <w:p w14:paraId="0E545875">
            <w:pPr>
              <w:pageBreakBefore w:val="0"/>
              <w:wordWrap/>
              <w:overflowPunct/>
              <w:topLinePunct w:val="0"/>
              <w:bidi w:val="0"/>
              <w:spacing w:line="240" w:lineRule="exact"/>
              <w:ind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717" w:type="dxa"/>
            <w:gridSpan w:val="2"/>
            <w:noWrap w:val="0"/>
            <w:vAlign w:val="center"/>
          </w:tcPr>
          <w:p w14:paraId="2259C6FD">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c>
          <w:tcPr>
            <w:tcW w:w="636" w:type="dxa"/>
            <w:gridSpan w:val="2"/>
            <w:noWrap w:val="0"/>
            <w:vAlign w:val="center"/>
          </w:tcPr>
          <w:p w14:paraId="1FF7C1F0">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53" w:type="dxa"/>
            <w:noWrap w:val="0"/>
            <w:vAlign w:val="center"/>
          </w:tcPr>
          <w:p w14:paraId="46BF96BB">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r>
      <w:tr w14:paraId="57F00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1379" w:type="dxa"/>
            <w:gridSpan w:val="2"/>
            <w:vMerge w:val="continue"/>
            <w:noWrap w:val="0"/>
            <w:vAlign w:val="center"/>
          </w:tcPr>
          <w:p w14:paraId="65378693">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87" w:type="dxa"/>
            <w:gridSpan w:val="2"/>
            <w:noWrap w:val="0"/>
            <w:vAlign w:val="center"/>
          </w:tcPr>
          <w:p w14:paraId="14E07F49">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其他资金</w:t>
            </w:r>
          </w:p>
        </w:tc>
        <w:tc>
          <w:tcPr>
            <w:tcW w:w="997" w:type="dxa"/>
            <w:noWrap w:val="0"/>
            <w:vAlign w:val="center"/>
          </w:tcPr>
          <w:p w14:paraId="23FD9989">
            <w:pPr>
              <w:pageBreakBefore w:val="0"/>
              <w:wordWrap/>
              <w:overflowPunct/>
              <w:topLinePunct w:val="0"/>
              <w:bidi w:val="0"/>
              <w:spacing w:line="240" w:lineRule="exact"/>
              <w:ind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1076" w:type="dxa"/>
            <w:gridSpan w:val="2"/>
            <w:noWrap w:val="0"/>
            <w:vAlign w:val="center"/>
          </w:tcPr>
          <w:p w14:paraId="594DFC45">
            <w:pPr>
              <w:pageBreakBefore w:val="0"/>
              <w:wordWrap/>
              <w:overflowPunct/>
              <w:topLinePunct w:val="0"/>
              <w:bidi w:val="0"/>
              <w:spacing w:line="240" w:lineRule="exact"/>
              <w:ind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1374" w:type="dxa"/>
            <w:gridSpan w:val="2"/>
            <w:noWrap w:val="0"/>
            <w:vAlign w:val="center"/>
          </w:tcPr>
          <w:p w14:paraId="2D84E22A">
            <w:pPr>
              <w:pageBreakBefore w:val="0"/>
              <w:wordWrap/>
              <w:overflowPunct/>
              <w:topLinePunct w:val="0"/>
              <w:bidi w:val="0"/>
              <w:spacing w:line="240" w:lineRule="exact"/>
              <w:ind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717" w:type="dxa"/>
            <w:gridSpan w:val="2"/>
            <w:noWrap w:val="0"/>
            <w:vAlign w:val="center"/>
          </w:tcPr>
          <w:p w14:paraId="7ED31323">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c>
          <w:tcPr>
            <w:tcW w:w="636" w:type="dxa"/>
            <w:gridSpan w:val="2"/>
            <w:noWrap w:val="0"/>
            <w:vAlign w:val="center"/>
          </w:tcPr>
          <w:p w14:paraId="540E8940">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1053" w:type="dxa"/>
            <w:noWrap w:val="0"/>
            <w:vAlign w:val="center"/>
          </w:tcPr>
          <w:p w14:paraId="64035D8C">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position w:val="-3"/>
                <w:sz w:val="20"/>
                <w:szCs w:val="20"/>
              </w:rPr>
              <w:t>—</w:t>
            </w:r>
          </w:p>
        </w:tc>
      </w:tr>
      <w:tr w14:paraId="6B42A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630" w:type="dxa"/>
            <w:vMerge w:val="restart"/>
            <w:noWrap w:val="0"/>
            <w:vAlign w:val="center"/>
          </w:tcPr>
          <w:p w14:paraId="2C3AC859">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5"/>
                <w:sz w:val="20"/>
                <w:szCs w:val="20"/>
              </w:rPr>
              <w:t>年度</w:t>
            </w:r>
            <w:r>
              <w:rPr>
                <w:rFonts w:hint="eastAsia" w:ascii="宋体" w:hAnsi="宋体" w:eastAsia="宋体" w:cs="宋体"/>
                <w:spacing w:val="4"/>
                <w:sz w:val="20"/>
                <w:szCs w:val="20"/>
              </w:rPr>
              <w:t>总体目标</w:t>
            </w:r>
          </w:p>
        </w:tc>
        <w:tc>
          <w:tcPr>
            <w:tcW w:w="3909" w:type="dxa"/>
            <w:gridSpan w:val="6"/>
            <w:noWrap w:val="0"/>
            <w:vAlign w:val="center"/>
          </w:tcPr>
          <w:p w14:paraId="454B03BE">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预期目标</w:t>
            </w:r>
          </w:p>
        </w:tc>
        <w:tc>
          <w:tcPr>
            <w:tcW w:w="3780" w:type="dxa"/>
            <w:gridSpan w:val="7"/>
            <w:noWrap w:val="0"/>
            <w:vAlign w:val="center"/>
          </w:tcPr>
          <w:p w14:paraId="6D6EFFA4">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实际完成情况</w:t>
            </w:r>
          </w:p>
        </w:tc>
      </w:tr>
      <w:tr w14:paraId="121BB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3" w:hRule="atLeast"/>
        </w:trPr>
        <w:tc>
          <w:tcPr>
            <w:tcW w:w="630" w:type="dxa"/>
            <w:vMerge w:val="continue"/>
            <w:noWrap w:val="0"/>
            <w:vAlign w:val="center"/>
          </w:tcPr>
          <w:p w14:paraId="092101EE">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3909" w:type="dxa"/>
            <w:gridSpan w:val="6"/>
            <w:noWrap w:val="0"/>
            <w:vAlign w:val="center"/>
          </w:tcPr>
          <w:p w14:paraId="151808E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both"/>
              <w:textAlignment w:val="baseline"/>
              <w:rPr>
                <w:rFonts w:hint="eastAsia" w:ascii="宋体" w:hAnsi="宋体" w:eastAsia="宋体" w:cs="宋体"/>
                <w:sz w:val="20"/>
                <w:szCs w:val="20"/>
                <w:lang w:eastAsia="zh-CN"/>
              </w:rPr>
            </w:pPr>
            <w:r>
              <w:rPr>
                <w:rFonts w:hint="eastAsia" w:ascii="宋体" w:hAnsi="宋体" w:eastAsia="宋体" w:cs="宋体"/>
                <w:sz w:val="20"/>
                <w:szCs w:val="20"/>
              </w:rPr>
              <w:t>2023年新建基层医疗机构及能力提升项目完成改造装修施工、购置设施设备。</w:t>
            </w:r>
            <w:r>
              <w:rPr>
                <w:rFonts w:hint="eastAsia" w:ascii="宋体" w:hAnsi="宋体" w:eastAsia="宋体" w:cs="宋体"/>
                <w:sz w:val="20"/>
                <w:szCs w:val="20"/>
                <w:lang w:eastAsia="zh-CN"/>
              </w:rPr>
              <w:t>支付</w:t>
            </w:r>
            <w:r>
              <w:rPr>
                <w:rFonts w:hint="eastAsia" w:ascii="宋体" w:hAnsi="宋体" w:eastAsia="宋体" w:cs="宋体"/>
                <w:color w:val="auto"/>
                <w:kern w:val="2"/>
                <w:sz w:val="20"/>
                <w:szCs w:val="20"/>
                <w:lang w:val="en-US" w:eastAsia="zh-CN" w:bidi="ar-SA"/>
              </w:rPr>
              <w:t>小横路社区卫生服务中心业务用房改造及装饰装修工程、兰州新区秦川中心卫生院（小横路社区卫生服务中心）业务用房改造项目等历年基层医疗机构改扩建项目资金</w:t>
            </w:r>
            <w:r>
              <w:rPr>
                <w:rFonts w:hint="eastAsia" w:ascii="宋体" w:hAnsi="宋体" w:eastAsia="宋体" w:cs="宋体"/>
                <w:sz w:val="20"/>
                <w:szCs w:val="20"/>
                <w:lang w:eastAsia="zh-CN"/>
              </w:rPr>
              <w:t>。</w:t>
            </w:r>
          </w:p>
        </w:tc>
        <w:tc>
          <w:tcPr>
            <w:tcW w:w="3780" w:type="dxa"/>
            <w:gridSpan w:val="7"/>
            <w:noWrap w:val="0"/>
            <w:vAlign w:val="center"/>
          </w:tcPr>
          <w:p w14:paraId="787A088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both"/>
              <w:textAlignment w:val="baseline"/>
              <w:rPr>
                <w:rFonts w:hint="eastAsia" w:ascii="宋体" w:hAnsi="宋体" w:eastAsia="宋体" w:cs="宋体"/>
                <w:sz w:val="20"/>
                <w:szCs w:val="20"/>
                <w:lang w:eastAsia="zh-CN"/>
              </w:rPr>
            </w:pPr>
            <w:r>
              <w:rPr>
                <w:rFonts w:hint="eastAsia" w:ascii="宋体" w:hAnsi="宋体" w:eastAsia="宋体" w:cs="宋体"/>
                <w:sz w:val="20"/>
                <w:szCs w:val="20"/>
                <w:lang w:eastAsia="zh-CN"/>
              </w:rPr>
              <w:t>建成恒裕湖畔社区卫生服务站、上川镇卫生院提升改造项目</w:t>
            </w:r>
            <w:r>
              <w:rPr>
                <w:rFonts w:hint="eastAsia" w:ascii="宋体" w:hAnsi="宋体" w:eastAsia="宋体" w:cs="宋体"/>
                <w:sz w:val="20"/>
                <w:szCs w:val="20"/>
                <w:lang w:val="en-US" w:eastAsia="zh-CN"/>
              </w:rPr>
              <w:t>；完成新康村社区卫生服务中心设备采购工作；</w:t>
            </w:r>
            <w:r>
              <w:rPr>
                <w:rFonts w:hint="eastAsia" w:ascii="宋体" w:hAnsi="宋体" w:eastAsia="宋体" w:cs="宋体"/>
                <w:sz w:val="20"/>
                <w:szCs w:val="20"/>
                <w:lang w:eastAsia="zh-CN"/>
              </w:rPr>
              <w:t>支付</w:t>
            </w:r>
            <w:r>
              <w:rPr>
                <w:rFonts w:hint="eastAsia" w:ascii="宋体" w:hAnsi="宋体" w:eastAsia="宋体" w:cs="宋体"/>
                <w:color w:val="auto"/>
                <w:kern w:val="2"/>
                <w:sz w:val="20"/>
                <w:szCs w:val="20"/>
                <w:lang w:val="en-US" w:eastAsia="zh-CN" w:bidi="ar-SA"/>
              </w:rPr>
              <w:t>小横路社区卫生服务中心业务用房改造及装饰装修工程、兰州新区秦川中心卫生院（小横路社区卫生服务中心）业务用房改造项目、瑞岭名郡社区卫生服务站装修改造及设备购置、瑞岭锦绣社区卫生服务站装修改造及设备购置、栖霞社区卫生服务中心、瑞岭馨苑社区卫生服务站装修改造及设备购置等历年基层医疗机构改扩建项目资金</w:t>
            </w:r>
            <w:r>
              <w:rPr>
                <w:rFonts w:hint="eastAsia" w:ascii="宋体" w:hAnsi="宋体" w:eastAsia="宋体" w:cs="宋体"/>
                <w:sz w:val="20"/>
                <w:szCs w:val="20"/>
                <w:lang w:eastAsia="zh-CN"/>
              </w:rPr>
              <w:t>。</w:t>
            </w:r>
          </w:p>
        </w:tc>
      </w:tr>
      <w:tr w14:paraId="0E883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630" w:type="dxa"/>
            <w:vMerge w:val="restart"/>
            <w:noWrap w:val="0"/>
            <w:vAlign w:val="center"/>
          </w:tcPr>
          <w:p w14:paraId="6A3A2911">
            <w:pPr>
              <w:pageBreakBefore w:val="0"/>
              <w:wordWrap/>
              <w:overflowPunct/>
              <w:topLinePunct w:val="0"/>
              <w:bidi w:val="0"/>
              <w:spacing w:line="240" w:lineRule="exact"/>
              <w:ind w:left="113" w:right="113" w:firstLine="0" w:firstLineChars="0"/>
              <w:jc w:val="center"/>
              <w:rPr>
                <w:rFonts w:hint="eastAsia" w:ascii="宋体" w:hAnsi="宋体" w:eastAsia="宋体" w:cs="宋体"/>
                <w:sz w:val="20"/>
                <w:szCs w:val="20"/>
              </w:rPr>
            </w:pPr>
            <w:r>
              <w:rPr>
                <w:rFonts w:hint="eastAsia" w:ascii="宋体" w:hAnsi="宋体" w:eastAsia="宋体" w:cs="宋体"/>
                <w:sz w:val="20"/>
                <w:szCs w:val="20"/>
              </w:rPr>
              <w:t>绩</w:t>
            </w:r>
            <w:r>
              <w:rPr>
                <w:rFonts w:hint="eastAsia" w:ascii="宋体" w:hAnsi="宋体" w:eastAsia="宋体" w:cs="宋体"/>
                <w:sz w:val="20"/>
                <w:szCs w:val="20"/>
                <w:lang w:val="en-US" w:eastAsia="zh-CN"/>
              </w:rPr>
              <w:t xml:space="preserve">  </w:t>
            </w:r>
            <w:r>
              <w:rPr>
                <w:rFonts w:hint="eastAsia" w:ascii="宋体" w:hAnsi="宋体" w:eastAsia="宋体" w:cs="宋体"/>
                <w:spacing w:val="-1"/>
                <w:sz w:val="20"/>
                <w:szCs w:val="20"/>
              </w:rPr>
              <w:t>效</w:t>
            </w:r>
            <w:r>
              <w:rPr>
                <w:rFonts w:hint="eastAsia" w:ascii="宋体" w:hAnsi="宋体" w:eastAsia="宋体" w:cs="宋体"/>
                <w:spacing w:val="-1"/>
                <w:sz w:val="20"/>
                <w:szCs w:val="20"/>
                <w:lang w:val="en-US" w:eastAsia="zh-CN"/>
              </w:rPr>
              <w:t xml:space="preserve">  </w:t>
            </w:r>
            <w:r>
              <w:rPr>
                <w:rFonts w:hint="eastAsia" w:ascii="宋体" w:hAnsi="宋体" w:eastAsia="宋体" w:cs="宋体"/>
                <w:spacing w:val="-1"/>
                <w:sz w:val="20"/>
                <w:szCs w:val="20"/>
              </w:rPr>
              <w:t>指</w:t>
            </w:r>
            <w:r>
              <w:rPr>
                <w:rFonts w:hint="eastAsia" w:ascii="宋体" w:hAnsi="宋体" w:eastAsia="宋体" w:cs="宋体"/>
                <w:spacing w:val="-1"/>
                <w:sz w:val="20"/>
                <w:szCs w:val="20"/>
                <w:lang w:val="en-US" w:eastAsia="zh-CN"/>
              </w:rPr>
              <w:t xml:space="preserve">  </w:t>
            </w:r>
            <w:r>
              <w:rPr>
                <w:rFonts w:hint="eastAsia" w:ascii="宋体" w:hAnsi="宋体" w:eastAsia="宋体" w:cs="宋体"/>
                <w:spacing w:val="-1"/>
                <w:sz w:val="20"/>
                <w:szCs w:val="20"/>
              </w:rPr>
              <w:t>标</w:t>
            </w:r>
          </w:p>
        </w:tc>
        <w:tc>
          <w:tcPr>
            <w:tcW w:w="749" w:type="dxa"/>
            <w:noWrap w:val="0"/>
            <w:vAlign w:val="center"/>
          </w:tcPr>
          <w:p w14:paraId="5AFDD5FD">
            <w:pPr>
              <w:pageBreakBefore w:val="0"/>
              <w:wordWrap/>
              <w:overflowPunct/>
              <w:topLinePunct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一级</w:t>
            </w:r>
          </w:p>
          <w:p w14:paraId="4E116B87">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指标</w:t>
            </w:r>
          </w:p>
        </w:tc>
        <w:tc>
          <w:tcPr>
            <w:tcW w:w="828" w:type="dxa"/>
            <w:noWrap w:val="0"/>
            <w:vAlign w:val="center"/>
          </w:tcPr>
          <w:p w14:paraId="3D0C0CFF">
            <w:pPr>
              <w:pageBreakBefore w:val="0"/>
              <w:wordWrap/>
              <w:overflowPunct/>
              <w:topLinePunct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二级</w:t>
            </w:r>
          </w:p>
          <w:p w14:paraId="67BAAD0C">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指标</w:t>
            </w:r>
          </w:p>
        </w:tc>
        <w:tc>
          <w:tcPr>
            <w:tcW w:w="1449" w:type="dxa"/>
            <w:gridSpan w:val="3"/>
            <w:noWrap w:val="0"/>
            <w:vAlign w:val="center"/>
          </w:tcPr>
          <w:p w14:paraId="7C3E9F19">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三级指标</w:t>
            </w:r>
          </w:p>
        </w:tc>
        <w:tc>
          <w:tcPr>
            <w:tcW w:w="883" w:type="dxa"/>
            <w:noWrap w:val="0"/>
            <w:vAlign w:val="center"/>
          </w:tcPr>
          <w:p w14:paraId="725E0D8F">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年度指标值</w:t>
            </w:r>
          </w:p>
        </w:tc>
        <w:tc>
          <w:tcPr>
            <w:tcW w:w="814" w:type="dxa"/>
            <w:noWrap w:val="0"/>
            <w:vAlign w:val="center"/>
          </w:tcPr>
          <w:p w14:paraId="7F3EF039">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实际完成值</w:t>
            </w:r>
          </w:p>
        </w:tc>
        <w:tc>
          <w:tcPr>
            <w:tcW w:w="628" w:type="dxa"/>
            <w:gridSpan w:val="2"/>
            <w:noWrap w:val="0"/>
            <w:vAlign w:val="center"/>
          </w:tcPr>
          <w:p w14:paraId="062C7A1C">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分值</w:t>
            </w:r>
          </w:p>
        </w:tc>
        <w:tc>
          <w:tcPr>
            <w:tcW w:w="725" w:type="dxa"/>
            <w:gridSpan w:val="2"/>
            <w:noWrap w:val="0"/>
            <w:vAlign w:val="center"/>
          </w:tcPr>
          <w:p w14:paraId="53CFCE6C">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得分</w:t>
            </w:r>
          </w:p>
        </w:tc>
        <w:tc>
          <w:tcPr>
            <w:tcW w:w="1613" w:type="dxa"/>
            <w:gridSpan w:val="2"/>
            <w:noWrap w:val="0"/>
            <w:vAlign w:val="center"/>
          </w:tcPr>
          <w:p w14:paraId="587D4366">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2"/>
                <w:sz w:val="20"/>
                <w:szCs w:val="20"/>
              </w:rPr>
              <w:t>偏差原因分析及改进措施</w:t>
            </w:r>
          </w:p>
        </w:tc>
      </w:tr>
      <w:tr w14:paraId="07FC3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630" w:type="dxa"/>
            <w:vMerge w:val="continue"/>
            <w:noWrap w:val="0"/>
            <w:textDirection w:val="tbRlV"/>
            <w:vAlign w:val="center"/>
          </w:tcPr>
          <w:p w14:paraId="3BCF55B9">
            <w:pPr>
              <w:pageBreakBefore w:val="0"/>
              <w:wordWrap/>
              <w:overflowPunct/>
              <w:topLinePunct w:val="0"/>
              <w:bidi w:val="0"/>
              <w:spacing w:line="240" w:lineRule="exact"/>
              <w:ind w:left="113" w:right="113" w:firstLine="0" w:firstLineChars="0"/>
              <w:jc w:val="center"/>
              <w:rPr>
                <w:rFonts w:hint="eastAsia" w:ascii="宋体" w:hAnsi="宋体" w:eastAsia="宋体" w:cs="宋体"/>
                <w:sz w:val="20"/>
                <w:szCs w:val="20"/>
              </w:rPr>
            </w:pPr>
          </w:p>
        </w:tc>
        <w:tc>
          <w:tcPr>
            <w:tcW w:w="749" w:type="dxa"/>
            <w:vMerge w:val="restart"/>
            <w:noWrap w:val="0"/>
            <w:vAlign w:val="center"/>
          </w:tcPr>
          <w:p w14:paraId="26A0989F">
            <w:pPr>
              <w:pageBreakBefore w:val="0"/>
              <w:wordWrap/>
              <w:overflowPunct/>
              <w:topLinePunct w:val="0"/>
              <w:bidi w:val="0"/>
              <w:spacing w:line="240" w:lineRule="exact"/>
              <w:ind w:firstLine="0" w:firstLineChars="0"/>
              <w:jc w:val="center"/>
              <w:rPr>
                <w:rFonts w:hint="eastAsia" w:ascii="宋体" w:hAnsi="宋体" w:eastAsia="宋体" w:cs="宋体"/>
                <w:spacing w:val="-3"/>
                <w:sz w:val="20"/>
                <w:szCs w:val="20"/>
              </w:rPr>
            </w:pPr>
            <w:r>
              <w:rPr>
                <w:rFonts w:hint="eastAsia" w:ascii="宋体" w:hAnsi="宋体" w:eastAsia="宋体" w:cs="宋体"/>
                <w:spacing w:val="-3"/>
                <w:sz w:val="20"/>
                <w:szCs w:val="20"/>
              </w:rPr>
              <w:t>产出</w:t>
            </w:r>
          </w:p>
          <w:p w14:paraId="45C275D8">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指标</w:t>
            </w:r>
          </w:p>
        </w:tc>
        <w:tc>
          <w:tcPr>
            <w:tcW w:w="828" w:type="dxa"/>
            <w:vMerge w:val="restart"/>
            <w:noWrap w:val="0"/>
            <w:vAlign w:val="center"/>
          </w:tcPr>
          <w:p w14:paraId="0A1F6DB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数量指标</w:t>
            </w:r>
          </w:p>
        </w:tc>
        <w:tc>
          <w:tcPr>
            <w:tcW w:w="1449" w:type="dxa"/>
            <w:gridSpan w:val="3"/>
            <w:noWrap w:val="0"/>
            <w:vAlign w:val="center"/>
          </w:tcPr>
          <w:p w14:paraId="5C904B0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改造装修施工完工率</w:t>
            </w:r>
          </w:p>
        </w:tc>
        <w:tc>
          <w:tcPr>
            <w:tcW w:w="883" w:type="dxa"/>
            <w:noWrap w:val="0"/>
            <w:vAlign w:val="center"/>
          </w:tcPr>
          <w:p w14:paraId="2559E0C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100%</w:t>
            </w:r>
          </w:p>
        </w:tc>
        <w:tc>
          <w:tcPr>
            <w:tcW w:w="814" w:type="dxa"/>
            <w:noWrap w:val="0"/>
            <w:vAlign w:val="center"/>
          </w:tcPr>
          <w:p w14:paraId="1DA855D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100%</w:t>
            </w:r>
          </w:p>
        </w:tc>
        <w:tc>
          <w:tcPr>
            <w:tcW w:w="628" w:type="dxa"/>
            <w:gridSpan w:val="2"/>
            <w:noWrap w:val="0"/>
            <w:vAlign w:val="center"/>
          </w:tcPr>
          <w:p w14:paraId="069A871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12</w:t>
            </w:r>
          </w:p>
        </w:tc>
        <w:tc>
          <w:tcPr>
            <w:tcW w:w="725" w:type="dxa"/>
            <w:gridSpan w:val="2"/>
            <w:noWrap w:val="0"/>
            <w:vAlign w:val="center"/>
          </w:tcPr>
          <w:p w14:paraId="594902F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12</w:t>
            </w:r>
          </w:p>
        </w:tc>
        <w:tc>
          <w:tcPr>
            <w:tcW w:w="1613" w:type="dxa"/>
            <w:gridSpan w:val="2"/>
            <w:noWrap w:val="0"/>
            <w:vAlign w:val="center"/>
          </w:tcPr>
          <w:p w14:paraId="5C119FD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072CB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7" w:hRule="atLeast"/>
        </w:trPr>
        <w:tc>
          <w:tcPr>
            <w:tcW w:w="630" w:type="dxa"/>
            <w:vMerge w:val="continue"/>
            <w:noWrap w:val="0"/>
            <w:vAlign w:val="center"/>
          </w:tcPr>
          <w:p w14:paraId="19341D42">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4FCB11EF">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vMerge w:val="continue"/>
            <w:noWrap w:val="0"/>
            <w:vAlign w:val="center"/>
          </w:tcPr>
          <w:p w14:paraId="6590908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i w:val="0"/>
                <w:snapToGrid w:val="0"/>
                <w:color w:val="000000"/>
                <w:kern w:val="0"/>
                <w:sz w:val="20"/>
                <w:szCs w:val="20"/>
                <w:u w:val="none"/>
                <w:lang w:val="en-US" w:eastAsia="zh-CN" w:bidi="ar"/>
              </w:rPr>
            </w:pPr>
          </w:p>
        </w:tc>
        <w:tc>
          <w:tcPr>
            <w:tcW w:w="1449" w:type="dxa"/>
            <w:gridSpan w:val="3"/>
            <w:noWrap w:val="0"/>
            <w:vAlign w:val="center"/>
          </w:tcPr>
          <w:p w14:paraId="57E8797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购置设备完成率</w:t>
            </w:r>
          </w:p>
        </w:tc>
        <w:tc>
          <w:tcPr>
            <w:tcW w:w="883" w:type="dxa"/>
            <w:noWrap w:val="0"/>
            <w:vAlign w:val="center"/>
          </w:tcPr>
          <w:p w14:paraId="56CEE4F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100%</w:t>
            </w:r>
          </w:p>
        </w:tc>
        <w:tc>
          <w:tcPr>
            <w:tcW w:w="814" w:type="dxa"/>
            <w:noWrap w:val="0"/>
            <w:vAlign w:val="center"/>
          </w:tcPr>
          <w:p w14:paraId="5FD1B24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100%</w:t>
            </w:r>
          </w:p>
        </w:tc>
        <w:tc>
          <w:tcPr>
            <w:tcW w:w="628" w:type="dxa"/>
            <w:gridSpan w:val="2"/>
            <w:noWrap w:val="0"/>
            <w:vAlign w:val="center"/>
          </w:tcPr>
          <w:p w14:paraId="599E2DF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725" w:type="dxa"/>
            <w:gridSpan w:val="2"/>
            <w:noWrap w:val="0"/>
            <w:vAlign w:val="center"/>
          </w:tcPr>
          <w:p w14:paraId="2C5C801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1613" w:type="dxa"/>
            <w:gridSpan w:val="2"/>
            <w:noWrap w:val="0"/>
            <w:vAlign w:val="center"/>
          </w:tcPr>
          <w:p w14:paraId="1B46584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4572D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2" w:hRule="atLeast"/>
        </w:trPr>
        <w:tc>
          <w:tcPr>
            <w:tcW w:w="630" w:type="dxa"/>
            <w:vMerge w:val="continue"/>
            <w:noWrap w:val="0"/>
            <w:vAlign w:val="center"/>
          </w:tcPr>
          <w:p w14:paraId="58E17382">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1CAE0507">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vMerge w:val="restart"/>
            <w:noWrap w:val="0"/>
            <w:vAlign w:val="center"/>
          </w:tcPr>
          <w:p w14:paraId="3E306F7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质量指标</w:t>
            </w:r>
          </w:p>
        </w:tc>
        <w:tc>
          <w:tcPr>
            <w:tcW w:w="1449" w:type="dxa"/>
            <w:gridSpan w:val="3"/>
            <w:noWrap w:val="0"/>
            <w:vAlign w:val="center"/>
          </w:tcPr>
          <w:p w14:paraId="593D324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质量验收合格率</w:t>
            </w:r>
          </w:p>
        </w:tc>
        <w:tc>
          <w:tcPr>
            <w:tcW w:w="883" w:type="dxa"/>
            <w:noWrap w:val="0"/>
            <w:vAlign w:val="center"/>
          </w:tcPr>
          <w:p w14:paraId="7A4243B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0"/>
                <w:szCs w:val="20"/>
              </w:rPr>
            </w:pPr>
            <w:r>
              <w:rPr>
                <w:rFonts w:hint="eastAsia" w:ascii="宋体" w:hAnsi="宋体" w:eastAsia="宋体" w:cs="宋体"/>
                <w:sz w:val="20"/>
                <w:szCs w:val="20"/>
              </w:rPr>
              <w:t>100%</w:t>
            </w:r>
          </w:p>
        </w:tc>
        <w:tc>
          <w:tcPr>
            <w:tcW w:w="814" w:type="dxa"/>
            <w:noWrap w:val="0"/>
            <w:vAlign w:val="center"/>
          </w:tcPr>
          <w:p w14:paraId="124653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100%</w:t>
            </w:r>
          </w:p>
        </w:tc>
        <w:tc>
          <w:tcPr>
            <w:tcW w:w="628" w:type="dxa"/>
            <w:gridSpan w:val="2"/>
            <w:noWrap w:val="0"/>
            <w:vAlign w:val="center"/>
          </w:tcPr>
          <w:p w14:paraId="5AE143A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napToGrid w:val="0"/>
                <w:color w:val="000000"/>
                <w:kern w:val="0"/>
                <w:sz w:val="20"/>
                <w:szCs w:val="20"/>
                <w:lang w:val="en-US" w:eastAsia="zh-CN"/>
              </w:rPr>
            </w:pPr>
            <w:r>
              <w:rPr>
                <w:rFonts w:hint="eastAsia" w:ascii="宋体" w:hAnsi="宋体" w:eastAsia="宋体" w:cs="宋体"/>
                <w:snapToGrid w:val="0"/>
                <w:color w:val="000000"/>
                <w:kern w:val="0"/>
                <w:sz w:val="20"/>
                <w:szCs w:val="20"/>
                <w:lang w:val="en-US" w:eastAsia="zh-CN"/>
              </w:rPr>
              <w:t>10</w:t>
            </w:r>
          </w:p>
        </w:tc>
        <w:tc>
          <w:tcPr>
            <w:tcW w:w="725" w:type="dxa"/>
            <w:gridSpan w:val="2"/>
            <w:noWrap w:val="0"/>
            <w:vAlign w:val="center"/>
          </w:tcPr>
          <w:p w14:paraId="21C6F74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1613" w:type="dxa"/>
            <w:gridSpan w:val="2"/>
            <w:noWrap w:val="0"/>
            <w:vAlign w:val="center"/>
          </w:tcPr>
          <w:p w14:paraId="7FE204B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72425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630" w:type="dxa"/>
            <w:vMerge w:val="continue"/>
            <w:noWrap w:val="0"/>
            <w:vAlign w:val="center"/>
          </w:tcPr>
          <w:p w14:paraId="7E007242">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2954E64C">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vMerge w:val="continue"/>
            <w:noWrap w:val="0"/>
            <w:vAlign w:val="center"/>
          </w:tcPr>
          <w:p w14:paraId="42227A0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i w:val="0"/>
                <w:snapToGrid w:val="0"/>
                <w:color w:val="000000"/>
                <w:kern w:val="0"/>
                <w:sz w:val="20"/>
                <w:szCs w:val="20"/>
                <w:u w:val="none"/>
                <w:lang w:val="en-US" w:eastAsia="zh-CN" w:bidi="ar"/>
              </w:rPr>
            </w:pPr>
          </w:p>
        </w:tc>
        <w:tc>
          <w:tcPr>
            <w:tcW w:w="1449" w:type="dxa"/>
            <w:gridSpan w:val="3"/>
            <w:noWrap w:val="0"/>
            <w:vAlign w:val="center"/>
          </w:tcPr>
          <w:p w14:paraId="483BA9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设备正常使用</w:t>
            </w:r>
          </w:p>
        </w:tc>
        <w:tc>
          <w:tcPr>
            <w:tcW w:w="883" w:type="dxa"/>
            <w:noWrap w:val="0"/>
            <w:vAlign w:val="center"/>
          </w:tcPr>
          <w:p w14:paraId="3F72814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正常使用</w:t>
            </w:r>
          </w:p>
        </w:tc>
        <w:tc>
          <w:tcPr>
            <w:tcW w:w="814" w:type="dxa"/>
            <w:noWrap w:val="0"/>
            <w:vAlign w:val="center"/>
          </w:tcPr>
          <w:p w14:paraId="7B7C357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rPr>
              <w:t>正常使用</w:t>
            </w:r>
          </w:p>
        </w:tc>
        <w:tc>
          <w:tcPr>
            <w:tcW w:w="628" w:type="dxa"/>
            <w:gridSpan w:val="2"/>
            <w:noWrap w:val="0"/>
            <w:vAlign w:val="center"/>
          </w:tcPr>
          <w:p w14:paraId="70E5FB84">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725" w:type="dxa"/>
            <w:gridSpan w:val="2"/>
            <w:noWrap w:val="0"/>
            <w:vAlign w:val="center"/>
          </w:tcPr>
          <w:p w14:paraId="0B8883A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1613" w:type="dxa"/>
            <w:gridSpan w:val="2"/>
            <w:noWrap w:val="0"/>
            <w:vAlign w:val="center"/>
          </w:tcPr>
          <w:p w14:paraId="649335DA">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780F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630" w:type="dxa"/>
            <w:vMerge w:val="continue"/>
            <w:noWrap w:val="0"/>
            <w:vAlign w:val="center"/>
          </w:tcPr>
          <w:p w14:paraId="51E371FB">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08014114">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noWrap w:val="0"/>
            <w:vAlign w:val="center"/>
          </w:tcPr>
          <w:p w14:paraId="0BFB1AA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时效指标</w:t>
            </w:r>
          </w:p>
        </w:tc>
        <w:tc>
          <w:tcPr>
            <w:tcW w:w="1449" w:type="dxa"/>
            <w:gridSpan w:val="3"/>
            <w:noWrap w:val="0"/>
            <w:vAlign w:val="center"/>
          </w:tcPr>
          <w:p w14:paraId="14AF8E1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项目完成及时性</w:t>
            </w:r>
          </w:p>
        </w:tc>
        <w:tc>
          <w:tcPr>
            <w:tcW w:w="883" w:type="dxa"/>
            <w:noWrap w:val="0"/>
            <w:vAlign w:val="center"/>
          </w:tcPr>
          <w:p w14:paraId="6AA7D9C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及时</w:t>
            </w:r>
          </w:p>
        </w:tc>
        <w:tc>
          <w:tcPr>
            <w:tcW w:w="814" w:type="dxa"/>
            <w:noWrap w:val="0"/>
            <w:vAlign w:val="center"/>
          </w:tcPr>
          <w:p w14:paraId="6CBAABC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rPr>
              <w:t>及时</w:t>
            </w:r>
          </w:p>
        </w:tc>
        <w:tc>
          <w:tcPr>
            <w:tcW w:w="628" w:type="dxa"/>
            <w:gridSpan w:val="2"/>
            <w:noWrap w:val="0"/>
            <w:vAlign w:val="center"/>
          </w:tcPr>
          <w:p w14:paraId="789E5E9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25" w:type="dxa"/>
            <w:gridSpan w:val="2"/>
            <w:noWrap w:val="0"/>
            <w:vAlign w:val="center"/>
          </w:tcPr>
          <w:p w14:paraId="21CE4A9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13" w:type="dxa"/>
            <w:gridSpan w:val="2"/>
            <w:noWrap w:val="0"/>
            <w:vAlign w:val="center"/>
          </w:tcPr>
          <w:p w14:paraId="3608BAE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7B69D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630" w:type="dxa"/>
            <w:vMerge w:val="continue"/>
            <w:noWrap w:val="0"/>
            <w:vAlign w:val="center"/>
          </w:tcPr>
          <w:p w14:paraId="5DF850F7">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7C909D8D">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noWrap w:val="0"/>
            <w:vAlign w:val="center"/>
          </w:tcPr>
          <w:p w14:paraId="0585B1A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成本指标</w:t>
            </w:r>
          </w:p>
        </w:tc>
        <w:tc>
          <w:tcPr>
            <w:tcW w:w="1449" w:type="dxa"/>
            <w:gridSpan w:val="3"/>
            <w:noWrap w:val="0"/>
            <w:vAlign w:val="center"/>
          </w:tcPr>
          <w:p w14:paraId="6EDE90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实际成本超概（预）算比率</w:t>
            </w:r>
          </w:p>
        </w:tc>
        <w:tc>
          <w:tcPr>
            <w:tcW w:w="883" w:type="dxa"/>
            <w:noWrap w:val="0"/>
            <w:vAlign w:val="center"/>
          </w:tcPr>
          <w:p w14:paraId="2B601CB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&lt;10%</w:t>
            </w:r>
          </w:p>
        </w:tc>
        <w:tc>
          <w:tcPr>
            <w:tcW w:w="814" w:type="dxa"/>
            <w:noWrap w:val="0"/>
            <w:vAlign w:val="center"/>
          </w:tcPr>
          <w:p w14:paraId="1B6399B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000000"/>
                <w:kern w:val="0"/>
                <w:sz w:val="20"/>
                <w:szCs w:val="20"/>
                <w:u w:val="none"/>
                <w:lang w:val="en-US" w:eastAsia="zh-CN" w:bidi="ar"/>
              </w:rPr>
            </w:pPr>
          </w:p>
          <w:p w14:paraId="7D59279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&lt;10%</w:t>
            </w:r>
          </w:p>
        </w:tc>
        <w:tc>
          <w:tcPr>
            <w:tcW w:w="628" w:type="dxa"/>
            <w:gridSpan w:val="2"/>
            <w:noWrap w:val="0"/>
            <w:vAlign w:val="center"/>
          </w:tcPr>
          <w:p w14:paraId="3D3B4EB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default"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10</w:t>
            </w:r>
          </w:p>
        </w:tc>
        <w:tc>
          <w:tcPr>
            <w:tcW w:w="725" w:type="dxa"/>
            <w:gridSpan w:val="2"/>
            <w:noWrap w:val="0"/>
            <w:vAlign w:val="center"/>
          </w:tcPr>
          <w:p w14:paraId="4C43A35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1613" w:type="dxa"/>
            <w:gridSpan w:val="2"/>
            <w:noWrap w:val="0"/>
            <w:vAlign w:val="center"/>
          </w:tcPr>
          <w:p w14:paraId="0A90B96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7EF02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630" w:type="dxa"/>
            <w:vMerge w:val="continue"/>
            <w:noWrap w:val="0"/>
            <w:textDirection w:val="tbRlV"/>
            <w:vAlign w:val="center"/>
          </w:tcPr>
          <w:p w14:paraId="2CD2464A">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restart"/>
            <w:noWrap w:val="0"/>
            <w:vAlign w:val="center"/>
          </w:tcPr>
          <w:p w14:paraId="3BFC59EF">
            <w:pPr>
              <w:pageBreakBefore w:val="0"/>
              <w:wordWrap/>
              <w:overflowPunct/>
              <w:topLinePunct w:val="0"/>
              <w:bidi w:val="0"/>
              <w:spacing w:line="240" w:lineRule="exact"/>
              <w:ind w:firstLine="0" w:firstLineChars="0"/>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效益</w:t>
            </w:r>
            <w:r>
              <w:rPr>
                <w:rFonts w:hint="eastAsia" w:ascii="宋体" w:hAnsi="宋体" w:eastAsia="宋体" w:cs="宋体"/>
                <w:sz w:val="20"/>
                <w:szCs w:val="20"/>
                <w:lang w:val="en-US" w:eastAsia="zh-CN"/>
              </w:rPr>
              <w:t xml:space="preserve">  </w:t>
            </w:r>
            <w:r>
              <w:rPr>
                <w:rFonts w:hint="eastAsia" w:ascii="宋体" w:hAnsi="宋体" w:eastAsia="宋体" w:cs="宋体"/>
                <w:sz w:val="20"/>
                <w:szCs w:val="20"/>
                <w:lang w:eastAsia="zh-CN"/>
              </w:rPr>
              <w:t>指标</w:t>
            </w:r>
          </w:p>
        </w:tc>
        <w:tc>
          <w:tcPr>
            <w:tcW w:w="828" w:type="dxa"/>
            <w:vMerge w:val="restart"/>
            <w:noWrap w:val="0"/>
            <w:vAlign w:val="center"/>
          </w:tcPr>
          <w:p w14:paraId="149F869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社会效益</w:t>
            </w:r>
          </w:p>
        </w:tc>
        <w:tc>
          <w:tcPr>
            <w:tcW w:w="1449" w:type="dxa"/>
            <w:gridSpan w:val="3"/>
            <w:noWrap w:val="0"/>
            <w:vAlign w:val="center"/>
          </w:tcPr>
          <w:p w14:paraId="25F9B2A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提供基本公共卫生服务</w:t>
            </w:r>
          </w:p>
        </w:tc>
        <w:tc>
          <w:tcPr>
            <w:tcW w:w="883" w:type="dxa"/>
            <w:noWrap w:val="0"/>
            <w:vAlign w:val="center"/>
          </w:tcPr>
          <w:p w14:paraId="3AD8C1F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提供</w:t>
            </w:r>
          </w:p>
        </w:tc>
        <w:tc>
          <w:tcPr>
            <w:tcW w:w="814" w:type="dxa"/>
            <w:noWrap w:val="0"/>
            <w:vAlign w:val="center"/>
          </w:tcPr>
          <w:p w14:paraId="4150143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rPr>
              <w:t>提供</w:t>
            </w:r>
          </w:p>
        </w:tc>
        <w:tc>
          <w:tcPr>
            <w:tcW w:w="628" w:type="dxa"/>
            <w:gridSpan w:val="2"/>
            <w:noWrap w:val="0"/>
            <w:vAlign w:val="center"/>
          </w:tcPr>
          <w:p w14:paraId="6A29F83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25" w:type="dxa"/>
            <w:gridSpan w:val="2"/>
            <w:noWrap w:val="0"/>
            <w:vAlign w:val="center"/>
          </w:tcPr>
          <w:p w14:paraId="2D85945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13" w:type="dxa"/>
            <w:gridSpan w:val="2"/>
            <w:noWrap w:val="0"/>
            <w:vAlign w:val="center"/>
          </w:tcPr>
          <w:p w14:paraId="6924ED9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31B4F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630" w:type="dxa"/>
            <w:vMerge w:val="continue"/>
            <w:noWrap w:val="0"/>
            <w:textDirection w:val="tbRlV"/>
            <w:vAlign w:val="center"/>
          </w:tcPr>
          <w:p w14:paraId="5D647206">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687683AE">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vMerge w:val="continue"/>
            <w:noWrap w:val="0"/>
            <w:vAlign w:val="center"/>
          </w:tcPr>
          <w:p w14:paraId="7E691645">
            <w:pPr>
              <w:keepNext w:val="0"/>
              <w:keepLines w:val="0"/>
              <w:pageBreakBefore w:val="0"/>
              <w:widowControl/>
              <w:kinsoku w:val="0"/>
              <w:wordWrap/>
              <w:overflowPunct/>
              <w:topLinePunct w:val="0"/>
              <w:autoSpaceDE w:val="0"/>
              <w:autoSpaceDN w:val="0"/>
              <w:bidi w:val="0"/>
              <w:adjustRightInd w:val="0"/>
              <w:snapToGrid w:val="0"/>
              <w:spacing w:line="240" w:lineRule="exact"/>
              <w:jc w:val="both"/>
              <w:rPr>
                <w:rFonts w:hint="eastAsia" w:ascii="宋体" w:hAnsi="宋体" w:eastAsia="宋体" w:cs="宋体"/>
                <w:sz w:val="20"/>
                <w:szCs w:val="20"/>
              </w:rPr>
            </w:pPr>
          </w:p>
        </w:tc>
        <w:tc>
          <w:tcPr>
            <w:tcW w:w="1449" w:type="dxa"/>
            <w:gridSpan w:val="3"/>
            <w:noWrap w:val="0"/>
            <w:vAlign w:val="center"/>
          </w:tcPr>
          <w:p w14:paraId="59A3FE1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完善和规范新区社区卫生服务功能</w:t>
            </w:r>
          </w:p>
        </w:tc>
        <w:tc>
          <w:tcPr>
            <w:tcW w:w="883" w:type="dxa"/>
            <w:noWrap w:val="0"/>
            <w:vAlign w:val="center"/>
          </w:tcPr>
          <w:p w14:paraId="27D4D16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完善</w:t>
            </w:r>
          </w:p>
        </w:tc>
        <w:tc>
          <w:tcPr>
            <w:tcW w:w="814" w:type="dxa"/>
            <w:noWrap w:val="0"/>
            <w:vAlign w:val="center"/>
          </w:tcPr>
          <w:p w14:paraId="63E463EC">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rPr>
              <w:t>完善</w:t>
            </w:r>
          </w:p>
        </w:tc>
        <w:tc>
          <w:tcPr>
            <w:tcW w:w="628" w:type="dxa"/>
            <w:gridSpan w:val="2"/>
            <w:noWrap w:val="0"/>
            <w:vAlign w:val="center"/>
          </w:tcPr>
          <w:p w14:paraId="1C971B25">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725" w:type="dxa"/>
            <w:gridSpan w:val="2"/>
            <w:noWrap w:val="0"/>
            <w:vAlign w:val="center"/>
          </w:tcPr>
          <w:p w14:paraId="0069E62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lang w:val="en-US" w:eastAsia="zh-CN"/>
              </w:rPr>
              <w:t>7</w:t>
            </w:r>
          </w:p>
        </w:tc>
        <w:tc>
          <w:tcPr>
            <w:tcW w:w="1613" w:type="dxa"/>
            <w:gridSpan w:val="2"/>
            <w:noWrap w:val="0"/>
            <w:vAlign w:val="center"/>
          </w:tcPr>
          <w:p w14:paraId="50010DD2">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45F7E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2" w:hRule="atLeast"/>
        </w:trPr>
        <w:tc>
          <w:tcPr>
            <w:tcW w:w="630" w:type="dxa"/>
            <w:vMerge w:val="continue"/>
            <w:noWrap w:val="0"/>
            <w:textDirection w:val="tbRlV"/>
            <w:vAlign w:val="center"/>
          </w:tcPr>
          <w:p w14:paraId="72D79B2E">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1867DD5B">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noWrap w:val="0"/>
            <w:vAlign w:val="center"/>
          </w:tcPr>
          <w:p w14:paraId="6EFC0E72">
            <w:pPr>
              <w:keepNext w:val="0"/>
              <w:keepLines w:val="0"/>
              <w:pageBreakBefore w:val="0"/>
              <w:widowControl/>
              <w:kinsoku w:val="0"/>
              <w:wordWrap/>
              <w:overflowPunct/>
              <w:topLinePunct w:val="0"/>
              <w:autoSpaceDE w:val="0"/>
              <w:autoSpaceDN w:val="0"/>
              <w:bidi w:val="0"/>
              <w:adjustRightInd w:val="0"/>
              <w:snapToGrid w:val="0"/>
              <w:spacing w:line="240" w:lineRule="exact"/>
              <w:jc w:val="both"/>
              <w:rPr>
                <w:rFonts w:hint="eastAsia" w:ascii="宋体" w:hAnsi="宋体" w:eastAsia="宋体" w:cs="宋体"/>
                <w:sz w:val="20"/>
                <w:szCs w:val="20"/>
              </w:rPr>
            </w:pPr>
          </w:p>
        </w:tc>
        <w:tc>
          <w:tcPr>
            <w:tcW w:w="1449" w:type="dxa"/>
            <w:gridSpan w:val="3"/>
            <w:noWrap w:val="0"/>
            <w:vAlign w:val="center"/>
          </w:tcPr>
          <w:p w14:paraId="0B1B610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提高辖区居民疾病预防和卫生保健水平</w:t>
            </w:r>
          </w:p>
        </w:tc>
        <w:tc>
          <w:tcPr>
            <w:tcW w:w="883" w:type="dxa"/>
            <w:noWrap w:val="0"/>
            <w:vAlign w:val="center"/>
          </w:tcPr>
          <w:p w14:paraId="1D60473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i w:val="0"/>
                <w:snapToGrid w:val="0"/>
                <w:color w:val="000000"/>
                <w:kern w:val="0"/>
                <w:sz w:val="20"/>
                <w:szCs w:val="20"/>
                <w:u w:val="none"/>
                <w:lang w:val="en-US" w:eastAsia="zh-CN" w:bidi="ar"/>
              </w:rPr>
            </w:pPr>
            <w:r>
              <w:rPr>
                <w:rFonts w:hint="eastAsia" w:ascii="宋体" w:hAnsi="宋体" w:eastAsia="宋体" w:cs="宋体"/>
                <w:i w:val="0"/>
                <w:snapToGrid w:val="0"/>
                <w:color w:val="000000"/>
                <w:kern w:val="0"/>
                <w:sz w:val="20"/>
                <w:szCs w:val="20"/>
                <w:u w:val="none"/>
                <w:lang w:val="en-US" w:eastAsia="zh-CN" w:bidi="ar"/>
              </w:rPr>
              <w:t>提高</w:t>
            </w:r>
          </w:p>
        </w:tc>
        <w:tc>
          <w:tcPr>
            <w:tcW w:w="814" w:type="dxa"/>
            <w:noWrap w:val="0"/>
            <w:vAlign w:val="center"/>
          </w:tcPr>
          <w:p w14:paraId="5C08D247">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rPr>
              <w:t>提高</w:t>
            </w:r>
          </w:p>
        </w:tc>
        <w:tc>
          <w:tcPr>
            <w:tcW w:w="628" w:type="dxa"/>
            <w:gridSpan w:val="2"/>
            <w:noWrap w:val="0"/>
            <w:vAlign w:val="center"/>
          </w:tcPr>
          <w:p w14:paraId="7C01BB4D">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725" w:type="dxa"/>
            <w:gridSpan w:val="2"/>
            <w:noWrap w:val="0"/>
            <w:vAlign w:val="center"/>
          </w:tcPr>
          <w:p w14:paraId="71F670B8">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1613" w:type="dxa"/>
            <w:gridSpan w:val="2"/>
            <w:noWrap w:val="0"/>
            <w:vAlign w:val="center"/>
          </w:tcPr>
          <w:p w14:paraId="6C2E5860">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05D34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630" w:type="dxa"/>
            <w:vMerge w:val="continue"/>
            <w:noWrap w:val="0"/>
            <w:textDirection w:val="tbRlV"/>
            <w:vAlign w:val="center"/>
          </w:tcPr>
          <w:p w14:paraId="318E65AA">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vMerge w:val="continue"/>
            <w:noWrap w:val="0"/>
            <w:vAlign w:val="center"/>
          </w:tcPr>
          <w:p w14:paraId="03A212A0">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828" w:type="dxa"/>
            <w:noWrap w:val="0"/>
            <w:vAlign w:val="center"/>
          </w:tcPr>
          <w:p w14:paraId="0FEF1BA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可持续影响指标</w:t>
            </w:r>
          </w:p>
        </w:tc>
        <w:tc>
          <w:tcPr>
            <w:tcW w:w="1449" w:type="dxa"/>
            <w:gridSpan w:val="3"/>
            <w:noWrap w:val="0"/>
            <w:vAlign w:val="center"/>
          </w:tcPr>
          <w:p w14:paraId="5D55E38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辖区基层医疗卫生服务体系</w:t>
            </w:r>
          </w:p>
        </w:tc>
        <w:tc>
          <w:tcPr>
            <w:tcW w:w="883" w:type="dxa"/>
            <w:noWrap w:val="0"/>
            <w:vAlign w:val="center"/>
          </w:tcPr>
          <w:p w14:paraId="0826E83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逐步健全</w:t>
            </w:r>
          </w:p>
        </w:tc>
        <w:tc>
          <w:tcPr>
            <w:tcW w:w="814" w:type="dxa"/>
            <w:noWrap w:val="0"/>
            <w:vAlign w:val="center"/>
          </w:tcPr>
          <w:p w14:paraId="433C7A49">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rPr>
              <w:t>逐步健全</w:t>
            </w:r>
          </w:p>
        </w:tc>
        <w:tc>
          <w:tcPr>
            <w:tcW w:w="628" w:type="dxa"/>
            <w:gridSpan w:val="2"/>
            <w:noWrap w:val="0"/>
            <w:vAlign w:val="center"/>
          </w:tcPr>
          <w:p w14:paraId="131B2B3F">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8</w:t>
            </w:r>
          </w:p>
        </w:tc>
        <w:tc>
          <w:tcPr>
            <w:tcW w:w="725" w:type="dxa"/>
            <w:gridSpan w:val="2"/>
            <w:noWrap w:val="0"/>
            <w:vAlign w:val="center"/>
          </w:tcPr>
          <w:p w14:paraId="41BBC0BE">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lang w:val="en-US" w:eastAsia="zh-CN"/>
              </w:rPr>
              <w:t>8</w:t>
            </w:r>
          </w:p>
        </w:tc>
        <w:tc>
          <w:tcPr>
            <w:tcW w:w="1613" w:type="dxa"/>
            <w:gridSpan w:val="2"/>
            <w:noWrap w:val="0"/>
            <w:vAlign w:val="center"/>
          </w:tcPr>
          <w:p w14:paraId="6E86C01B">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64D52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630" w:type="dxa"/>
            <w:vMerge w:val="continue"/>
            <w:noWrap w:val="0"/>
            <w:vAlign w:val="center"/>
          </w:tcPr>
          <w:p w14:paraId="2BEF053B">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c>
          <w:tcPr>
            <w:tcW w:w="749" w:type="dxa"/>
            <w:noWrap w:val="0"/>
            <w:vAlign w:val="center"/>
          </w:tcPr>
          <w:p w14:paraId="1A62B2A3">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满意度指标</w:t>
            </w:r>
          </w:p>
        </w:tc>
        <w:tc>
          <w:tcPr>
            <w:tcW w:w="828" w:type="dxa"/>
            <w:noWrap w:val="0"/>
            <w:vAlign w:val="center"/>
          </w:tcPr>
          <w:p w14:paraId="7FBC57D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服务对象</w:t>
            </w:r>
            <w:r>
              <w:rPr>
                <w:rFonts w:hint="eastAsia" w:ascii="宋体" w:hAnsi="宋体" w:eastAsia="宋体" w:cs="宋体"/>
                <w:i w:val="0"/>
                <w:snapToGrid w:val="0"/>
                <w:color w:val="000000"/>
                <w:kern w:val="0"/>
                <w:sz w:val="20"/>
                <w:szCs w:val="20"/>
                <w:u w:val="none"/>
                <w:lang w:val="en-US" w:eastAsia="zh-CN" w:bidi="ar"/>
              </w:rPr>
              <w:br w:type="textWrapping"/>
            </w:r>
            <w:r>
              <w:rPr>
                <w:rFonts w:hint="eastAsia" w:ascii="宋体" w:hAnsi="宋体" w:eastAsia="宋体" w:cs="宋体"/>
                <w:i w:val="0"/>
                <w:snapToGrid w:val="0"/>
                <w:color w:val="000000"/>
                <w:kern w:val="0"/>
                <w:sz w:val="20"/>
                <w:szCs w:val="20"/>
                <w:u w:val="none"/>
                <w:lang w:val="en-US" w:eastAsia="zh-CN" w:bidi="ar"/>
              </w:rPr>
              <w:t>满意度</w:t>
            </w:r>
          </w:p>
        </w:tc>
        <w:tc>
          <w:tcPr>
            <w:tcW w:w="1449" w:type="dxa"/>
            <w:gridSpan w:val="3"/>
            <w:noWrap w:val="0"/>
            <w:vAlign w:val="center"/>
          </w:tcPr>
          <w:p w14:paraId="7B2CE32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辖区居民公共卫生服务满意度</w:t>
            </w:r>
          </w:p>
        </w:tc>
        <w:tc>
          <w:tcPr>
            <w:tcW w:w="883" w:type="dxa"/>
            <w:noWrap w:val="0"/>
            <w:vAlign w:val="center"/>
          </w:tcPr>
          <w:p w14:paraId="02DABA4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ind w:left="0" w:leftChars="0" w:firstLine="0" w:firstLineChars="0"/>
              <w:jc w:val="center"/>
              <w:textAlignment w:val="center"/>
              <w:rPr>
                <w:rFonts w:hint="eastAsia" w:ascii="宋体" w:hAnsi="宋体" w:eastAsia="宋体" w:cs="宋体"/>
                <w:sz w:val="20"/>
                <w:szCs w:val="20"/>
              </w:rPr>
            </w:pPr>
            <w:r>
              <w:rPr>
                <w:rFonts w:hint="eastAsia" w:ascii="宋体" w:hAnsi="宋体" w:eastAsia="宋体" w:cs="宋体"/>
                <w:i w:val="0"/>
                <w:snapToGrid w:val="0"/>
                <w:color w:val="000000"/>
                <w:kern w:val="0"/>
                <w:sz w:val="20"/>
                <w:szCs w:val="20"/>
                <w:u w:val="none"/>
                <w:lang w:val="en-US" w:eastAsia="zh-CN" w:bidi="ar"/>
              </w:rPr>
              <w:t>≧90%</w:t>
            </w:r>
          </w:p>
        </w:tc>
        <w:tc>
          <w:tcPr>
            <w:tcW w:w="814" w:type="dxa"/>
            <w:noWrap w:val="0"/>
            <w:vAlign w:val="center"/>
          </w:tcPr>
          <w:p w14:paraId="6EF3CD2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z w:val="20"/>
                <w:szCs w:val="20"/>
              </w:rPr>
              <w:t>90%</w:t>
            </w:r>
          </w:p>
        </w:tc>
        <w:tc>
          <w:tcPr>
            <w:tcW w:w="628" w:type="dxa"/>
            <w:gridSpan w:val="2"/>
            <w:noWrap w:val="0"/>
            <w:vAlign w:val="center"/>
          </w:tcPr>
          <w:p w14:paraId="5A76E27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725" w:type="dxa"/>
            <w:gridSpan w:val="2"/>
            <w:noWrap w:val="0"/>
            <w:vAlign w:val="center"/>
          </w:tcPr>
          <w:p w14:paraId="0A734B56">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default" w:ascii="宋体" w:hAnsi="宋体" w:eastAsia="宋体" w:cs="宋体"/>
                <w:sz w:val="20"/>
                <w:szCs w:val="20"/>
                <w:lang w:val="en-US"/>
              </w:rPr>
            </w:pPr>
            <w:r>
              <w:rPr>
                <w:rFonts w:hint="eastAsia" w:ascii="宋体" w:hAnsi="宋体" w:eastAsia="宋体" w:cs="宋体"/>
                <w:sz w:val="20"/>
                <w:szCs w:val="20"/>
                <w:lang w:val="en-US" w:eastAsia="zh-CN"/>
              </w:rPr>
              <w:t>10</w:t>
            </w:r>
          </w:p>
        </w:tc>
        <w:tc>
          <w:tcPr>
            <w:tcW w:w="1613" w:type="dxa"/>
            <w:gridSpan w:val="2"/>
            <w:noWrap w:val="0"/>
            <w:vAlign w:val="center"/>
          </w:tcPr>
          <w:p w14:paraId="094A4E23">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center"/>
              <w:rPr>
                <w:rFonts w:hint="eastAsia" w:ascii="宋体" w:hAnsi="宋体" w:eastAsia="宋体" w:cs="宋体"/>
                <w:sz w:val="20"/>
                <w:szCs w:val="20"/>
              </w:rPr>
            </w:pPr>
          </w:p>
        </w:tc>
      </w:tr>
      <w:tr w14:paraId="1A3EE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5353" w:type="dxa"/>
            <w:gridSpan w:val="8"/>
            <w:noWrap w:val="0"/>
            <w:vAlign w:val="center"/>
          </w:tcPr>
          <w:p w14:paraId="2033BE9C">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总分</w:t>
            </w:r>
          </w:p>
        </w:tc>
        <w:tc>
          <w:tcPr>
            <w:tcW w:w="628" w:type="dxa"/>
            <w:gridSpan w:val="2"/>
            <w:noWrap w:val="0"/>
            <w:vAlign w:val="center"/>
          </w:tcPr>
          <w:p w14:paraId="481FFCE0">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5"/>
                <w:sz w:val="20"/>
                <w:szCs w:val="20"/>
              </w:rPr>
              <w:t>100</w:t>
            </w:r>
          </w:p>
        </w:tc>
        <w:tc>
          <w:tcPr>
            <w:tcW w:w="725" w:type="dxa"/>
            <w:gridSpan w:val="2"/>
            <w:noWrap w:val="0"/>
            <w:vAlign w:val="center"/>
          </w:tcPr>
          <w:p w14:paraId="16DE2D46">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5"/>
                <w:sz w:val="20"/>
                <w:szCs w:val="20"/>
              </w:rPr>
              <w:t>100</w:t>
            </w:r>
          </w:p>
        </w:tc>
        <w:tc>
          <w:tcPr>
            <w:tcW w:w="1613" w:type="dxa"/>
            <w:gridSpan w:val="2"/>
            <w:noWrap w:val="0"/>
            <w:vAlign w:val="center"/>
          </w:tcPr>
          <w:p w14:paraId="419B7CB9">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p>
        </w:tc>
      </w:tr>
      <w:tr w14:paraId="16532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8" w:hRule="atLeast"/>
        </w:trPr>
        <w:tc>
          <w:tcPr>
            <w:tcW w:w="630" w:type="dxa"/>
            <w:noWrap w:val="0"/>
            <w:vAlign w:val="center"/>
          </w:tcPr>
          <w:p w14:paraId="0A437549">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3"/>
                <w:sz w:val="20"/>
                <w:szCs w:val="20"/>
              </w:rPr>
              <w:t>说明</w:t>
            </w:r>
          </w:p>
        </w:tc>
        <w:tc>
          <w:tcPr>
            <w:tcW w:w="7689" w:type="dxa"/>
            <w:gridSpan w:val="13"/>
            <w:noWrap w:val="0"/>
            <w:vAlign w:val="center"/>
          </w:tcPr>
          <w:p w14:paraId="3865A8E4">
            <w:pPr>
              <w:pageBreakBefore w:val="0"/>
              <w:wordWrap/>
              <w:overflowPunct/>
              <w:topLinePunct w:val="0"/>
              <w:bidi w:val="0"/>
              <w:spacing w:line="240" w:lineRule="exact"/>
              <w:ind w:firstLine="0" w:firstLineChars="0"/>
              <w:jc w:val="center"/>
              <w:rPr>
                <w:rFonts w:hint="eastAsia" w:ascii="宋体" w:hAnsi="宋体" w:eastAsia="宋体" w:cs="宋体"/>
                <w:sz w:val="20"/>
                <w:szCs w:val="20"/>
              </w:rPr>
            </w:pPr>
            <w:r>
              <w:rPr>
                <w:rFonts w:hint="eastAsia" w:ascii="宋体" w:hAnsi="宋体" w:eastAsia="宋体" w:cs="宋体"/>
                <w:spacing w:val="-2"/>
                <w:sz w:val="20"/>
                <w:szCs w:val="20"/>
              </w:rPr>
              <w:t>请在此处简要说明</w:t>
            </w:r>
            <w:r>
              <w:rPr>
                <w:rFonts w:hint="eastAsia" w:ascii="宋体" w:hAnsi="宋体" w:eastAsia="宋体" w:cs="宋体"/>
                <w:spacing w:val="-2"/>
                <w:sz w:val="20"/>
                <w:szCs w:val="20"/>
                <w:lang w:eastAsia="zh-CN"/>
              </w:rPr>
              <w:t>巡视巡查</w:t>
            </w:r>
            <w:r>
              <w:rPr>
                <w:rFonts w:hint="eastAsia" w:ascii="宋体" w:hAnsi="宋体" w:eastAsia="宋体" w:cs="宋体"/>
                <w:spacing w:val="-2"/>
                <w:sz w:val="20"/>
                <w:szCs w:val="20"/>
              </w:rPr>
              <w:t>、审计和财政监督中发现的问题及其所涉及的金额，如没有填无。</w:t>
            </w:r>
          </w:p>
        </w:tc>
      </w:tr>
    </w:tbl>
    <w:p w14:paraId="0D11BA92">
      <w:pPr>
        <w:pageBreakBefore w:val="0"/>
        <w:wordWrap/>
        <w:overflowPunct/>
        <w:topLinePunct w:val="0"/>
        <w:bidi w:val="0"/>
        <w:spacing w:line="240" w:lineRule="exact"/>
        <w:ind w:firstLine="0" w:firstLineChars="0"/>
        <w:rPr>
          <w:rFonts w:ascii="宋体" w:hAnsi="宋体" w:eastAsia="宋体" w:cs="宋体"/>
          <w:spacing w:val="-2"/>
          <w:sz w:val="22"/>
          <w:szCs w:val="22"/>
        </w:rPr>
      </w:pPr>
    </w:p>
    <w:p w14:paraId="5F487009">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ascii="宋体" w:hAnsi="宋体" w:eastAsia="宋体" w:cs="宋体"/>
          <w:sz w:val="24"/>
          <w:szCs w:val="24"/>
        </w:rPr>
      </w:pPr>
      <w:r>
        <w:rPr>
          <w:rFonts w:ascii="宋体" w:hAnsi="宋体" w:eastAsia="宋体" w:cs="宋体"/>
          <w:spacing w:val="-2"/>
          <w:sz w:val="24"/>
          <w:szCs w:val="24"/>
        </w:rPr>
        <w:t>注：1.其他资金包括中央补助、各级财政资金共同投入到同一项目的自有资金、社会资金等。</w:t>
      </w:r>
    </w:p>
    <w:p w14:paraId="06BD6963">
      <w:pPr>
        <w:keepNext w:val="0"/>
        <w:keepLines w:val="0"/>
        <w:pageBreakBefore w:val="0"/>
        <w:widowControl w:val="0"/>
        <w:kinsoku/>
        <w:wordWrap/>
        <w:overflowPunct/>
        <w:topLinePunct w:val="0"/>
        <w:autoSpaceDE/>
        <w:autoSpaceDN/>
        <w:bidi w:val="0"/>
        <w:adjustRightInd/>
        <w:snapToGrid/>
        <w:spacing w:line="300" w:lineRule="exact"/>
        <w:ind w:firstLine="432"/>
        <w:textAlignment w:val="auto"/>
        <w:rPr>
          <w:rFonts w:ascii="宋体" w:hAnsi="宋体" w:eastAsia="宋体" w:cs="宋体"/>
          <w:sz w:val="24"/>
          <w:szCs w:val="24"/>
        </w:rPr>
      </w:pPr>
      <w:r>
        <w:rPr>
          <w:rFonts w:ascii="宋体" w:hAnsi="宋体" w:eastAsia="宋体" w:cs="宋体"/>
          <w:spacing w:val="-2"/>
          <w:sz w:val="24"/>
          <w:szCs w:val="24"/>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4"/>
          <w:szCs w:val="24"/>
        </w:rPr>
        <w:t>），</w:t>
      </w:r>
      <w:r>
        <w:rPr>
          <w:rFonts w:ascii="宋体" w:hAnsi="宋体" w:eastAsia="宋体" w:cs="宋体"/>
          <w:spacing w:val="-2"/>
          <w:sz w:val="24"/>
          <w:szCs w:val="24"/>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63CD9565">
      <w:pPr>
        <w:keepNext w:val="0"/>
        <w:keepLines w:val="0"/>
        <w:pageBreakBefore w:val="0"/>
        <w:widowControl w:val="0"/>
        <w:kinsoku/>
        <w:wordWrap/>
        <w:overflowPunct/>
        <w:topLinePunct w:val="0"/>
        <w:autoSpaceDE/>
        <w:autoSpaceDN/>
        <w:bidi w:val="0"/>
        <w:adjustRightInd/>
        <w:snapToGrid/>
        <w:spacing w:line="300" w:lineRule="exact"/>
        <w:ind w:firstLine="432"/>
        <w:textAlignment w:val="auto"/>
        <w:rPr>
          <w:rFonts w:hint="eastAsia" w:ascii="宋体" w:hAnsi="宋体" w:eastAsia="宋体" w:cs="宋体"/>
          <w:spacing w:val="-2"/>
          <w:sz w:val="24"/>
          <w:szCs w:val="24"/>
        </w:rPr>
      </w:pPr>
      <w:r>
        <w:rPr>
          <w:rFonts w:ascii="宋体" w:hAnsi="宋体" w:eastAsia="宋体" w:cs="宋体"/>
          <w:spacing w:val="-2"/>
          <w:sz w:val="24"/>
          <w:szCs w:val="24"/>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31433E57">
      <w:pPr>
        <w:keepNext w:val="0"/>
        <w:keepLines w:val="0"/>
        <w:pageBreakBefore w:val="0"/>
        <w:widowControl w:val="0"/>
        <w:kinsoku/>
        <w:wordWrap/>
        <w:overflowPunct/>
        <w:topLinePunct w:val="0"/>
        <w:autoSpaceDE/>
        <w:autoSpaceDN/>
        <w:bidi w:val="0"/>
        <w:adjustRightInd/>
        <w:snapToGrid/>
        <w:spacing w:line="300" w:lineRule="exact"/>
        <w:ind w:firstLine="432"/>
        <w:textAlignment w:val="auto"/>
        <w:rPr>
          <w:rFonts w:ascii="宋体" w:hAnsi="宋体" w:eastAsia="宋体" w:cs="宋体"/>
          <w:spacing w:val="-2"/>
          <w:sz w:val="22"/>
          <w:szCs w:val="22"/>
        </w:rPr>
      </w:pPr>
    </w:p>
    <w:p w14:paraId="0A178D30">
      <w:pPr>
        <w:pageBreakBefore w:val="0"/>
        <w:wordWrap/>
        <w:overflowPunct/>
        <w:topLinePunct w:val="0"/>
        <w:bidi w:val="0"/>
        <w:spacing w:before="111" w:line="560" w:lineRule="exact"/>
        <w:ind w:firstLine="0" w:firstLineChars="0"/>
        <w:outlineLvl w:val="1"/>
        <w:rPr>
          <w:rFonts w:ascii="宋体" w:hAnsi="宋体" w:eastAsia="宋体" w:cs="宋体"/>
          <w:b/>
          <w:bCs/>
        </w:rPr>
      </w:pPr>
      <w:r>
        <w:rPr>
          <w:rFonts w:hint="eastAsia" w:ascii="宋体" w:hAnsi="宋体" w:eastAsia="宋体" w:cs="宋体"/>
          <w:b/>
          <w:bCs/>
          <w:lang w:val="en-US" w:eastAsia="zh-CN"/>
        </w:rPr>
        <w:t>附件22</w:t>
      </w:r>
    </w:p>
    <w:p w14:paraId="1893332B">
      <w:pPr>
        <w:spacing w:before="111" w:line="560" w:lineRule="exact"/>
        <w:ind w:firstLine="2891" w:firstLineChars="900"/>
        <w:jc w:val="both"/>
        <w:outlineLvl w:val="1"/>
        <w:rPr>
          <w:rFonts w:ascii="宋体" w:hAnsi="宋体" w:eastAsia="宋体" w:cs="宋体"/>
          <w:b/>
          <w:bCs/>
        </w:rPr>
      </w:pPr>
      <w:r>
        <w:rPr>
          <w:rFonts w:ascii="宋体" w:hAnsi="宋体" w:eastAsia="宋体" w:cs="宋体"/>
          <w:b/>
          <w:bCs/>
        </w:rPr>
        <w:t>预算项目支出绩效自评表</w:t>
      </w:r>
    </w:p>
    <w:p w14:paraId="0812FDA6">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29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7"/>
        <w:gridCol w:w="671"/>
        <w:gridCol w:w="949"/>
        <w:gridCol w:w="104"/>
        <w:gridCol w:w="1119"/>
        <w:gridCol w:w="1318"/>
        <w:gridCol w:w="693"/>
        <w:gridCol w:w="388"/>
        <w:gridCol w:w="257"/>
        <w:gridCol w:w="471"/>
        <w:gridCol w:w="275"/>
        <w:gridCol w:w="596"/>
        <w:gridCol w:w="811"/>
      </w:tblGrid>
      <w:tr w14:paraId="0CF67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trPr>
        <w:tc>
          <w:tcPr>
            <w:tcW w:w="1318" w:type="dxa"/>
            <w:gridSpan w:val="2"/>
            <w:noWrap w:val="0"/>
            <w:vAlign w:val="center"/>
          </w:tcPr>
          <w:p w14:paraId="3E19122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6981" w:type="dxa"/>
            <w:gridSpan w:val="11"/>
            <w:noWrap w:val="0"/>
            <w:vAlign w:val="center"/>
          </w:tcPr>
          <w:p w14:paraId="086DA434">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rPr>
              <w:t>引进人才待遇经费</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工作补贴</w:t>
            </w:r>
            <w:r>
              <w:rPr>
                <w:rFonts w:hint="eastAsia" w:ascii="宋体" w:hAnsi="宋体" w:eastAsia="宋体" w:cs="宋体"/>
                <w:sz w:val="22"/>
                <w:szCs w:val="22"/>
                <w:lang w:eastAsia="zh-CN"/>
              </w:rPr>
              <w:t>）</w:t>
            </w:r>
          </w:p>
        </w:tc>
      </w:tr>
      <w:tr w14:paraId="5CB0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trPr>
        <w:tc>
          <w:tcPr>
            <w:tcW w:w="1318" w:type="dxa"/>
            <w:gridSpan w:val="2"/>
            <w:noWrap w:val="0"/>
            <w:vAlign w:val="center"/>
          </w:tcPr>
          <w:p w14:paraId="7183CD6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490" w:type="dxa"/>
            <w:gridSpan w:val="4"/>
            <w:noWrap w:val="0"/>
            <w:vAlign w:val="center"/>
          </w:tcPr>
          <w:p w14:paraId="738D734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兰州新区卫生健康委员会</w:t>
            </w:r>
          </w:p>
        </w:tc>
        <w:tc>
          <w:tcPr>
            <w:tcW w:w="1081" w:type="dxa"/>
            <w:gridSpan w:val="2"/>
            <w:noWrap w:val="0"/>
            <w:vAlign w:val="center"/>
          </w:tcPr>
          <w:p w14:paraId="2261BF8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410" w:type="dxa"/>
            <w:gridSpan w:val="5"/>
            <w:noWrap w:val="0"/>
            <w:vAlign w:val="center"/>
          </w:tcPr>
          <w:p w14:paraId="244D72F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兰州新区卫生健康委员会</w:t>
            </w:r>
          </w:p>
        </w:tc>
      </w:tr>
      <w:tr w14:paraId="7459B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trPr>
        <w:tc>
          <w:tcPr>
            <w:tcW w:w="1318" w:type="dxa"/>
            <w:gridSpan w:val="2"/>
            <w:vMerge w:val="restart"/>
            <w:noWrap w:val="0"/>
            <w:vAlign w:val="center"/>
          </w:tcPr>
          <w:p w14:paraId="073189C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项目资金</w:t>
            </w:r>
          </w:p>
          <w:p w14:paraId="668A8D0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（万元）</w:t>
            </w:r>
          </w:p>
        </w:tc>
        <w:tc>
          <w:tcPr>
            <w:tcW w:w="1053" w:type="dxa"/>
            <w:gridSpan w:val="2"/>
            <w:noWrap w:val="0"/>
            <w:vAlign w:val="center"/>
          </w:tcPr>
          <w:p w14:paraId="0C1D5EB9">
            <w:pPr>
              <w:spacing w:line="240" w:lineRule="auto"/>
              <w:ind w:firstLine="0" w:firstLineChars="0"/>
              <w:jc w:val="center"/>
              <w:rPr>
                <w:rFonts w:hint="eastAsia" w:ascii="宋体" w:hAnsi="宋体" w:eastAsia="宋体" w:cs="宋体"/>
                <w:sz w:val="22"/>
                <w:szCs w:val="22"/>
              </w:rPr>
            </w:pPr>
          </w:p>
        </w:tc>
        <w:tc>
          <w:tcPr>
            <w:tcW w:w="1119" w:type="dxa"/>
            <w:noWrap w:val="0"/>
            <w:vAlign w:val="center"/>
          </w:tcPr>
          <w:p w14:paraId="4F6703A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318" w:type="dxa"/>
            <w:noWrap w:val="0"/>
            <w:vAlign w:val="center"/>
          </w:tcPr>
          <w:p w14:paraId="6860509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081" w:type="dxa"/>
            <w:gridSpan w:val="2"/>
            <w:noWrap w:val="0"/>
            <w:vAlign w:val="center"/>
          </w:tcPr>
          <w:p w14:paraId="19C8064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728" w:type="dxa"/>
            <w:gridSpan w:val="2"/>
            <w:noWrap w:val="0"/>
            <w:vAlign w:val="center"/>
          </w:tcPr>
          <w:p w14:paraId="68DE4FF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871" w:type="dxa"/>
            <w:gridSpan w:val="2"/>
            <w:noWrap w:val="0"/>
            <w:vAlign w:val="center"/>
          </w:tcPr>
          <w:p w14:paraId="59EC6C6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811" w:type="dxa"/>
            <w:noWrap w:val="0"/>
            <w:vAlign w:val="center"/>
          </w:tcPr>
          <w:p w14:paraId="35BAE90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25A8F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trPr>
        <w:tc>
          <w:tcPr>
            <w:tcW w:w="1318" w:type="dxa"/>
            <w:gridSpan w:val="2"/>
            <w:vMerge w:val="continue"/>
            <w:noWrap w:val="0"/>
            <w:vAlign w:val="center"/>
          </w:tcPr>
          <w:p w14:paraId="5F0BDAE1">
            <w:pPr>
              <w:spacing w:line="240" w:lineRule="auto"/>
              <w:ind w:firstLine="0" w:firstLineChars="0"/>
              <w:jc w:val="center"/>
              <w:rPr>
                <w:rFonts w:hint="eastAsia" w:ascii="宋体" w:hAnsi="宋体" w:eastAsia="宋体" w:cs="宋体"/>
                <w:sz w:val="22"/>
                <w:szCs w:val="22"/>
              </w:rPr>
            </w:pPr>
          </w:p>
        </w:tc>
        <w:tc>
          <w:tcPr>
            <w:tcW w:w="1053" w:type="dxa"/>
            <w:gridSpan w:val="2"/>
            <w:noWrap w:val="0"/>
            <w:vAlign w:val="center"/>
          </w:tcPr>
          <w:p w14:paraId="7A8531BD">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5A42486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119" w:type="dxa"/>
            <w:noWrap w:val="0"/>
            <w:vAlign w:val="center"/>
          </w:tcPr>
          <w:p w14:paraId="43840CC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38.4万元</w:t>
            </w:r>
          </w:p>
        </w:tc>
        <w:tc>
          <w:tcPr>
            <w:tcW w:w="1318" w:type="dxa"/>
            <w:noWrap w:val="0"/>
            <w:vAlign w:val="center"/>
          </w:tcPr>
          <w:p w14:paraId="1E922BC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38.4万元</w:t>
            </w:r>
          </w:p>
        </w:tc>
        <w:tc>
          <w:tcPr>
            <w:tcW w:w="1081" w:type="dxa"/>
            <w:gridSpan w:val="2"/>
            <w:noWrap w:val="0"/>
            <w:vAlign w:val="center"/>
          </w:tcPr>
          <w:p w14:paraId="12618C3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38.4万元</w:t>
            </w:r>
          </w:p>
        </w:tc>
        <w:tc>
          <w:tcPr>
            <w:tcW w:w="728" w:type="dxa"/>
            <w:gridSpan w:val="2"/>
            <w:noWrap w:val="0"/>
            <w:vAlign w:val="center"/>
          </w:tcPr>
          <w:p w14:paraId="4E8DD90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871" w:type="dxa"/>
            <w:gridSpan w:val="2"/>
            <w:noWrap w:val="0"/>
            <w:vAlign w:val="center"/>
          </w:tcPr>
          <w:p w14:paraId="640CCF50">
            <w:pPr>
              <w:tabs>
                <w:tab w:val="left" w:pos="325"/>
              </w:tabs>
              <w:spacing w:line="240" w:lineRule="auto"/>
              <w:ind w:left="0" w:leftChars="0"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811" w:type="dxa"/>
            <w:noWrap w:val="0"/>
            <w:vAlign w:val="center"/>
          </w:tcPr>
          <w:p w14:paraId="7086474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r>
      <w:tr w14:paraId="35CAE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trPr>
        <w:tc>
          <w:tcPr>
            <w:tcW w:w="1318" w:type="dxa"/>
            <w:gridSpan w:val="2"/>
            <w:vMerge w:val="continue"/>
            <w:noWrap w:val="0"/>
            <w:vAlign w:val="center"/>
          </w:tcPr>
          <w:p w14:paraId="6CAB3919">
            <w:pPr>
              <w:spacing w:line="240" w:lineRule="auto"/>
              <w:ind w:firstLine="0" w:firstLineChars="0"/>
              <w:jc w:val="center"/>
              <w:rPr>
                <w:rFonts w:hint="eastAsia" w:ascii="宋体" w:hAnsi="宋体" w:eastAsia="宋体" w:cs="宋体"/>
                <w:sz w:val="22"/>
                <w:szCs w:val="22"/>
              </w:rPr>
            </w:pPr>
          </w:p>
        </w:tc>
        <w:tc>
          <w:tcPr>
            <w:tcW w:w="1053" w:type="dxa"/>
            <w:gridSpan w:val="2"/>
            <w:noWrap w:val="0"/>
            <w:vAlign w:val="center"/>
          </w:tcPr>
          <w:p w14:paraId="6E1AC29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119" w:type="dxa"/>
            <w:noWrap w:val="0"/>
            <w:vAlign w:val="center"/>
          </w:tcPr>
          <w:p w14:paraId="2A0390D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38.4万元</w:t>
            </w:r>
          </w:p>
        </w:tc>
        <w:tc>
          <w:tcPr>
            <w:tcW w:w="1318" w:type="dxa"/>
            <w:noWrap w:val="0"/>
            <w:vAlign w:val="center"/>
          </w:tcPr>
          <w:p w14:paraId="51B26BF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38.4万元</w:t>
            </w:r>
          </w:p>
        </w:tc>
        <w:tc>
          <w:tcPr>
            <w:tcW w:w="1081" w:type="dxa"/>
            <w:gridSpan w:val="2"/>
            <w:noWrap w:val="0"/>
            <w:vAlign w:val="center"/>
          </w:tcPr>
          <w:p w14:paraId="641DC4A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38.4万元</w:t>
            </w:r>
          </w:p>
        </w:tc>
        <w:tc>
          <w:tcPr>
            <w:tcW w:w="728" w:type="dxa"/>
            <w:gridSpan w:val="2"/>
            <w:noWrap w:val="0"/>
            <w:vAlign w:val="center"/>
          </w:tcPr>
          <w:p w14:paraId="2C2E7CD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871" w:type="dxa"/>
            <w:gridSpan w:val="2"/>
            <w:noWrap w:val="0"/>
            <w:vAlign w:val="center"/>
          </w:tcPr>
          <w:p w14:paraId="7C96CD5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811" w:type="dxa"/>
            <w:noWrap w:val="0"/>
            <w:vAlign w:val="center"/>
          </w:tcPr>
          <w:p w14:paraId="11019D2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21868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trPr>
        <w:tc>
          <w:tcPr>
            <w:tcW w:w="1318" w:type="dxa"/>
            <w:gridSpan w:val="2"/>
            <w:vMerge w:val="continue"/>
            <w:noWrap w:val="0"/>
            <w:vAlign w:val="center"/>
          </w:tcPr>
          <w:p w14:paraId="537F2FAB">
            <w:pPr>
              <w:spacing w:line="240" w:lineRule="auto"/>
              <w:ind w:firstLine="0" w:firstLineChars="0"/>
              <w:jc w:val="center"/>
              <w:rPr>
                <w:rFonts w:hint="eastAsia" w:ascii="宋体" w:hAnsi="宋体" w:eastAsia="宋体" w:cs="宋体"/>
                <w:sz w:val="22"/>
                <w:szCs w:val="22"/>
              </w:rPr>
            </w:pPr>
          </w:p>
        </w:tc>
        <w:tc>
          <w:tcPr>
            <w:tcW w:w="1053" w:type="dxa"/>
            <w:gridSpan w:val="2"/>
            <w:noWrap w:val="0"/>
            <w:vAlign w:val="center"/>
          </w:tcPr>
          <w:p w14:paraId="1EB37ACC">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384983B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119" w:type="dxa"/>
            <w:noWrap w:val="0"/>
            <w:vAlign w:val="center"/>
          </w:tcPr>
          <w:p w14:paraId="37E2A52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318" w:type="dxa"/>
            <w:noWrap w:val="0"/>
            <w:vAlign w:val="center"/>
          </w:tcPr>
          <w:p w14:paraId="460ADAB6">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1" w:type="dxa"/>
            <w:gridSpan w:val="2"/>
            <w:noWrap w:val="0"/>
            <w:vAlign w:val="center"/>
          </w:tcPr>
          <w:p w14:paraId="479C622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position w:val="-3"/>
                <w:sz w:val="22"/>
                <w:szCs w:val="22"/>
              </w:rPr>
              <w:t>—</w:t>
            </w:r>
          </w:p>
        </w:tc>
        <w:tc>
          <w:tcPr>
            <w:tcW w:w="728" w:type="dxa"/>
            <w:gridSpan w:val="2"/>
            <w:noWrap w:val="0"/>
            <w:vAlign w:val="center"/>
          </w:tcPr>
          <w:p w14:paraId="09CC258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871" w:type="dxa"/>
            <w:gridSpan w:val="2"/>
            <w:noWrap w:val="0"/>
            <w:vAlign w:val="center"/>
          </w:tcPr>
          <w:p w14:paraId="4189CAA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811" w:type="dxa"/>
            <w:noWrap w:val="0"/>
            <w:vAlign w:val="center"/>
          </w:tcPr>
          <w:p w14:paraId="3E473FE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2500B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trPr>
        <w:tc>
          <w:tcPr>
            <w:tcW w:w="1318" w:type="dxa"/>
            <w:gridSpan w:val="2"/>
            <w:vMerge w:val="continue"/>
            <w:noWrap w:val="0"/>
            <w:vAlign w:val="center"/>
          </w:tcPr>
          <w:p w14:paraId="0FFCD9D0">
            <w:pPr>
              <w:spacing w:line="240" w:lineRule="auto"/>
              <w:ind w:firstLine="0" w:firstLineChars="0"/>
              <w:jc w:val="center"/>
              <w:rPr>
                <w:rFonts w:hint="eastAsia" w:ascii="宋体" w:hAnsi="宋体" w:eastAsia="宋体" w:cs="宋体"/>
                <w:sz w:val="22"/>
                <w:szCs w:val="22"/>
              </w:rPr>
            </w:pPr>
          </w:p>
        </w:tc>
        <w:tc>
          <w:tcPr>
            <w:tcW w:w="1053" w:type="dxa"/>
            <w:gridSpan w:val="2"/>
            <w:noWrap w:val="0"/>
            <w:vAlign w:val="center"/>
          </w:tcPr>
          <w:p w14:paraId="3B7FF6A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119" w:type="dxa"/>
            <w:noWrap w:val="0"/>
            <w:vAlign w:val="center"/>
          </w:tcPr>
          <w:p w14:paraId="4F9EC310">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318" w:type="dxa"/>
            <w:noWrap w:val="0"/>
            <w:vAlign w:val="center"/>
          </w:tcPr>
          <w:p w14:paraId="2FA09C1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1" w:type="dxa"/>
            <w:gridSpan w:val="2"/>
            <w:noWrap w:val="0"/>
            <w:vAlign w:val="center"/>
          </w:tcPr>
          <w:p w14:paraId="23C796CC">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position w:val="-3"/>
                <w:sz w:val="22"/>
                <w:szCs w:val="22"/>
              </w:rPr>
              <w:t>—</w:t>
            </w:r>
          </w:p>
        </w:tc>
        <w:tc>
          <w:tcPr>
            <w:tcW w:w="728" w:type="dxa"/>
            <w:gridSpan w:val="2"/>
            <w:noWrap w:val="0"/>
            <w:vAlign w:val="center"/>
          </w:tcPr>
          <w:p w14:paraId="4A9BE61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871" w:type="dxa"/>
            <w:gridSpan w:val="2"/>
            <w:noWrap w:val="0"/>
            <w:vAlign w:val="center"/>
          </w:tcPr>
          <w:p w14:paraId="6D54B65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811" w:type="dxa"/>
            <w:noWrap w:val="0"/>
            <w:vAlign w:val="center"/>
          </w:tcPr>
          <w:p w14:paraId="311E7B7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79A51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trPr>
        <w:tc>
          <w:tcPr>
            <w:tcW w:w="647" w:type="dxa"/>
            <w:vMerge w:val="restart"/>
            <w:noWrap w:val="0"/>
            <w:vAlign w:val="center"/>
          </w:tcPr>
          <w:p w14:paraId="57793BC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161" w:type="dxa"/>
            <w:gridSpan w:val="5"/>
            <w:noWrap w:val="0"/>
            <w:vAlign w:val="center"/>
          </w:tcPr>
          <w:p w14:paraId="321C32D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491" w:type="dxa"/>
            <w:gridSpan w:val="7"/>
            <w:noWrap w:val="0"/>
            <w:vAlign w:val="center"/>
          </w:tcPr>
          <w:p w14:paraId="56CB17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1EAF2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1" w:hRule="atLeast"/>
        </w:trPr>
        <w:tc>
          <w:tcPr>
            <w:tcW w:w="647" w:type="dxa"/>
            <w:vMerge w:val="continue"/>
            <w:noWrap w:val="0"/>
            <w:vAlign w:val="center"/>
          </w:tcPr>
          <w:p w14:paraId="1B1672CA">
            <w:pPr>
              <w:spacing w:line="240" w:lineRule="auto"/>
              <w:ind w:firstLine="0" w:firstLineChars="0"/>
              <w:jc w:val="center"/>
              <w:rPr>
                <w:rFonts w:hint="eastAsia" w:ascii="宋体" w:hAnsi="宋体" w:eastAsia="宋体" w:cs="宋体"/>
                <w:sz w:val="22"/>
                <w:szCs w:val="22"/>
              </w:rPr>
            </w:pPr>
          </w:p>
        </w:tc>
        <w:tc>
          <w:tcPr>
            <w:tcW w:w="4161" w:type="dxa"/>
            <w:gridSpan w:val="5"/>
            <w:noWrap w:val="0"/>
            <w:vAlign w:val="center"/>
          </w:tcPr>
          <w:p w14:paraId="661828AD">
            <w:pPr>
              <w:tabs>
                <w:tab w:val="left" w:pos="1683"/>
              </w:tabs>
              <w:spacing w:line="240" w:lineRule="auto"/>
              <w:ind w:firstLine="420" w:firstLineChars="200"/>
              <w:jc w:val="left"/>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加速人才引进，逐步健全新区医疗卫生体制，改善新区群众就医难等问题，切实提升新区医疗卫生队伍整体素质和综合服务能力水平。</w:t>
            </w:r>
          </w:p>
        </w:tc>
        <w:tc>
          <w:tcPr>
            <w:tcW w:w="3491" w:type="dxa"/>
            <w:gridSpan w:val="7"/>
            <w:noWrap w:val="0"/>
            <w:vAlign w:val="center"/>
          </w:tcPr>
          <w:p w14:paraId="4807F6B2">
            <w:pPr>
              <w:spacing w:line="240" w:lineRule="auto"/>
              <w:ind w:firstLine="0" w:firstLineChars="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加速人才引进，逐步健全新区医疗卫生体制，改善新区群众就医难等问题，切实提升新区医疗卫生队伍整体素质和综合服务能力水平。</w:t>
            </w:r>
          </w:p>
        </w:tc>
      </w:tr>
      <w:tr w14:paraId="1B7AB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trPr>
        <w:tc>
          <w:tcPr>
            <w:tcW w:w="647" w:type="dxa"/>
            <w:vMerge w:val="restart"/>
            <w:noWrap w:val="0"/>
            <w:vAlign w:val="center"/>
          </w:tcPr>
          <w:p w14:paraId="67FD5343">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671" w:type="dxa"/>
            <w:noWrap w:val="0"/>
            <w:vAlign w:val="center"/>
          </w:tcPr>
          <w:p w14:paraId="12B9AFF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362C4C7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49" w:type="dxa"/>
            <w:noWrap w:val="0"/>
            <w:vAlign w:val="center"/>
          </w:tcPr>
          <w:p w14:paraId="7E2506B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48B034B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223" w:type="dxa"/>
            <w:gridSpan w:val="2"/>
            <w:noWrap w:val="0"/>
            <w:vAlign w:val="center"/>
          </w:tcPr>
          <w:p w14:paraId="2B0CDE7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1318" w:type="dxa"/>
            <w:noWrap w:val="0"/>
            <w:vAlign w:val="center"/>
          </w:tcPr>
          <w:p w14:paraId="0B5433E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693" w:type="dxa"/>
            <w:noWrap w:val="0"/>
            <w:vAlign w:val="center"/>
          </w:tcPr>
          <w:p w14:paraId="56DB631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645" w:type="dxa"/>
            <w:gridSpan w:val="2"/>
            <w:noWrap w:val="0"/>
            <w:vAlign w:val="center"/>
          </w:tcPr>
          <w:p w14:paraId="60968BC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46" w:type="dxa"/>
            <w:gridSpan w:val="2"/>
            <w:noWrap w:val="0"/>
            <w:vAlign w:val="center"/>
          </w:tcPr>
          <w:p w14:paraId="6BA27FC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407" w:type="dxa"/>
            <w:gridSpan w:val="2"/>
            <w:noWrap w:val="0"/>
            <w:vAlign w:val="center"/>
          </w:tcPr>
          <w:p w14:paraId="41BCAC0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66308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6" w:hRule="atLeast"/>
        </w:trPr>
        <w:tc>
          <w:tcPr>
            <w:tcW w:w="647" w:type="dxa"/>
            <w:vMerge w:val="continue"/>
            <w:noWrap w:val="0"/>
            <w:textDirection w:val="tbRlV"/>
            <w:vAlign w:val="center"/>
          </w:tcPr>
          <w:p w14:paraId="3ADF754D">
            <w:pPr>
              <w:spacing w:line="240" w:lineRule="auto"/>
              <w:ind w:left="113" w:right="113" w:firstLine="0" w:firstLineChars="0"/>
              <w:jc w:val="center"/>
              <w:rPr>
                <w:rFonts w:hint="eastAsia" w:ascii="宋体" w:hAnsi="宋体" w:eastAsia="宋体" w:cs="宋体"/>
                <w:sz w:val="22"/>
                <w:szCs w:val="22"/>
              </w:rPr>
            </w:pPr>
          </w:p>
        </w:tc>
        <w:tc>
          <w:tcPr>
            <w:tcW w:w="671" w:type="dxa"/>
            <w:vMerge w:val="restart"/>
            <w:noWrap w:val="0"/>
            <w:vAlign w:val="center"/>
          </w:tcPr>
          <w:p w14:paraId="049388DE">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1F66EA1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49" w:type="dxa"/>
            <w:noWrap w:val="0"/>
            <w:vAlign w:val="center"/>
          </w:tcPr>
          <w:p w14:paraId="211364E1">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3D61995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223" w:type="dxa"/>
            <w:gridSpan w:val="2"/>
            <w:noWrap w:val="0"/>
            <w:vAlign w:val="center"/>
          </w:tcPr>
          <w:p w14:paraId="73B84366">
            <w:pPr>
              <w:spacing w:line="240" w:lineRule="auto"/>
              <w:ind w:firstLine="0" w:firstLineChars="0"/>
              <w:jc w:val="center"/>
              <w:rPr>
                <w:rFonts w:hint="eastAsia" w:ascii="宋体" w:hAnsi="宋体" w:eastAsia="宋体" w:cs="宋体"/>
                <w:sz w:val="15"/>
                <w:szCs w:val="15"/>
              </w:rPr>
            </w:pPr>
            <w:r>
              <w:rPr>
                <w:rFonts w:hint="eastAsia" w:ascii="宋体" w:hAnsi="宋体" w:eastAsia="宋体" w:cs="宋体"/>
                <w:spacing w:val="-3"/>
                <w:sz w:val="15"/>
                <w:szCs w:val="15"/>
                <w:lang w:eastAsia="zh-CN"/>
              </w:rPr>
              <w:t>人才</w:t>
            </w:r>
            <w:r>
              <w:rPr>
                <w:rFonts w:hint="eastAsia" w:ascii="宋体" w:hAnsi="宋体" w:eastAsia="宋体" w:cs="宋体"/>
                <w:spacing w:val="-3"/>
                <w:sz w:val="15"/>
                <w:szCs w:val="15"/>
              </w:rPr>
              <w:t>工作补贴</w:t>
            </w:r>
          </w:p>
        </w:tc>
        <w:tc>
          <w:tcPr>
            <w:tcW w:w="1318" w:type="dxa"/>
            <w:noWrap w:val="0"/>
            <w:vAlign w:val="center"/>
          </w:tcPr>
          <w:p w14:paraId="2DDACAD6">
            <w:pPr>
              <w:spacing w:line="240" w:lineRule="auto"/>
              <w:ind w:firstLine="0" w:firstLineChars="0"/>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2017-2021年引进人员享受工作补贴15人：2个正高级每人每月3000元，13个副高级每人每月2000元。</w:t>
            </w:r>
          </w:p>
        </w:tc>
        <w:tc>
          <w:tcPr>
            <w:tcW w:w="693" w:type="dxa"/>
            <w:noWrap w:val="0"/>
            <w:vAlign w:val="center"/>
          </w:tcPr>
          <w:p w14:paraId="68D6A4A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645" w:type="dxa"/>
            <w:gridSpan w:val="2"/>
            <w:noWrap w:val="0"/>
            <w:vAlign w:val="center"/>
          </w:tcPr>
          <w:p w14:paraId="62A991F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30</w:t>
            </w:r>
          </w:p>
        </w:tc>
        <w:tc>
          <w:tcPr>
            <w:tcW w:w="746" w:type="dxa"/>
            <w:gridSpan w:val="2"/>
            <w:noWrap w:val="0"/>
            <w:vAlign w:val="center"/>
          </w:tcPr>
          <w:p w14:paraId="6E94E16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30</w:t>
            </w:r>
          </w:p>
        </w:tc>
        <w:tc>
          <w:tcPr>
            <w:tcW w:w="1407" w:type="dxa"/>
            <w:gridSpan w:val="2"/>
            <w:noWrap w:val="0"/>
            <w:vAlign w:val="center"/>
          </w:tcPr>
          <w:p w14:paraId="19F459A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无偏差</w:t>
            </w:r>
          </w:p>
        </w:tc>
      </w:tr>
      <w:tr w14:paraId="02B31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trPr>
        <w:tc>
          <w:tcPr>
            <w:tcW w:w="647" w:type="dxa"/>
            <w:vMerge w:val="continue"/>
            <w:noWrap w:val="0"/>
            <w:textDirection w:val="tbRlV"/>
            <w:vAlign w:val="center"/>
          </w:tcPr>
          <w:p w14:paraId="249913B7">
            <w:pPr>
              <w:spacing w:line="240" w:lineRule="auto"/>
              <w:ind w:left="113" w:right="113" w:firstLine="0" w:firstLineChars="0"/>
              <w:jc w:val="center"/>
              <w:rPr>
                <w:rFonts w:hint="eastAsia" w:ascii="宋体" w:hAnsi="宋体" w:eastAsia="宋体" w:cs="宋体"/>
                <w:sz w:val="22"/>
                <w:szCs w:val="22"/>
              </w:rPr>
            </w:pPr>
          </w:p>
        </w:tc>
        <w:tc>
          <w:tcPr>
            <w:tcW w:w="671" w:type="dxa"/>
            <w:vMerge w:val="continue"/>
            <w:noWrap w:val="0"/>
            <w:vAlign w:val="center"/>
          </w:tcPr>
          <w:p w14:paraId="75E78449">
            <w:pPr>
              <w:spacing w:line="240" w:lineRule="auto"/>
              <w:ind w:firstLine="0" w:firstLineChars="0"/>
              <w:jc w:val="center"/>
              <w:rPr>
                <w:rFonts w:hint="eastAsia" w:ascii="宋体" w:hAnsi="宋体" w:eastAsia="宋体" w:cs="宋体"/>
                <w:spacing w:val="-3"/>
                <w:sz w:val="22"/>
                <w:szCs w:val="22"/>
              </w:rPr>
            </w:pPr>
          </w:p>
        </w:tc>
        <w:tc>
          <w:tcPr>
            <w:tcW w:w="949" w:type="dxa"/>
            <w:noWrap w:val="0"/>
            <w:vAlign w:val="center"/>
          </w:tcPr>
          <w:p w14:paraId="32CC8C85">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质量</w:t>
            </w:r>
          </w:p>
          <w:p w14:paraId="418C1F54">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指标</w:t>
            </w:r>
          </w:p>
        </w:tc>
        <w:tc>
          <w:tcPr>
            <w:tcW w:w="1223" w:type="dxa"/>
            <w:gridSpan w:val="2"/>
            <w:noWrap w:val="0"/>
            <w:vAlign w:val="center"/>
          </w:tcPr>
          <w:p w14:paraId="1AD55CD2">
            <w:pPr>
              <w:spacing w:line="240" w:lineRule="auto"/>
              <w:ind w:firstLine="0" w:firstLineChars="0"/>
              <w:jc w:val="center"/>
              <w:rPr>
                <w:rFonts w:hint="eastAsia" w:ascii="宋体" w:hAnsi="宋体" w:eastAsia="宋体" w:cs="宋体"/>
                <w:spacing w:val="-3"/>
                <w:sz w:val="15"/>
                <w:szCs w:val="15"/>
              </w:rPr>
            </w:pPr>
            <w:r>
              <w:rPr>
                <w:rFonts w:hint="eastAsia" w:ascii="宋体" w:hAnsi="宋体" w:eastAsia="宋体" w:cs="宋体"/>
                <w:spacing w:val="-3"/>
                <w:sz w:val="15"/>
                <w:szCs w:val="15"/>
              </w:rPr>
              <w:t>足额下拨工作补贴</w:t>
            </w:r>
          </w:p>
        </w:tc>
        <w:tc>
          <w:tcPr>
            <w:tcW w:w="1318" w:type="dxa"/>
            <w:noWrap w:val="0"/>
            <w:vAlign w:val="center"/>
          </w:tcPr>
          <w:p w14:paraId="6949FD8E">
            <w:pPr>
              <w:tabs>
                <w:tab w:val="left" w:pos="359"/>
              </w:tabs>
              <w:spacing w:line="240" w:lineRule="auto"/>
              <w:ind w:firstLine="0" w:firstLineChars="0"/>
              <w:jc w:val="center"/>
              <w:rPr>
                <w:rFonts w:hint="eastAsia" w:ascii="宋体" w:hAnsi="宋体" w:eastAsia="宋体" w:cs="宋体"/>
                <w:sz w:val="15"/>
                <w:szCs w:val="15"/>
                <w:lang w:val="en-US" w:eastAsia="zh-CN"/>
              </w:rPr>
            </w:pPr>
            <w:r>
              <w:rPr>
                <w:rFonts w:hint="eastAsia" w:ascii="宋体" w:hAnsi="宋体" w:eastAsia="宋体" w:cs="宋体"/>
                <w:spacing w:val="-3"/>
                <w:sz w:val="15"/>
                <w:szCs w:val="15"/>
              </w:rPr>
              <w:t>足额</w:t>
            </w:r>
          </w:p>
        </w:tc>
        <w:tc>
          <w:tcPr>
            <w:tcW w:w="693" w:type="dxa"/>
            <w:noWrap w:val="0"/>
            <w:vAlign w:val="center"/>
          </w:tcPr>
          <w:p w14:paraId="27131658">
            <w:pPr>
              <w:tabs>
                <w:tab w:val="left" w:pos="359"/>
              </w:tabs>
              <w:spacing w:line="240" w:lineRule="auto"/>
              <w:ind w:firstLine="0" w:firstLineChars="0"/>
              <w:jc w:val="center"/>
              <w:rPr>
                <w:rFonts w:hint="eastAsia" w:ascii="宋体" w:hAnsi="宋体" w:eastAsia="宋体" w:cs="宋体"/>
                <w:snapToGrid w:val="0"/>
                <w:color w:val="000000"/>
                <w:kern w:val="0"/>
                <w:sz w:val="15"/>
                <w:szCs w:val="15"/>
                <w:lang w:val="en-US" w:eastAsia="zh-CN"/>
              </w:rPr>
            </w:pPr>
            <w:r>
              <w:rPr>
                <w:rFonts w:hint="eastAsia" w:ascii="宋体" w:hAnsi="宋体" w:eastAsia="宋体" w:cs="宋体"/>
                <w:spacing w:val="-3"/>
                <w:sz w:val="15"/>
                <w:szCs w:val="15"/>
              </w:rPr>
              <w:t>足额</w:t>
            </w:r>
          </w:p>
        </w:tc>
        <w:tc>
          <w:tcPr>
            <w:tcW w:w="645" w:type="dxa"/>
            <w:gridSpan w:val="2"/>
            <w:noWrap w:val="0"/>
            <w:vAlign w:val="center"/>
          </w:tcPr>
          <w:p w14:paraId="1CFE20A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746" w:type="dxa"/>
            <w:gridSpan w:val="2"/>
            <w:noWrap w:val="0"/>
            <w:vAlign w:val="center"/>
          </w:tcPr>
          <w:p w14:paraId="5335844A">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407" w:type="dxa"/>
            <w:gridSpan w:val="2"/>
            <w:noWrap w:val="0"/>
            <w:vAlign w:val="center"/>
          </w:tcPr>
          <w:p w14:paraId="104DC75A">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无偏差</w:t>
            </w:r>
          </w:p>
        </w:tc>
      </w:tr>
      <w:tr w14:paraId="0F9D0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trPr>
        <w:tc>
          <w:tcPr>
            <w:tcW w:w="647" w:type="dxa"/>
            <w:vMerge w:val="continue"/>
            <w:noWrap w:val="0"/>
            <w:textDirection w:val="tbRlV"/>
            <w:vAlign w:val="center"/>
          </w:tcPr>
          <w:p w14:paraId="6A0F8424">
            <w:pPr>
              <w:spacing w:line="240" w:lineRule="auto"/>
              <w:ind w:left="113" w:right="113" w:firstLine="0" w:firstLineChars="0"/>
              <w:jc w:val="center"/>
              <w:rPr>
                <w:rFonts w:hint="eastAsia" w:ascii="宋体" w:hAnsi="宋体" w:eastAsia="宋体" w:cs="宋体"/>
                <w:sz w:val="22"/>
                <w:szCs w:val="22"/>
              </w:rPr>
            </w:pPr>
          </w:p>
        </w:tc>
        <w:tc>
          <w:tcPr>
            <w:tcW w:w="671" w:type="dxa"/>
            <w:vMerge w:val="continue"/>
            <w:noWrap w:val="0"/>
            <w:vAlign w:val="center"/>
          </w:tcPr>
          <w:p w14:paraId="1297872B">
            <w:pPr>
              <w:spacing w:line="240" w:lineRule="auto"/>
              <w:ind w:firstLine="0" w:firstLineChars="0"/>
              <w:jc w:val="center"/>
              <w:rPr>
                <w:rFonts w:hint="eastAsia" w:ascii="宋体" w:hAnsi="宋体" w:eastAsia="宋体" w:cs="宋体"/>
                <w:spacing w:val="-3"/>
                <w:sz w:val="22"/>
                <w:szCs w:val="22"/>
              </w:rPr>
            </w:pPr>
          </w:p>
        </w:tc>
        <w:tc>
          <w:tcPr>
            <w:tcW w:w="949" w:type="dxa"/>
            <w:noWrap w:val="0"/>
            <w:vAlign w:val="center"/>
          </w:tcPr>
          <w:p w14:paraId="7A1D5301">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时效</w:t>
            </w:r>
          </w:p>
          <w:p w14:paraId="1D9B6C85">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指标</w:t>
            </w:r>
          </w:p>
        </w:tc>
        <w:tc>
          <w:tcPr>
            <w:tcW w:w="1223" w:type="dxa"/>
            <w:gridSpan w:val="2"/>
            <w:noWrap w:val="0"/>
            <w:vAlign w:val="center"/>
          </w:tcPr>
          <w:p w14:paraId="4B2D9430">
            <w:pPr>
              <w:spacing w:line="240" w:lineRule="auto"/>
              <w:ind w:firstLine="0" w:firstLineChars="0"/>
              <w:jc w:val="center"/>
              <w:rPr>
                <w:rFonts w:hint="eastAsia" w:ascii="宋体" w:hAnsi="宋体" w:eastAsia="宋体" w:cs="宋体"/>
                <w:spacing w:val="-3"/>
                <w:sz w:val="15"/>
                <w:szCs w:val="15"/>
              </w:rPr>
            </w:pPr>
            <w:r>
              <w:rPr>
                <w:rFonts w:hint="eastAsia" w:ascii="宋体" w:hAnsi="宋体" w:eastAsia="宋体" w:cs="宋体"/>
                <w:spacing w:val="-3"/>
                <w:sz w:val="15"/>
                <w:szCs w:val="15"/>
              </w:rPr>
              <w:t>及时下拨工作补贴</w:t>
            </w:r>
          </w:p>
        </w:tc>
        <w:tc>
          <w:tcPr>
            <w:tcW w:w="1318" w:type="dxa"/>
            <w:noWrap w:val="0"/>
            <w:vAlign w:val="center"/>
          </w:tcPr>
          <w:p w14:paraId="1C13B434">
            <w:pPr>
              <w:spacing w:line="240" w:lineRule="auto"/>
              <w:ind w:firstLine="0" w:firstLineChars="0"/>
              <w:jc w:val="center"/>
              <w:rPr>
                <w:rFonts w:hint="eastAsia" w:ascii="宋体" w:hAnsi="宋体" w:eastAsia="宋体" w:cs="宋体"/>
                <w:sz w:val="15"/>
                <w:szCs w:val="15"/>
                <w:lang w:val="en-US" w:eastAsia="zh-CN"/>
              </w:rPr>
            </w:pPr>
            <w:r>
              <w:rPr>
                <w:rFonts w:hint="eastAsia" w:ascii="宋体" w:hAnsi="宋体" w:eastAsia="宋体" w:cs="宋体"/>
                <w:spacing w:val="-3"/>
                <w:sz w:val="15"/>
                <w:szCs w:val="15"/>
              </w:rPr>
              <w:t>及时</w:t>
            </w:r>
          </w:p>
        </w:tc>
        <w:tc>
          <w:tcPr>
            <w:tcW w:w="693" w:type="dxa"/>
            <w:noWrap w:val="0"/>
            <w:vAlign w:val="center"/>
          </w:tcPr>
          <w:p w14:paraId="114C4632">
            <w:pPr>
              <w:spacing w:line="240" w:lineRule="auto"/>
              <w:ind w:firstLine="0" w:firstLineChars="0"/>
              <w:jc w:val="center"/>
              <w:rPr>
                <w:rFonts w:hint="eastAsia" w:ascii="宋体" w:hAnsi="宋体" w:eastAsia="宋体" w:cs="宋体"/>
                <w:snapToGrid w:val="0"/>
                <w:color w:val="000000"/>
                <w:kern w:val="0"/>
                <w:sz w:val="15"/>
                <w:szCs w:val="15"/>
                <w:lang w:val="en-US" w:eastAsia="zh-CN"/>
              </w:rPr>
            </w:pPr>
            <w:r>
              <w:rPr>
                <w:rFonts w:hint="eastAsia" w:ascii="宋体" w:hAnsi="宋体" w:eastAsia="宋体" w:cs="宋体"/>
                <w:spacing w:val="-3"/>
                <w:sz w:val="15"/>
                <w:szCs w:val="15"/>
              </w:rPr>
              <w:t>及时</w:t>
            </w:r>
          </w:p>
        </w:tc>
        <w:tc>
          <w:tcPr>
            <w:tcW w:w="645" w:type="dxa"/>
            <w:gridSpan w:val="2"/>
            <w:noWrap w:val="0"/>
            <w:vAlign w:val="center"/>
          </w:tcPr>
          <w:p w14:paraId="1260EBA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746" w:type="dxa"/>
            <w:gridSpan w:val="2"/>
            <w:noWrap w:val="0"/>
            <w:vAlign w:val="center"/>
          </w:tcPr>
          <w:p w14:paraId="2FFE966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407" w:type="dxa"/>
            <w:gridSpan w:val="2"/>
            <w:noWrap w:val="0"/>
            <w:vAlign w:val="center"/>
          </w:tcPr>
          <w:p w14:paraId="55AAFC2D">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无偏差</w:t>
            </w:r>
          </w:p>
        </w:tc>
      </w:tr>
      <w:tr w14:paraId="33E75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7" w:hRule="atLeast"/>
        </w:trPr>
        <w:tc>
          <w:tcPr>
            <w:tcW w:w="647" w:type="dxa"/>
            <w:vMerge w:val="continue"/>
            <w:noWrap w:val="0"/>
            <w:textDirection w:val="tbRlV"/>
            <w:vAlign w:val="center"/>
          </w:tcPr>
          <w:p w14:paraId="457890A1">
            <w:pPr>
              <w:spacing w:line="240" w:lineRule="auto"/>
              <w:ind w:left="113" w:right="113" w:firstLine="0" w:firstLineChars="0"/>
              <w:jc w:val="center"/>
              <w:rPr>
                <w:rFonts w:hint="eastAsia" w:ascii="宋体" w:hAnsi="宋体" w:eastAsia="宋体" w:cs="宋体"/>
                <w:sz w:val="22"/>
                <w:szCs w:val="22"/>
              </w:rPr>
            </w:pPr>
          </w:p>
        </w:tc>
        <w:tc>
          <w:tcPr>
            <w:tcW w:w="671" w:type="dxa"/>
            <w:vMerge w:val="continue"/>
            <w:noWrap w:val="0"/>
            <w:vAlign w:val="center"/>
          </w:tcPr>
          <w:p w14:paraId="72ECCEE3">
            <w:pPr>
              <w:spacing w:line="240" w:lineRule="auto"/>
              <w:ind w:firstLine="0" w:firstLineChars="0"/>
              <w:jc w:val="center"/>
              <w:rPr>
                <w:rFonts w:hint="eastAsia" w:ascii="宋体" w:hAnsi="宋体" w:eastAsia="宋体" w:cs="宋体"/>
                <w:spacing w:val="-3"/>
                <w:sz w:val="22"/>
                <w:szCs w:val="22"/>
              </w:rPr>
            </w:pPr>
          </w:p>
        </w:tc>
        <w:tc>
          <w:tcPr>
            <w:tcW w:w="949" w:type="dxa"/>
            <w:noWrap w:val="0"/>
            <w:vAlign w:val="center"/>
          </w:tcPr>
          <w:p w14:paraId="714E8EDF">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成本指标</w:t>
            </w:r>
          </w:p>
        </w:tc>
        <w:tc>
          <w:tcPr>
            <w:tcW w:w="1223" w:type="dxa"/>
            <w:gridSpan w:val="2"/>
            <w:noWrap w:val="0"/>
            <w:vAlign w:val="center"/>
          </w:tcPr>
          <w:p w14:paraId="48A70640">
            <w:pPr>
              <w:spacing w:line="240" w:lineRule="auto"/>
              <w:ind w:firstLine="0" w:firstLineChars="0"/>
              <w:jc w:val="center"/>
              <w:rPr>
                <w:rFonts w:hint="eastAsia" w:ascii="宋体" w:hAnsi="宋体" w:eastAsia="宋体" w:cs="宋体"/>
                <w:spacing w:val="-3"/>
                <w:sz w:val="15"/>
                <w:szCs w:val="15"/>
              </w:rPr>
            </w:pPr>
            <w:r>
              <w:rPr>
                <w:rFonts w:hint="eastAsia" w:ascii="宋体" w:hAnsi="宋体" w:eastAsia="宋体" w:cs="宋体"/>
                <w:spacing w:val="-3"/>
                <w:sz w:val="15"/>
                <w:szCs w:val="15"/>
              </w:rPr>
              <w:t>成本控制率</w:t>
            </w:r>
          </w:p>
        </w:tc>
        <w:tc>
          <w:tcPr>
            <w:tcW w:w="1318" w:type="dxa"/>
            <w:noWrap w:val="0"/>
            <w:vAlign w:val="center"/>
          </w:tcPr>
          <w:p w14:paraId="553AD3EA">
            <w:pPr>
              <w:spacing w:line="240" w:lineRule="auto"/>
              <w:ind w:firstLine="0" w:firstLineChars="0"/>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≤100%</w:t>
            </w:r>
          </w:p>
        </w:tc>
        <w:tc>
          <w:tcPr>
            <w:tcW w:w="693" w:type="dxa"/>
            <w:noWrap w:val="0"/>
            <w:vAlign w:val="center"/>
          </w:tcPr>
          <w:p w14:paraId="0C8ADB77">
            <w:pPr>
              <w:spacing w:line="240" w:lineRule="auto"/>
              <w:ind w:firstLine="0" w:firstLineChars="0"/>
              <w:jc w:val="center"/>
              <w:rPr>
                <w:rFonts w:hint="eastAsia" w:ascii="宋体" w:hAnsi="宋体" w:eastAsia="宋体" w:cs="宋体"/>
                <w:snapToGrid w:val="0"/>
                <w:color w:val="000000"/>
                <w:kern w:val="0"/>
                <w:sz w:val="15"/>
                <w:szCs w:val="15"/>
                <w:lang w:val="en-US" w:eastAsia="zh-CN"/>
              </w:rPr>
            </w:pPr>
            <w:r>
              <w:rPr>
                <w:rFonts w:hint="eastAsia" w:ascii="宋体" w:hAnsi="宋体" w:eastAsia="宋体" w:cs="宋体"/>
                <w:sz w:val="15"/>
                <w:szCs w:val="15"/>
                <w:lang w:val="en-US" w:eastAsia="zh-CN"/>
              </w:rPr>
              <w:t>≤100%</w:t>
            </w:r>
          </w:p>
        </w:tc>
        <w:tc>
          <w:tcPr>
            <w:tcW w:w="645" w:type="dxa"/>
            <w:gridSpan w:val="2"/>
            <w:noWrap w:val="0"/>
            <w:vAlign w:val="center"/>
          </w:tcPr>
          <w:p w14:paraId="7682058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6" w:type="dxa"/>
            <w:gridSpan w:val="2"/>
            <w:noWrap w:val="0"/>
            <w:vAlign w:val="center"/>
          </w:tcPr>
          <w:p w14:paraId="17BAD00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407" w:type="dxa"/>
            <w:gridSpan w:val="2"/>
            <w:noWrap w:val="0"/>
            <w:vAlign w:val="center"/>
          </w:tcPr>
          <w:p w14:paraId="38358B7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无偏差</w:t>
            </w:r>
          </w:p>
        </w:tc>
      </w:tr>
      <w:tr w14:paraId="6A704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5" w:hRule="atLeast"/>
        </w:trPr>
        <w:tc>
          <w:tcPr>
            <w:tcW w:w="647" w:type="dxa"/>
            <w:vMerge w:val="continue"/>
            <w:noWrap w:val="0"/>
            <w:vAlign w:val="center"/>
          </w:tcPr>
          <w:p w14:paraId="30BE2EBF">
            <w:pPr>
              <w:spacing w:line="240" w:lineRule="auto"/>
              <w:ind w:firstLine="0" w:firstLineChars="0"/>
              <w:jc w:val="center"/>
              <w:rPr>
                <w:rFonts w:hint="eastAsia" w:ascii="宋体" w:hAnsi="宋体" w:eastAsia="宋体" w:cs="宋体"/>
                <w:sz w:val="22"/>
                <w:szCs w:val="22"/>
              </w:rPr>
            </w:pPr>
          </w:p>
        </w:tc>
        <w:tc>
          <w:tcPr>
            <w:tcW w:w="671" w:type="dxa"/>
            <w:vMerge w:val="restart"/>
            <w:noWrap w:val="0"/>
            <w:vAlign w:val="center"/>
          </w:tcPr>
          <w:p w14:paraId="63773BD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78C9362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49" w:type="dxa"/>
            <w:noWrap w:val="0"/>
            <w:vAlign w:val="center"/>
          </w:tcPr>
          <w:p w14:paraId="4E0B625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社会效益指标</w:t>
            </w:r>
          </w:p>
        </w:tc>
        <w:tc>
          <w:tcPr>
            <w:tcW w:w="1223" w:type="dxa"/>
            <w:gridSpan w:val="2"/>
            <w:noWrap w:val="0"/>
            <w:vAlign w:val="center"/>
          </w:tcPr>
          <w:p w14:paraId="28A5C76E">
            <w:pPr>
              <w:spacing w:line="240" w:lineRule="auto"/>
              <w:ind w:firstLine="0" w:firstLineChars="0"/>
              <w:jc w:val="center"/>
              <w:rPr>
                <w:rFonts w:hint="eastAsia" w:ascii="宋体" w:hAnsi="宋体" w:eastAsia="宋体" w:cs="宋体"/>
                <w:snapToGrid w:val="0"/>
                <w:color w:val="000000"/>
                <w:kern w:val="0"/>
                <w:sz w:val="15"/>
                <w:szCs w:val="15"/>
                <w:lang w:val="en-US" w:eastAsia="zh-CN"/>
              </w:rPr>
            </w:pPr>
            <w:r>
              <w:rPr>
                <w:rFonts w:hint="eastAsia" w:ascii="宋体" w:hAnsi="宋体" w:eastAsia="宋体" w:cs="宋体"/>
                <w:spacing w:val="-3"/>
                <w:sz w:val="15"/>
                <w:szCs w:val="15"/>
              </w:rPr>
              <w:t>降低人才流失率</w:t>
            </w:r>
          </w:p>
        </w:tc>
        <w:tc>
          <w:tcPr>
            <w:tcW w:w="1318" w:type="dxa"/>
            <w:noWrap w:val="0"/>
            <w:vAlign w:val="center"/>
          </w:tcPr>
          <w:p w14:paraId="24631B40">
            <w:pPr>
              <w:spacing w:line="240" w:lineRule="auto"/>
              <w:ind w:firstLine="0" w:firstLineChars="0"/>
              <w:jc w:val="center"/>
              <w:rPr>
                <w:rFonts w:hint="eastAsia" w:ascii="宋体" w:hAnsi="宋体" w:eastAsia="宋体" w:cs="宋体"/>
                <w:sz w:val="15"/>
                <w:szCs w:val="15"/>
              </w:rPr>
            </w:pPr>
            <w:r>
              <w:rPr>
                <w:rFonts w:hint="eastAsia" w:ascii="宋体" w:hAnsi="宋体" w:eastAsia="宋体" w:cs="宋体"/>
                <w:sz w:val="15"/>
                <w:szCs w:val="15"/>
              </w:rPr>
              <w:t>降低</w:t>
            </w:r>
          </w:p>
        </w:tc>
        <w:tc>
          <w:tcPr>
            <w:tcW w:w="693" w:type="dxa"/>
            <w:noWrap w:val="0"/>
            <w:vAlign w:val="center"/>
          </w:tcPr>
          <w:p w14:paraId="472B4383">
            <w:pPr>
              <w:spacing w:line="240" w:lineRule="auto"/>
              <w:ind w:firstLine="0" w:firstLineChars="0"/>
              <w:jc w:val="center"/>
              <w:rPr>
                <w:rFonts w:hint="eastAsia" w:ascii="宋体" w:hAnsi="宋体" w:eastAsia="宋体" w:cs="宋体"/>
                <w:snapToGrid w:val="0"/>
                <w:color w:val="000000"/>
                <w:kern w:val="0"/>
                <w:sz w:val="15"/>
                <w:szCs w:val="15"/>
              </w:rPr>
            </w:pPr>
            <w:r>
              <w:rPr>
                <w:rFonts w:hint="eastAsia" w:ascii="宋体" w:hAnsi="宋体" w:eastAsia="宋体" w:cs="宋体"/>
                <w:sz w:val="15"/>
                <w:szCs w:val="15"/>
              </w:rPr>
              <w:t>降低</w:t>
            </w:r>
          </w:p>
        </w:tc>
        <w:tc>
          <w:tcPr>
            <w:tcW w:w="645" w:type="dxa"/>
            <w:gridSpan w:val="2"/>
            <w:noWrap w:val="0"/>
            <w:vAlign w:val="center"/>
          </w:tcPr>
          <w:p w14:paraId="7482BBD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46" w:type="dxa"/>
            <w:gridSpan w:val="2"/>
            <w:noWrap w:val="0"/>
            <w:vAlign w:val="center"/>
          </w:tcPr>
          <w:p w14:paraId="79367E0A">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407" w:type="dxa"/>
            <w:gridSpan w:val="2"/>
            <w:noWrap w:val="0"/>
            <w:vAlign w:val="center"/>
          </w:tcPr>
          <w:p w14:paraId="3ED14E6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6D429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6" w:hRule="atLeast"/>
        </w:trPr>
        <w:tc>
          <w:tcPr>
            <w:tcW w:w="647" w:type="dxa"/>
            <w:vMerge w:val="continue"/>
            <w:noWrap w:val="0"/>
            <w:vAlign w:val="center"/>
          </w:tcPr>
          <w:p w14:paraId="11E6C3C4">
            <w:pPr>
              <w:spacing w:line="240" w:lineRule="auto"/>
              <w:ind w:firstLine="0" w:firstLineChars="0"/>
              <w:jc w:val="center"/>
              <w:rPr>
                <w:rFonts w:hint="eastAsia" w:ascii="宋体" w:hAnsi="宋体" w:eastAsia="宋体" w:cs="宋体"/>
                <w:sz w:val="22"/>
                <w:szCs w:val="22"/>
              </w:rPr>
            </w:pPr>
          </w:p>
        </w:tc>
        <w:tc>
          <w:tcPr>
            <w:tcW w:w="671" w:type="dxa"/>
            <w:vMerge w:val="continue"/>
            <w:noWrap w:val="0"/>
            <w:vAlign w:val="center"/>
          </w:tcPr>
          <w:p w14:paraId="52A05C5B">
            <w:pPr>
              <w:spacing w:line="240" w:lineRule="auto"/>
              <w:ind w:firstLine="0" w:firstLineChars="0"/>
              <w:jc w:val="center"/>
              <w:rPr>
                <w:rFonts w:hint="eastAsia" w:ascii="宋体" w:hAnsi="宋体" w:eastAsia="宋体" w:cs="宋体"/>
                <w:sz w:val="22"/>
                <w:szCs w:val="22"/>
              </w:rPr>
            </w:pPr>
          </w:p>
        </w:tc>
        <w:tc>
          <w:tcPr>
            <w:tcW w:w="949" w:type="dxa"/>
            <w:noWrap w:val="0"/>
            <w:vAlign w:val="center"/>
          </w:tcPr>
          <w:p w14:paraId="020AFCA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223" w:type="dxa"/>
            <w:gridSpan w:val="2"/>
            <w:noWrap w:val="0"/>
            <w:vAlign w:val="center"/>
          </w:tcPr>
          <w:p w14:paraId="38DAB14D">
            <w:pPr>
              <w:spacing w:line="240" w:lineRule="auto"/>
              <w:ind w:firstLine="0" w:firstLineChars="0"/>
              <w:jc w:val="center"/>
              <w:rPr>
                <w:rFonts w:hint="eastAsia" w:ascii="宋体" w:hAnsi="宋体" w:eastAsia="宋体" w:cs="宋体"/>
                <w:snapToGrid w:val="0"/>
                <w:color w:val="000000"/>
                <w:kern w:val="0"/>
                <w:sz w:val="15"/>
                <w:szCs w:val="15"/>
                <w:lang w:val="en-US" w:eastAsia="zh-CN"/>
              </w:rPr>
            </w:pPr>
            <w:r>
              <w:rPr>
                <w:rFonts w:hint="eastAsia" w:ascii="宋体" w:hAnsi="宋体" w:eastAsia="宋体" w:cs="宋体"/>
                <w:spacing w:val="-3"/>
                <w:sz w:val="15"/>
                <w:szCs w:val="15"/>
              </w:rPr>
              <w:t>持续加强医疗卫生人才队伍建设，提升医疗服务能力、水平，切实为新区老百姓提供优质的医疗服务</w:t>
            </w:r>
          </w:p>
        </w:tc>
        <w:tc>
          <w:tcPr>
            <w:tcW w:w="1318" w:type="dxa"/>
            <w:noWrap w:val="0"/>
            <w:vAlign w:val="center"/>
          </w:tcPr>
          <w:p w14:paraId="75A6D4BF">
            <w:pPr>
              <w:spacing w:line="240" w:lineRule="auto"/>
              <w:ind w:firstLine="0" w:firstLineChars="0"/>
              <w:jc w:val="center"/>
              <w:rPr>
                <w:rFonts w:hint="eastAsia" w:ascii="宋体" w:hAnsi="宋体" w:eastAsia="宋体" w:cs="宋体"/>
                <w:sz w:val="15"/>
                <w:szCs w:val="15"/>
              </w:rPr>
            </w:pPr>
            <w:r>
              <w:rPr>
                <w:rFonts w:hint="eastAsia" w:ascii="宋体" w:hAnsi="宋体" w:eastAsia="宋体" w:cs="宋体"/>
                <w:sz w:val="15"/>
                <w:szCs w:val="15"/>
              </w:rPr>
              <w:t>持续加强</w:t>
            </w:r>
          </w:p>
        </w:tc>
        <w:tc>
          <w:tcPr>
            <w:tcW w:w="693" w:type="dxa"/>
            <w:noWrap w:val="0"/>
            <w:vAlign w:val="center"/>
          </w:tcPr>
          <w:p w14:paraId="6FD61E43">
            <w:pPr>
              <w:spacing w:line="240" w:lineRule="auto"/>
              <w:ind w:firstLine="0" w:firstLineChars="0"/>
              <w:jc w:val="center"/>
              <w:rPr>
                <w:rFonts w:hint="eastAsia" w:ascii="宋体" w:hAnsi="宋体" w:eastAsia="宋体" w:cs="宋体"/>
                <w:snapToGrid w:val="0"/>
                <w:color w:val="000000"/>
                <w:kern w:val="0"/>
                <w:sz w:val="15"/>
                <w:szCs w:val="15"/>
              </w:rPr>
            </w:pPr>
            <w:r>
              <w:rPr>
                <w:rFonts w:hint="eastAsia" w:ascii="宋体" w:hAnsi="宋体" w:eastAsia="宋体" w:cs="宋体"/>
                <w:sz w:val="15"/>
                <w:szCs w:val="15"/>
              </w:rPr>
              <w:t>持续加强</w:t>
            </w:r>
          </w:p>
        </w:tc>
        <w:tc>
          <w:tcPr>
            <w:tcW w:w="645" w:type="dxa"/>
            <w:gridSpan w:val="2"/>
            <w:noWrap w:val="0"/>
            <w:vAlign w:val="center"/>
          </w:tcPr>
          <w:p w14:paraId="68E470C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46" w:type="dxa"/>
            <w:gridSpan w:val="2"/>
            <w:noWrap w:val="0"/>
            <w:vAlign w:val="center"/>
          </w:tcPr>
          <w:p w14:paraId="53B7286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407" w:type="dxa"/>
            <w:gridSpan w:val="2"/>
            <w:noWrap w:val="0"/>
            <w:vAlign w:val="center"/>
          </w:tcPr>
          <w:p w14:paraId="1489AEE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7F140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trPr>
        <w:tc>
          <w:tcPr>
            <w:tcW w:w="647" w:type="dxa"/>
            <w:vMerge w:val="continue"/>
            <w:noWrap w:val="0"/>
            <w:textDirection w:val="tbRlV"/>
            <w:vAlign w:val="center"/>
          </w:tcPr>
          <w:p w14:paraId="282D7C02">
            <w:pPr>
              <w:spacing w:line="240" w:lineRule="auto"/>
              <w:ind w:firstLine="0" w:firstLineChars="0"/>
              <w:jc w:val="center"/>
              <w:rPr>
                <w:rFonts w:hint="eastAsia" w:ascii="宋体" w:hAnsi="宋体" w:eastAsia="宋体" w:cs="宋体"/>
                <w:sz w:val="22"/>
                <w:szCs w:val="22"/>
              </w:rPr>
            </w:pPr>
          </w:p>
        </w:tc>
        <w:tc>
          <w:tcPr>
            <w:tcW w:w="671" w:type="dxa"/>
            <w:noWrap w:val="0"/>
            <w:vAlign w:val="center"/>
          </w:tcPr>
          <w:p w14:paraId="1BD0F64E">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满意度</w:t>
            </w:r>
          </w:p>
        </w:tc>
        <w:tc>
          <w:tcPr>
            <w:tcW w:w="949" w:type="dxa"/>
            <w:noWrap w:val="0"/>
            <w:vAlign w:val="center"/>
          </w:tcPr>
          <w:p w14:paraId="1FB1BA42">
            <w:pPr>
              <w:spacing w:line="240" w:lineRule="auto"/>
              <w:ind w:firstLine="0" w:firstLineChars="0"/>
              <w:jc w:val="center"/>
              <w:rPr>
                <w:rFonts w:hint="eastAsia" w:ascii="宋体" w:hAnsi="宋体" w:eastAsia="宋体" w:cs="宋体"/>
                <w:snapToGrid w:val="0"/>
                <w:color w:val="000000"/>
                <w:kern w:val="0"/>
                <w:sz w:val="22"/>
                <w:szCs w:val="22"/>
                <w:lang w:eastAsia="zh-CN"/>
              </w:rPr>
            </w:pPr>
          </w:p>
          <w:p w14:paraId="18C18F3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napToGrid w:val="0"/>
                <w:color w:val="000000"/>
                <w:kern w:val="0"/>
                <w:sz w:val="22"/>
                <w:szCs w:val="22"/>
                <w:lang w:eastAsia="zh-CN"/>
              </w:rPr>
              <w:t>服务对象满意度</w:t>
            </w:r>
          </w:p>
        </w:tc>
        <w:tc>
          <w:tcPr>
            <w:tcW w:w="1223" w:type="dxa"/>
            <w:gridSpan w:val="2"/>
            <w:noWrap w:val="0"/>
            <w:vAlign w:val="center"/>
          </w:tcPr>
          <w:p w14:paraId="6E46A6FF">
            <w:pPr>
              <w:spacing w:line="240" w:lineRule="auto"/>
              <w:ind w:firstLine="0" w:firstLineChars="0"/>
              <w:jc w:val="center"/>
              <w:rPr>
                <w:rFonts w:hint="eastAsia" w:ascii="宋体" w:hAnsi="宋体" w:eastAsia="宋体" w:cs="宋体"/>
                <w:snapToGrid w:val="0"/>
                <w:color w:val="000000"/>
                <w:kern w:val="0"/>
                <w:sz w:val="15"/>
                <w:szCs w:val="15"/>
              </w:rPr>
            </w:pPr>
            <w:r>
              <w:rPr>
                <w:rFonts w:hint="eastAsia" w:ascii="宋体" w:hAnsi="宋体" w:eastAsia="宋体" w:cs="宋体"/>
                <w:snapToGrid w:val="0"/>
                <w:color w:val="000000"/>
                <w:kern w:val="0"/>
                <w:sz w:val="15"/>
                <w:szCs w:val="15"/>
              </w:rPr>
              <w:t>引进人员满意</w:t>
            </w:r>
          </w:p>
        </w:tc>
        <w:tc>
          <w:tcPr>
            <w:tcW w:w="1318" w:type="dxa"/>
            <w:noWrap w:val="0"/>
            <w:vAlign w:val="center"/>
          </w:tcPr>
          <w:p w14:paraId="585883E0">
            <w:pPr>
              <w:tabs>
                <w:tab w:val="left" w:pos="340"/>
              </w:tabs>
              <w:spacing w:line="240" w:lineRule="auto"/>
              <w:ind w:firstLine="0" w:firstLineChars="0"/>
              <w:jc w:val="left"/>
              <w:rPr>
                <w:rFonts w:hint="default" w:ascii="宋体" w:hAnsi="宋体" w:eastAsia="宋体" w:cs="宋体"/>
                <w:snapToGrid w:val="0"/>
                <w:color w:val="000000"/>
                <w:kern w:val="0"/>
                <w:sz w:val="15"/>
                <w:szCs w:val="15"/>
                <w:lang w:val="en-US" w:eastAsia="zh-CN"/>
              </w:rPr>
            </w:pPr>
            <w:r>
              <w:rPr>
                <w:rFonts w:hint="eastAsia" w:ascii="宋体" w:hAnsi="宋体" w:eastAsia="宋体" w:cs="宋体"/>
                <w:snapToGrid w:val="0"/>
                <w:color w:val="000000"/>
                <w:kern w:val="0"/>
                <w:sz w:val="15"/>
                <w:szCs w:val="15"/>
                <w:lang w:eastAsia="zh-CN"/>
              </w:rPr>
              <w:tab/>
            </w:r>
            <w:r>
              <w:rPr>
                <w:rFonts w:hint="eastAsia" w:ascii="宋体" w:hAnsi="宋体" w:eastAsia="宋体" w:cs="宋体"/>
                <w:snapToGrid w:val="0"/>
                <w:color w:val="000000"/>
                <w:kern w:val="0"/>
                <w:sz w:val="15"/>
                <w:szCs w:val="15"/>
                <w:lang w:val="en-US" w:eastAsia="zh-CN"/>
              </w:rPr>
              <w:t>满意</w:t>
            </w:r>
          </w:p>
        </w:tc>
        <w:tc>
          <w:tcPr>
            <w:tcW w:w="693" w:type="dxa"/>
            <w:noWrap w:val="0"/>
            <w:vAlign w:val="center"/>
          </w:tcPr>
          <w:p w14:paraId="67442630">
            <w:pPr>
              <w:tabs>
                <w:tab w:val="left" w:pos="340"/>
              </w:tabs>
              <w:spacing w:line="240" w:lineRule="auto"/>
              <w:ind w:firstLine="0" w:firstLineChars="0"/>
              <w:jc w:val="left"/>
              <w:rPr>
                <w:rFonts w:hint="eastAsia" w:ascii="宋体" w:hAnsi="宋体" w:eastAsia="宋体" w:cs="宋体"/>
                <w:snapToGrid w:val="0"/>
                <w:color w:val="000000"/>
                <w:kern w:val="0"/>
                <w:sz w:val="15"/>
                <w:szCs w:val="15"/>
                <w:lang w:val="en-US" w:eastAsia="zh-CN"/>
              </w:rPr>
            </w:pPr>
            <w:r>
              <w:rPr>
                <w:rFonts w:hint="eastAsia" w:ascii="宋体" w:hAnsi="宋体" w:eastAsia="宋体" w:cs="宋体"/>
                <w:snapToGrid w:val="0"/>
                <w:color w:val="000000"/>
                <w:kern w:val="0"/>
                <w:sz w:val="15"/>
                <w:szCs w:val="15"/>
                <w:lang w:eastAsia="zh-CN"/>
              </w:rPr>
              <w:tab/>
            </w:r>
            <w:r>
              <w:rPr>
                <w:rFonts w:hint="eastAsia" w:ascii="宋体" w:hAnsi="宋体" w:eastAsia="宋体" w:cs="宋体"/>
                <w:snapToGrid w:val="0"/>
                <w:color w:val="000000"/>
                <w:kern w:val="0"/>
                <w:sz w:val="15"/>
                <w:szCs w:val="15"/>
                <w:lang w:val="en-US" w:eastAsia="zh-CN"/>
              </w:rPr>
              <w:t>满意</w:t>
            </w:r>
          </w:p>
        </w:tc>
        <w:tc>
          <w:tcPr>
            <w:tcW w:w="645" w:type="dxa"/>
            <w:gridSpan w:val="2"/>
            <w:noWrap w:val="0"/>
            <w:vAlign w:val="center"/>
          </w:tcPr>
          <w:p w14:paraId="4750736F">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5</w:t>
            </w:r>
          </w:p>
        </w:tc>
        <w:tc>
          <w:tcPr>
            <w:tcW w:w="746" w:type="dxa"/>
            <w:gridSpan w:val="2"/>
            <w:noWrap w:val="0"/>
            <w:vAlign w:val="center"/>
          </w:tcPr>
          <w:p w14:paraId="60A6818B">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5</w:t>
            </w:r>
          </w:p>
        </w:tc>
        <w:tc>
          <w:tcPr>
            <w:tcW w:w="1407" w:type="dxa"/>
            <w:gridSpan w:val="2"/>
            <w:noWrap w:val="0"/>
            <w:vAlign w:val="center"/>
          </w:tcPr>
          <w:p w14:paraId="564B3CD4">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lang w:val="en-US" w:eastAsia="zh-CN"/>
              </w:rPr>
              <w:t>无偏差</w:t>
            </w:r>
          </w:p>
        </w:tc>
      </w:tr>
      <w:tr w14:paraId="624B0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trPr>
        <w:tc>
          <w:tcPr>
            <w:tcW w:w="5501" w:type="dxa"/>
            <w:gridSpan w:val="7"/>
            <w:noWrap w:val="0"/>
            <w:vAlign w:val="center"/>
          </w:tcPr>
          <w:p w14:paraId="1C10A43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645" w:type="dxa"/>
            <w:gridSpan w:val="2"/>
            <w:noWrap w:val="0"/>
            <w:vAlign w:val="center"/>
          </w:tcPr>
          <w:p w14:paraId="0876F4B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46" w:type="dxa"/>
            <w:gridSpan w:val="2"/>
            <w:noWrap w:val="0"/>
            <w:vAlign w:val="center"/>
          </w:tcPr>
          <w:p w14:paraId="26744FF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407" w:type="dxa"/>
            <w:gridSpan w:val="2"/>
            <w:noWrap w:val="0"/>
            <w:vAlign w:val="center"/>
          </w:tcPr>
          <w:p w14:paraId="2FE81D68">
            <w:pPr>
              <w:spacing w:line="240" w:lineRule="auto"/>
              <w:ind w:firstLine="0" w:firstLineChars="0"/>
              <w:jc w:val="center"/>
              <w:rPr>
                <w:rFonts w:hint="eastAsia" w:ascii="宋体" w:hAnsi="宋体" w:eastAsia="宋体" w:cs="宋体"/>
                <w:sz w:val="22"/>
                <w:szCs w:val="22"/>
              </w:rPr>
            </w:pPr>
          </w:p>
        </w:tc>
      </w:tr>
      <w:tr w14:paraId="3DE4C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4" w:hRule="atLeast"/>
        </w:trPr>
        <w:tc>
          <w:tcPr>
            <w:tcW w:w="647" w:type="dxa"/>
            <w:noWrap w:val="0"/>
            <w:vAlign w:val="center"/>
          </w:tcPr>
          <w:p w14:paraId="5C585F0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652" w:type="dxa"/>
            <w:gridSpan w:val="12"/>
            <w:noWrap w:val="0"/>
            <w:vAlign w:val="center"/>
          </w:tcPr>
          <w:p w14:paraId="748AF9EB">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pacing w:val="-2"/>
                <w:sz w:val="22"/>
                <w:szCs w:val="22"/>
                <w:lang w:eastAsia="zh-CN"/>
              </w:rPr>
              <w:t>无</w:t>
            </w:r>
          </w:p>
        </w:tc>
      </w:tr>
    </w:tbl>
    <w:p w14:paraId="207BBF6A">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135A37E3">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2CB12FFD">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05E8A6D0">
      <w:pPr>
        <w:spacing w:before="111" w:line="560" w:lineRule="exact"/>
        <w:ind w:firstLine="0" w:firstLineChars="0"/>
        <w:jc w:val="center"/>
        <w:outlineLvl w:val="1"/>
        <w:rPr>
          <w:rFonts w:ascii="宋体" w:hAnsi="宋体" w:eastAsia="宋体" w:cs="宋体"/>
          <w:b/>
          <w:bCs/>
        </w:rPr>
      </w:pPr>
    </w:p>
    <w:p w14:paraId="74FAE271">
      <w:pPr>
        <w:pageBreakBefore w:val="0"/>
        <w:wordWrap/>
        <w:overflowPunct/>
        <w:topLinePunct w:val="0"/>
        <w:bidi w:val="0"/>
        <w:spacing w:before="111" w:line="560" w:lineRule="exact"/>
        <w:ind w:firstLine="0" w:firstLineChars="0"/>
        <w:outlineLvl w:val="1"/>
        <w:rPr>
          <w:rFonts w:ascii="宋体" w:hAnsi="宋体" w:eastAsia="宋体" w:cs="宋体"/>
          <w:b/>
          <w:bCs/>
        </w:rPr>
      </w:pPr>
      <w:r>
        <w:rPr>
          <w:rFonts w:hint="eastAsia" w:ascii="宋体" w:hAnsi="宋体" w:eastAsia="宋体" w:cs="宋体"/>
          <w:b/>
          <w:bCs/>
          <w:lang w:val="en-US" w:eastAsia="zh-CN"/>
        </w:rPr>
        <w:t>附件23</w:t>
      </w:r>
    </w:p>
    <w:p w14:paraId="6CAA50CC">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40539944">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39"/>
        <w:tblW w:w="841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6"/>
        <w:gridCol w:w="653"/>
        <w:gridCol w:w="1078"/>
        <w:gridCol w:w="1260"/>
        <w:gridCol w:w="194"/>
        <w:gridCol w:w="893"/>
        <w:gridCol w:w="1065"/>
        <w:gridCol w:w="128"/>
        <w:gridCol w:w="422"/>
        <w:gridCol w:w="502"/>
        <w:gridCol w:w="254"/>
        <w:gridCol w:w="391"/>
        <w:gridCol w:w="1063"/>
      </w:tblGrid>
      <w:tr w14:paraId="6A83F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1169" w:type="dxa"/>
            <w:gridSpan w:val="2"/>
            <w:noWrap w:val="0"/>
            <w:vAlign w:val="center"/>
          </w:tcPr>
          <w:p w14:paraId="5AFA925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250" w:type="dxa"/>
            <w:gridSpan w:val="11"/>
            <w:noWrap w:val="0"/>
            <w:vAlign w:val="center"/>
          </w:tcPr>
          <w:p w14:paraId="58389E1B">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rPr>
              <w:t>护士执业资格、卫生专业技术资格、卫生人才评价考试考务工作费用</w:t>
            </w:r>
          </w:p>
        </w:tc>
      </w:tr>
      <w:tr w14:paraId="5A979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1169" w:type="dxa"/>
            <w:gridSpan w:val="2"/>
            <w:noWrap w:val="0"/>
            <w:vAlign w:val="center"/>
          </w:tcPr>
          <w:p w14:paraId="12438EC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425" w:type="dxa"/>
            <w:gridSpan w:val="4"/>
            <w:noWrap w:val="0"/>
            <w:vAlign w:val="center"/>
          </w:tcPr>
          <w:p w14:paraId="6D2366EF">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兰州新区卫生健康委员会</w:t>
            </w:r>
          </w:p>
        </w:tc>
        <w:tc>
          <w:tcPr>
            <w:tcW w:w="1193" w:type="dxa"/>
            <w:gridSpan w:val="2"/>
            <w:noWrap w:val="0"/>
            <w:vAlign w:val="center"/>
          </w:tcPr>
          <w:p w14:paraId="48C4FEB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632" w:type="dxa"/>
            <w:gridSpan w:val="5"/>
            <w:noWrap w:val="0"/>
            <w:vAlign w:val="center"/>
          </w:tcPr>
          <w:p w14:paraId="47599E8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兰州新区卫生健康委员会</w:t>
            </w:r>
          </w:p>
        </w:tc>
      </w:tr>
      <w:tr w14:paraId="7C3A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4" w:hRule="atLeast"/>
        </w:trPr>
        <w:tc>
          <w:tcPr>
            <w:tcW w:w="1169" w:type="dxa"/>
            <w:gridSpan w:val="2"/>
            <w:vMerge w:val="restart"/>
            <w:noWrap w:val="0"/>
            <w:vAlign w:val="center"/>
          </w:tcPr>
          <w:p w14:paraId="13AF120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078" w:type="dxa"/>
            <w:noWrap w:val="0"/>
            <w:vAlign w:val="center"/>
          </w:tcPr>
          <w:p w14:paraId="69B0F787">
            <w:pPr>
              <w:spacing w:line="240" w:lineRule="auto"/>
              <w:ind w:firstLine="0" w:firstLineChars="0"/>
              <w:jc w:val="center"/>
              <w:rPr>
                <w:rFonts w:hint="eastAsia" w:ascii="宋体" w:hAnsi="宋体" w:eastAsia="宋体" w:cs="宋体"/>
                <w:sz w:val="22"/>
                <w:szCs w:val="22"/>
              </w:rPr>
            </w:pPr>
          </w:p>
        </w:tc>
        <w:tc>
          <w:tcPr>
            <w:tcW w:w="1260" w:type="dxa"/>
            <w:noWrap w:val="0"/>
            <w:vAlign w:val="center"/>
          </w:tcPr>
          <w:p w14:paraId="649BCAB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087" w:type="dxa"/>
            <w:gridSpan w:val="2"/>
            <w:noWrap w:val="0"/>
            <w:vAlign w:val="center"/>
          </w:tcPr>
          <w:p w14:paraId="396274C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193" w:type="dxa"/>
            <w:gridSpan w:val="2"/>
            <w:noWrap w:val="0"/>
            <w:vAlign w:val="center"/>
          </w:tcPr>
          <w:p w14:paraId="68939F4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924" w:type="dxa"/>
            <w:gridSpan w:val="2"/>
            <w:noWrap w:val="0"/>
            <w:vAlign w:val="center"/>
          </w:tcPr>
          <w:p w14:paraId="744C3CC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645" w:type="dxa"/>
            <w:gridSpan w:val="2"/>
            <w:noWrap w:val="0"/>
            <w:vAlign w:val="center"/>
          </w:tcPr>
          <w:p w14:paraId="4016102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063" w:type="dxa"/>
            <w:noWrap w:val="0"/>
            <w:vAlign w:val="center"/>
          </w:tcPr>
          <w:p w14:paraId="75935A5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69ED6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1169" w:type="dxa"/>
            <w:gridSpan w:val="2"/>
            <w:vMerge w:val="continue"/>
            <w:noWrap w:val="0"/>
            <w:vAlign w:val="center"/>
          </w:tcPr>
          <w:p w14:paraId="6BEFC1CD">
            <w:pPr>
              <w:spacing w:line="240" w:lineRule="auto"/>
              <w:ind w:firstLine="0" w:firstLineChars="0"/>
              <w:jc w:val="center"/>
              <w:rPr>
                <w:rFonts w:hint="eastAsia" w:ascii="宋体" w:hAnsi="宋体" w:eastAsia="宋体" w:cs="宋体"/>
                <w:sz w:val="22"/>
                <w:szCs w:val="22"/>
              </w:rPr>
            </w:pPr>
          </w:p>
        </w:tc>
        <w:tc>
          <w:tcPr>
            <w:tcW w:w="1078" w:type="dxa"/>
            <w:noWrap w:val="0"/>
            <w:vAlign w:val="center"/>
          </w:tcPr>
          <w:p w14:paraId="598443E5">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02FEE82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260" w:type="dxa"/>
            <w:noWrap w:val="0"/>
            <w:vAlign w:val="center"/>
          </w:tcPr>
          <w:p w14:paraId="5EEF9F1D">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6.03万元</w:t>
            </w:r>
          </w:p>
        </w:tc>
        <w:tc>
          <w:tcPr>
            <w:tcW w:w="1087" w:type="dxa"/>
            <w:gridSpan w:val="2"/>
            <w:noWrap w:val="0"/>
            <w:vAlign w:val="center"/>
          </w:tcPr>
          <w:p w14:paraId="1E6BE01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6.03万元</w:t>
            </w:r>
          </w:p>
        </w:tc>
        <w:tc>
          <w:tcPr>
            <w:tcW w:w="1193" w:type="dxa"/>
            <w:gridSpan w:val="2"/>
            <w:noWrap w:val="0"/>
            <w:vAlign w:val="center"/>
          </w:tcPr>
          <w:p w14:paraId="3122D0A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924" w:type="dxa"/>
            <w:gridSpan w:val="2"/>
            <w:noWrap w:val="0"/>
            <w:vAlign w:val="center"/>
          </w:tcPr>
          <w:p w14:paraId="06B3806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645" w:type="dxa"/>
            <w:gridSpan w:val="2"/>
            <w:noWrap w:val="0"/>
            <w:vAlign w:val="center"/>
          </w:tcPr>
          <w:p w14:paraId="10B374C5">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86.14%</w:t>
            </w:r>
          </w:p>
        </w:tc>
        <w:tc>
          <w:tcPr>
            <w:tcW w:w="1063" w:type="dxa"/>
            <w:noWrap w:val="0"/>
            <w:vAlign w:val="center"/>
          </w:tcPr>
          <w:p w14:paraId="4DF5137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r>
      <w:tr w14:paraId="2D4CB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1169" w:type="dxa"/>
            <w:gridSpan w:val="2"/>
            <w:vMerge w:val="continue"/>
            <w:noWrap w:val="0"/>
            <w:vAlign w:val="center"/>
          </w:tcPr>
          <w:p w14:paraId="493FACAB">
            <w:pPr>
              <w:spacing w:line="240" w:lineRule="auto"/>
              <w:ind w:firstLine="0" w:firstLineChars="0"/>
              <w:jc w:val="center"/>
              <w:rPr>
                <w:rFonts w:hint="eastAsia" w:ascii="宋体" w:hAnsi="宋体" w:eastAsia="宋体" w:cs="宋体"/>
                <w:sz w:val="22"/>
                <w:szCs w:val="22"/>
              </w:rPr>
            </w:pPr>
          </w:p>
        </w:tc>
        <w:tc>
          <w:tcPr>
            <w:tcW w:w="1078" w:type="dxa"/>
            <w:noWrap w:val="0"/>
            <w:vAlign w:val="center"/>
          </w:tcPr>
          <w:p w14:paraId="72C0715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260" w:type="dxa"/>
            <w:noWrap w:val="0"/>
            <w:vAlign w:val="center"/>
          </w:tcPr>
          <w:p w14:paraId="5A041DD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6.03万元</w:t>
            </w:r>
          </w:p>
        </w:tc>
        <w:tc>
          <w:tcPr>
            <w:tcW w:w="1087" w:type="dxa"/>
            <w:gridSpan w:val="2"/>
            <w:noWrap w:val="0"/>
            <w:vAlign w:val="center"/>
          </w:tcPr>
          <w:p w14:paraId="0EFEEC7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6.03万元</w:t>
            </w:r>
          </w:p>
        </w:tc>
        <w:tc>
          <w:tcPr>
            <w:tcW w:w="1193" w:type="dxa"/>
            <w:gridSpan w:val="2"/>
            <w:noWrap w:val="0"/>
            <w:vAlign w:val="center"/>
          </w:tcPr>
          <w:p w14:paraId="5BDA3B1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924" w:type="dxa"/>
            <w:gridSpan w:val="2"/>
            <w:noWrap w:val="0"/>
            <w:vAlign w:val="center"/>
          </w:tcPr>
          <w:p w14:paraId="7D0F0EE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5" w:type="dxa"/>
            <w:gridSpan w:val="2"/>
            <w:noWrap w:val="0"/>
            <w:vAlign w:val="center"/>
          </w:tcPr>
          <w:p w14:paraId="6ECEDA2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1063" w:type="dxa"/>
            <w:noWrap w:val="0"/>
            <w:vAlign w:val="center"/>
          </w:tcPr>
          <w:p w14:paraId="7467889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05A20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1169" w:type="dxa"/>
            <w:gridSpan w:val="2"/>
            <w:vMerge w:val="continue"/>
            <w:noWrap w:val="0"/>
            <w:vAlign w:val="center"/>
          </w:tcPr>
          <w:p w14:paraId="2E07680D">
            <w:pPr>
              <w:spacing w:line="240" w:lineRule="auto"/>
              <w:ind w:firstLine="0" w:firstLineChars="0"/>
              <w:jc w:val="center"/>
              <w:rPr>
                <w:rFonts w:hint="eastAsia" w:ascii="宋体" w:hAnsi="宋体" w:eastAsia="宋体" w:cs="宋体"/>
                <w:sz w:val="22"/>
                <w:szCs w:val="22"/>
              </w:rPr>
            </w:pPr>
          </w:p>
        </w:tc>
        <w:tc>
          <w:tcPr>
            <w:tcW w:w="1078" w:type="dxa"/>
            <w:noWrap w:val="0"/>
            <w:vAlign w:val="center"/>
          </w:tcPr>
          <w:p w14:paraId="00F45CFF">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75C1E4D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260" w:type="dxa"/>
            <w:noWrap w:val="0"/>
            <w:vAlign w:val="center"/>
          </w:tcPr>
          <w:p w14:paraId="45C4654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7" w:type="dxa"/>
            <w:gridSpan w:val="2"/>
            <w:noWrap w:val="0"/>
            <w:vAlign w:val="center"/>
          </w:tcPr>
          <w:p w14:paraId="68C445A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93" w:type="dxa"/>
            <w:gridSpan w:val="2"/>
            <w:noWrap w:val="0"/>
            <w:vAlign w:val="center"/>
          </w:tcPr>
          <w:p w14:paraId="24ACD56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924" w:type="dxa"/>
            <w:gridSpan w:val="2"/>
            <w:noWrap w:val="0"/>
            <w:vAlign w:val="center"/>
          </w:tcPr>
          <w:p w14:paraId="6D03100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5" w:type="dxa"/>
            <w:gridSpan w:val="2"/>
            <w:noWrap w:val="0"/>
            <w:vAlign w:val="center"/>
          </w:tcPr>
          <w:p w14:paraId="1EFC4D5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1063" w:type="dxa"/>
            <w:noWrap w:val="0"/>
            <w:vAlign w:val="center"/>
          </w:tcPr>
          <w:p w14:paraId="53CED71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50B15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1169" w:type="dxa"/>
            <w:gridSpan w:val="2"/>
            <w:vMerge w:val="continue"/>
            <w:noWrap w:val="0"/>
            <w:vAlign w:val="center"/>
          </w:tcPr>
          <w:p w14:paraId="26460285">
            <w:pPr>
              <w:spacing w:line="240" w:lineRule="auto"/>
              <w:ind w:firstLine="0" w:firstLineChars="0"/>
              <w:jc w:val="center"/>
              <w:rPr>
                <w:rFonts w:hint="eastAsia" w:ascii="宋体" w:hAnsi="宋体" w:eastAsia="宋体" w:cs="宋体"/>
                <w:sz w:val="22"/>
                <w:szCs w:val="22"/>
              </w:rPr>
            </w:pPr>
          </w:p>
        </w:tc>
        <w:tc>
          <w:tcPr>
            <w:tcW w:w="1078" w:type="dxa"/>
            <w:noWrap w:val="0"/>
            <w:vAlign w:val="center"/>
          </w:tcPr>
          <w:p w14:paraId="359E323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260" w:type="dxa"/>
            <w:noWrap w:val="0"/>
            <w:vAlign w:val="center"/>
          </w:tcPr>
          <w:p w14:paraId="33AE401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087" w:type="dxa"/>
            <w:gridSpan w:val="2"/>
            <w:noWrap w:val="0"/>
            <w:vAlign w:val="center"/>
          </w:tcPr>
          <w:p w14:paraId="1E7B7B62">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1193" w:type="dxa"/>
            <w:gridSpan w:val="2"/>
            <w:noWrap w:val="0"/>
            <w:vAlign w:val="center"/>
          </w:tcPr>
          <w:p w14:paraId="70DCFE0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924" w:type="dxa"/>
            <w:gridSpan w:val="2"/>
            <w:noWrap w:val="0"/>
            <w:vAlign w:val="center"/>
          </w:tcPr>
          <w:p w14:paraId="1537D5B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645" w:type="dxa"/>
            <w:gridSpan w:val="2"/>
            <w:noWrap w:val="0"/>
            <w:vAlign w:val="center"/>
          </w:tcPr>
          <w:p w14:paraId="33B2971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1063" w:type="dxa"/>
            <w:noWrap w:val="0"/>
            <w:vAlign w:val="center"/>
          </w:tcPr>
          <w:p w14:paraId="1001FCD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4F93A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516" w:type="dxa"/>
            <w:vMerge w:val="restart"/>
            <w:noWrap w:val="0"/>
            <w:vAlign w:val="center"/>
          </w:tcPr>
          <w:p w14:paraId="27509BC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078" w:type="dxa"/>
            <w:gridSpan w:val="5"/>
            <w:noWrap w:val="0"/>
            <w:vAlign w:val="center"/>
          </w:tcPr>
          <w:p w14:paraId="3E1094D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预期目标</w:t>
            </w:r>
          </w:p>
        </w:tc>
        <w:tc>
          <w:tcPr>
            <w:tcW w:w="3825" w:type="dxa"/>
            <w:gridSpan w:val="7"/>
            <w:noWrap w:val="0"/>
            <w:vAlign w:val="center"/>
          </w:tcPr>
          <w:p w14:paraId="27895BEA">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实际完成情况</w:t>
            </w:r>
          </w:p>
        </w:tc>
      </w:tr>
      <w:tr w14:paraId="1F27B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6" w:hRule="atLeast"/>
        </w:trPr>
        <w:tc>
          <w:tcPr>
            <w:tcW w:w="516" w:type="dxa"/>
            <w:vMerge w:val="continue"/>
            <w:noWrap w:val="0"/>
            <w:vAlign w:val="center"/>
          </w:tcPr>
          <w:p w14:paraId="22A11563">
            <w:pPr>
              <w:spacing w:line="240" w:lineRule="auto"/>
              <w:ind w:firstLine="0" w:firstLineChars="0"/>
              <w:jc w:val="center"/>
              <w:rPr>
                <w:rFonts w:hint="eastAsia" w:ascii="宋体" w:hAnsi="宋体" w:eastAsia="宋体" w:cs="宋体"/>
                <w:sz w:val="22"/>
                <w:szCs w:val="22"/>
              </w:rPr>
            </w:pPr>
          </w:p>
        </w:tc>
        <w:tc>
          <w:tcPr>
            <w:tcW w:w="4078" w:type="dxa"/>
            <w:gridSpan w:val="5"/>
            <w:noWrap w:val="0"/>
            <w:vAlign w:val="center"/>
          </w:tcPr>
          <w:p w14:paraId="7FD50012">
            <w:pPr>
              <w:tabs>
                <w:tab w:val="left" w:pos="1683"/>
              </w:tabs>
              <w:spacing w:line="240" w:lineRule="auto"/>
              <w:ind w:left="0" w:leftChars="0" w:firstLine="0" w:firstLineChars="0"/>
              <w:jc w:val="left"/>
              <w:rPr>
                <w:rFonts w:hint="eastAsia" w:ascii="宋体" w:hAnsi="宋体" w:eastAsia="宋体" w:cs="宋体"/>
                <w:sz w:val="18"/>
                <w:szCs w:val="18"/>
                <w:lang w:eastAsia="zh-CN"/>
              </w:rPr>
            </w:pPr>
            <w:r>
              <w:rPr>
                <w:rFonts w:hint="eastAsia" w:ascii="宋体" w:hAnsi="宋体" w:eastAsia="宋体" w:cs="宋体"/>
                <w:sz w:val="18"/>
                <w:szCs w:val="18"/>
                <w:lang w:eastAsia="zh-CN"/>
              </w:rPr>
              <w:t>保障兰州新区考点所有卫生专业技术资格考试考生顺利完成考试；持续推进卫生专业技术人才队伍建设；切实提升新区医疗卫生队伍整体素质和综合服务能力水平。</w:t>
            </w:r>
          </w:p>
        </w:tc>
        <w:tc>
          <w:tcPr>
            <w:tcW w:w="3825" w:type="dxa"/>
            <w:gridSpan w:val="7"/>
            <w:noWrap w:val="0"/>
            <w:vAlign w:val="center"/>
          </w:tcPr>
          <w:p w14:paraId="77C5520A">
            <w:pPr>
              <w:spacing w:line="240" w:lineRule="auto"/>
              <w:ind w:firstLine="0" w:firstLineChars="0"/>
              <w:jc w:val="left"/>
              <w:rPr>
                <w:rFonts w:hint="eastAsia" w:ascii="宋体" w:hAnsi="宋体" w:eastAsia="宋体" w:cs="宋体"/>
                <w:sz w:val="18"/>
                <w:szCs w:val="18"/>
              </w:rPr>
            </w:pPr>
            <w:r>
              <w:rPr>
                <w:rFonts w:hint="eastAsia" w:ascii="宋体" w:hAnsi="宋体" w:eastAsia="宋体" w:cs="宋体"/>
                <w:sz w:val="18"/>
                <w:szCs w:val="18"/>
                <w:lang w:eastAsia="zh-CN"/>
              </w:rPr>
              <w:t>保障兰州新区考点所有卫生专业技术资格考试考生顺利完成考试；持续推进卫生专业技术人才队伍建设；切实提升新区医疗卫生队伍整体素质和综合服务能力水平。</w:t>
            </w:r>
          </w:p>
        </w:tc>
      </w:tr>
      <w:tr w14:paraId="23E7A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516" w:type="dxa"/>
            <w:vMerge w:val="continue"/>
            <w:noWrap w:val="0"/>
            <w:vAlign w:val="center"/>
          </w:tcPr>
          <w:p w14:paraId="66D5CA0A">
            <w:pPr>
              <w:spacing w:line="240" w:lineRule="auto"/>
              <w:ind w:firstLine="0" w:firstLineChars="0"/>
              <w:jc w:val="center"/>
              <w:rPr>
                <w:rFonts w:hint="eastAsia" w:ascii="宋体" w:hAnsi="宋体" w:eastAsia="宋体" w:cs="宋体"/>
                <w:sz w:val="22"/>
                <w:szCs w:val="22"/>
              </w:rPr>
            </w:pPr>
          </w:p>
        </w:tc>
        <w:tc>
          <w:tcPr>
            <w:tcW w:w="4078" w:type="dxa"/>
            <w:gridSpan w:val="5"/>
            <w:noWrap w:val="0"/>
            <w:vAlign w:val="center"/>
          </w:tcPr>
          <w:p w14:paraId="649B87D8">
            <w:pPr>
              <w:spacing w:line="240" w:lineRule="auto"/>
              <w:ind w:firstLine="0" w:firstLineChars="0"/>
              <w:jc w:val="center"/>
              <w:rPr>
                <w:rFonts w:hint="eastAsia" w:ascii="宋体" w:hAnsi="宋体" w:eastAsia="宋体" w:cs="宋体"/>
                <w:sz w:val="22"/>
                <w:szCs w:val="22"/>
              </w:rPr>
            </w:pPr>
          </w:p>
        </w:tc>
        <w:tc>
          <w:tcPr>
            <w:tcW w:w="3825" w:type="dxa"/>
            <w:gridSpan w:val="7"/>
            <w:noWrap w:val="0"/>
            <w:vAlign w:val="center"/>
          </w:tcPr>
          <w:p w14:paraId="51AB5C56">
            <w:pPr>
              <w:spacing w:line="240" w:lineRule="auto"/>
              <w:ind w:firstLine="0" w:firstLineChars="0"/>
              <w:jc w:val="center"/>
              <w:rPr>
                <w:rFonts w:hint="eastAsia" w:ascii="宋体" w:hAnsi="宋体" w:eastAsia="宋体" w:cs="宋体"/>
                <w:sz w:val="22"/>
                <w:szCs w:val="22"/>
              </w:rPr>
            </w:pPr>
          </w:p>
        </w:tc>
      </w:tr>
      <w:tr w14:paraId="0E782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516" w:type="dxa"/>
            <w:vMerge w:val="restart"/>
            <w:noWrap w:val="0"/>
            <w:vAlign w:val="center"/>
          </w:tcPr>
          <w:p w14:paraId="6CF63F2D">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653" w:type="dxa"/>
            <w:noWrap w:val="0"/>
            <w:vAlign w:val="center"/>
          </w:tcPr>
          <w:p w14:paraId="78D304A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76EDD77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078" w:type="dxa"/>
            <w:noWrap w:val="0"/>
            <w:vAlign w:val="center"/>
          </w:tcPr>
          <w:p w14:paraId="2E19CE5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2059249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454" w:type="dxa"/>
            <w:gridSpan w:val="2"/>
            <w:noWrap w:val="0"/>
            <w:vAlign w:val="center"/>
          </w:tcPr>
          <w:p w14:paraId="76C081B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893" w:type="dxa"/>
            <w:noWrap w:val="0"/>
            <w:vAlign w:val="center"/>
          </w:tcPr>
          <w:p w14:paraId="4DB677D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1065" w:type="dxa"/>
            <w:noWrap w:val="0"/>
            <w:vAlign w:val="center"/>
          </w:tcPr>
          <w:p w14:paraId="1A0ED8B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550" w:type="dxa"/>
            <w:gridSpan w:val="2"/>
            <w:noWrap w:val="0"/>
            <w:vAlign w:val="center"/>
          </w:tcPr>
          <w:p w14:paraId="7B31A54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56" w:type="dxa"/>
            <w:gridSpan w:val="2"/>
            <w:noWrap w:val="0"/>
            <w:vAlign w:val="center"/>
          </w:tcPr>
          <w:p w14:paraId="50AD023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454" w:type="dxa"/>
            <w:gridSpan w:val="2"/>
            <w:noWrap w:val="0"/>
            <w:vAlign w:val="center"/>
          </w:tcPr>
          <w:p w14:paraId="0227ACA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63F68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3" w:hRule="atLeast"/>
        </w:trPr>
        <w:tc>
          <w:tcPr>
            <w:tcW w:w="516" w:type="dxa"/>
            <w:vMerge w:val="continue"/>
            <w:noWrap w:val="0"/>
            <w:textDirection w:val="tbRlV"/>
            <w:vAlign w:val="center"/>
          </w:tcPr>
          <w:p w14:paraId="3BFE2E83">
            <w:pPr>
              <w:spacing w:line="240" w:lineRule="auto"/>
              <w:ind w:left="113" w:right="113" w:firstLine="0" w:firstLineChars="0"/>
              <w:jc w:val="center"/>
              <w:rPr>
                <w:rFonts w:hint="eastAsia" w:ascii="宋体" w:hAnsi="宋体" w:eastAsia="宋体" w:cs="宋体"/>
                <w:sz w:val="22"/>
                <w:szCs w:val="22"/>
              </w:rPr>
            </w:pPr>
          </w:p>
        </w:tc>
        <w:tc>
          <w:tcPr>
            <w:tcW w:w="653" w:type="dxa"/>
            <w:vMerge w:val="restart"/>
            <w:noWrap w:val="0"/>
            <w:vAlign w:val="center"/>
          </w:tcPr>
          <w:p w14:paraId="0E87692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1BF750D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078" w:type="dxa"/>
            <w:noWrap w:val="0"/>
            <w:vAlign w:val="center"/>
          </w:tcPr>
          <w:p w14:paraId="7B43992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数量指标</w:t>
            </w:r>
          </w:p>
        </w:tc>
        <w:tc>
          <w:tcPr>
            <w:tcW w:w="1454" w:type="dxa"/>
            <w:gridSpan w:val="2"/>
            <w:noWrap w:val="0"/>
            <w:vAlign w:val="center"/>
          </w:tcPr>
          <w:p w14:paraId="1EE24184">
            <w:pPr>
              <w:spacing w:line="240" w:lineRule="auto"/>
              <w:ind w:firstLine="0" w:firstLineChars="0"/>
              <w:jc w:val="center"/>
              <w:rPr>
                <w:rFonts w:hint="eastAsia" w:ascii="宋体" w:hAnsi="宋体" w:eastAsia="宋体" w:cs="宋体"/>
                <w:sz w:val="18"/>
                <w:szCs w:val="18"/>
              </w:rPr>
            </w:pPr>
            <w:r>
              <w:rPr>
                <w:rFonts w:hint="eastAsia" w:ascii="宋体" w:hAnsi="宋体" w:eastAsia="宋体" w:cs="宋体"/>
                <w:spacing w:val="-3"/>
                <w:sz w:val="18"/>
                <w:szCs w:val="18"/>
              </w:rPr>
              <w:t>组织卫生专业技术资格、护士执业资格、卫生人才评价考试</w:t>
            </w:r>
          </w:p>
        </w:tc>
        <w:tc>
          <w:tcPr>
            <w:tcW w:w="893" w:type="dxa"/>
            <w:noWrap w:val="0"/>
            <w:vAlign w:val="center"/>
          </w:tcPr>
          <w:p w14:paraId="196E2206">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1次</w:t>
            </w:r>
          </w:p>
        </w:tc>
        <w:tc>
          <w:tcPr>
            <w:tcW w:w="1065" w:type="dxa"/>
            <w:noWrap w:val="0"/>
            <w:vAlign w:val="center"/>
          </w:tcPr>
          <w:p w14:paraId="4B9F5CD7">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1次</w:t>
            </w:r>
          </w:p>
        </w:tc>
        <w:tc>
          <w:tcPr>
            <w:tcW w:w="550" w:type="dxa"/>
            <w:gridSpan w:val="2"/>
            <w:noWrap w:val="0"/>
            <w:vAlign w:val="center"/>
          </w:tcPr>
          <w:p w14:paraId="7BA3BA6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30</w:t>
            </w:r>
          </w:p>
        </w:tc>
        <w:tc>
          <w:tcPr>
            <w:tcW w:w="756" w:type="dxa"/>
            <w:gridSpan w:val="2"/>
            <w:noWrap w:val="0"/>
            <w:vAlign w:val="center"/>
          </w:tcPr>
          <w:p w14:paraId="1257E4C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30</w:t>
            </w:r>
          </w:p>
        </w:tc>
        <w:tc>
          <w:tcPr>
            <w:tcW w:w="1454" w:type="dxa"/>
            <w:gridSpan w:val="2"/>
            <w:noWrap w:val="0"/>
            <w:vAlign w:val="center"/>
          </w:tcPr>
          <w:p w14:paraId="4AF5264B">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无偏差</w:t>
            </w:r>
          </w:p>
        </w:tc>
      </w:tr>
      <w:tr w14:paraId="743D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516" w:type="dxa"/>
            <w:vMerge w:val="continue"/>
            <w:noWrap w:val="0"/>
            <w:vAlign w:val="center"/>
          </w:tcPr>
          <w:p w14:paraId="3D37B71A">
            <w:pPr>
              <w:spacing w:line="240" w:lineRule="auto"/>
              <w:ind w:firstLine="0" w:firstLineChars="0"/>
              <w:jc w:val="center"/>
              <w:rPr>
                <w:rFonts w:hint="eastAsia" w:ascii="宋体" w:hAnsi="宋体" w:eastAsia="宋体" w:cs="宋体"/>
                <w:sz w:val="22"/>
                <w:szCs w:val="22"/>
              </w:rPr>
            </w:pPr>
          </w:p>
        </w:tc>
        <w:tc>
          <w:tcPr>
            <w:tcW w:w="653" w:type="dxa"/>
            <w:vMerge w:val="continue"/>
            <w:noWrap w:val="0"/>
            <w:vAlign w:val="center"/>
          </w:tcPr>
          <w:p w14:paraId="62721D39">
            <w:pPr>
              <w:spacing w:line="240" w:lineRule="auto"/>
              <w:ind w:firstLine="0" w:firstLineChars="0"/>
              <w:jc w:val="center"/>
              <w:rPr>
                <w:rFonts w:hint="eastAsia" w:ascii="宋体" w:hAnsi="宋体" w:eastAsia="宋体" w:cs="宋体"/>
                <w:sz w:val="22"/>
                <w:szCs w:val="22"/>
              </w:rPr>
            </w:pPr>
          </w:p>
        </w:tc>
        <w:tc>
          <w:tcPr>
            <w:tcW w:w="1078" w:type="dxa"/>
            <w:noWrap w:val="0"/>
            <w:vAlign w:val="center"/>
          </w:tcPr>
          <w:p w14:paraId="262B4CF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质量指标</w:t>
            </w:r>
          </w:p>
        </w:tc>
        <w:tc>
          <w:tcPr>
            <w:tcW w:w="1454" w:type="dxa"/>
            <w:gridSpan w:val="2"/>
            <w:noWrap w:val="0"/>
            <w:vAlign w:val="center"/>
          </w:tcPr>
          <w:p w14:paraId="345E7578">
            <w:pPr>
              <w:spacing w:line="240" w:lineRule="auto"/>
              <w:ind w:firstLine="0" w:firstLineChars="0"/>
              <w:jc w:val="center"/>
              <w:rPr>
                <w:rFonts w:hint="eastAsia" w:ascii="宋体" w:hAnsi="宋体" w:eastAsia="宋体" w:cs="宋体"/>
                <w:sz w:val="18"/>
                <w:szCs w:val="18"/>
                <w:lang w:eastAsia="zh-CN"/>
              </w:rPr>
            </w:pPr>
            <w:r>
              <w:rPr>
                <w:rFonts w:hint="eastAsia" w:ascii="宋体" w:hAnsi="宋体" w:eastAsia="宋体" w:cs="宋体"/>
                <w:spacing w:val="-3"/>
                <w:sz w:val="18"/>
                <w:szCs w:val="18"/>
                <w:lang w:val="en-US" w:eastAsia="zh-CN"/>
              </w:rPr>
              <w:t>足额支付考务人员费用</w:t>
            </w:r>
          </w:p>
        </w:tc>
        <w:tc>
          <w:tcPr>
            <w:tcW w:w="893" w:type="dxa"/>
            <w:noWrap w:val="0"/>
            <w:vAlign w:val="center"/>
          </w:tcPr>
          <w:p w14:paraId="2AD5487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18"/>
                <w:szCs w:val="18"/>
                <w:lang w:val="en-US" w:eastAsia="zh-CN"/>
              </w:rPr>
              <w:t>足额</w:t>
            </w:r>
          </w:p>
        </w:tc>
        <w:tc>
          <w:tcPr>
            <w:tcW w:w="1065" w:type="dxa"/>
            <w:noWrap w:val="0"/>
            <w:vAlign w:val="center"/>
          </w:tcPr>
          <w:p w14:paraId="396881F8">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pacing w:val="-3"/>
                <w:sz w:val="18"/>
                <w:szCs w:val="18"/>
                <w:lang w:val="en-US" w:eastAsia="zh-CN"/>
              </w:rPr>
              <w:t>足额</w:t>
            </w:r>
          </w:p>
        </w:tc>
        <w:tc>
          <w:tcPr>
            <w:tcW w:w="550" w:type="dxa"/>
            <w:gridSpan w:val="2"/>
            <w:noWrap w:val="0"/>
            <w:vAlign w:val="center"/>
          </w:tcPr>
          <w:p w14:paraId="21DB48E8">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19CA8EB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454" w:type="dxa"/>
            <w:gridSpan w:val="2"/>
            <w:noWrap w:val="0"/>
            <w:vAlign w:val="center"/>
          </w:tcPr>
          <w:p w14:paraId="3517A6A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5359D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516" w:type="dxa"/>
            <w:vMerge w:val="continue"/>
            <w:noWrap w:val="0"/>
            <w:vAlign w:val="center"/>
          </w:tcPr>
          <w:p w14:paraId="7EE77503">
            <w:pPr>
              <w:spacing w:line="240" w:lineRule="auto"/>
              <w:ind w:firstLine="0" w:firstLineChars="0"/>
              <w:jc w:val="center"/>
              <w:rPr>
                <w:rFonts w:hint="eastAsia" w:ascii="宋体" w:hAnsi="宋体" w:eastAsia="宋体" w:cs="宋体"/>
                <w:sz w:val="22"/>
                <w:szCs w:val="22"/>
              </w:rPr>
            </w:pPr>
          </w:p>
        </w:tc>
        <w:tc>
          <w:tcPr>
            <w:tcW w:w="653" w:type="dxa"/>
            <w:vMerge w:val="continue"/>
            <w:noWrap w:val="0"/>
            <w:vAlign w:val="center"/>
          </w:tcPr>
          <w:p w14:paraId="61801B98">
            <w:pPr>
              <w:spacing w:line="240" w:lineRule="auto"/>
              <w:ind w:firstLine="0" w:firstLineChars="0"/>
              <w:jc w:val="center"/>
              <w:rPr>
                <w:rFonts w:hint="eastAsia" w:ascii="宋体" w:hAnsi="宋体" w:eastAsia="宋体" w:cs="宋体"/>
                <w:sz w:val="22"/>
                <w:szCs w:val="22"/>
              </w:rPr>
            </w:pPr>
          </w:p>
        </w:tc>
        <w:tc>
          <w:tcPr>
            <w:tcW w:w="1078" w:type="dxa"/>
            <w:vMerge w:val="restart"/>
            <w:noWrap w:val="0"/>
            <w:vAlign w:val="center"/>
          </w:tcPr>
          <w:p w14:paraId="18E9319A">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时效指标</w:t>
            </w:r>
          </w:p>
        </w:tc>
        <w:tc>
          <w:tcPr>
            <w:tcW w:w="1454" w:type="dxa"/>
            <w:gridSpan w:val="2"/>
            <w:noWrap w:val="0"/>
            <w:vAlign w:val="center"/>
          </w:tcPr>
          <w:p w14:paraId="5776CBC1">
            <w:pPr>
              <w:spacing w:line="240" w:lineRule="auto"/>
              <w:ind w:firstLine="0" w:firstLineChars="0"/>
              <w:jc w:val="center"/>
              <w:rPr>
                <w:rFonts w:hint="eastAsia" w:ascii="宋体" w:hAnsi="宋体" w:eastAsia="宋体" w:cs="宋体"/>
                <w:spacing w:val="-3"/>
                <w:sz w:val="18"/>
                <w:szCs w:val="18"/>
                <w:lang w:val="en-US" w:eastAsia="zh-CN"/>
              </w:rPr>
            </w:pPr>
            <w:r>
              <w:rPr>
                <w:rFonts w:hint="eastAsia" w:ascii="宋体" w:hAnsi="宋体" w:eastAsia="宋体" w:cs="宋体"/>
                <w:spacing w:val="-3"/>
                <w:sz w:val="18"/>
                <w:szCs w:val="18"/>
                <w:lang w:val="en-US" w:eastAsia="zh-CN"/>
              </w:rPr>
              <w:t>按照国家规定时间及时组织考试</w:t>
            </w:r>
          </w:p>
        </w:tc>
        <w:tc>
          <w:tcPr>
            <w:tcW w:w="893" w:type="dxa"/>
            <w:noWrap w:val="0"/>
            <w:vAlign w:val="center"/>
          </w:tcPr>
          <w:p w14:paraId="6375BE1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及时</w:t>
            </w:r>
          </w:p>
        </w:tc>
        <w:tc>
          <w:tcPr>
            <w:tcW w:w="1065" w:type="dxa"/>
            <w:noWrap w:val="0"/>
            <w:vAlign w:val="center"/>
          </w:tcPr>
          <w:p w14:paraId="5A863CF7">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rPr>
              <w:t>及时</w:t>
            </w:r>
          </w:p>
        </w:tc>
        <w:tc>
          <w:tcPr>
            <w:tcW w:w="550" w:type="dxa"/>
            <w:gridSpan w:val="2"/>
            <w:noWrap w:val="0"/>
            <w:vAlign w:val="center"/>
          </w:tcPr>
          <w:p w14:paraId="3EE8543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756" w:type="dxa"/>
            <w:gridSpan w:val="2"/>
            <w:noWrap w:val="0"/>
            <w:vAlign w:val="center"/>
          </w:tcPr>
          <w:p w14:paraId="34E1B36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1454" w:type="dxa"/>
            <w:gridSpan w:val="2"/>
            <w:noWrap w:val="0"/>
            <w:vAlign w:val="center"/>
          </w:tcPr>
          <w:p w14:paraId="45CD964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03A75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516" w:type="dxa"/>
            <w:vMerge w:val="continue"/>
            <w:noWrap w:val="0"/>
            <w:vAlign w:val="center"/>
          </w:tcPr>
          <w:p w14:paraId="3A3E6CF6">
            <w:pPr>
              <w:spacing w:line="240" w:lineRule="auto"/>
              <w:ind w:firstLine="0" w:firstLineChars="0"/>
              <w:jc w:val="center"/>
              <w:rPr>
                <w:rFonts w:hint="eastAsia" w:ascii="宋体" w:hAnsi="宋体" w:eastAsia="宋体" w:cs="宋体"/>
                <w:sz w:val="22"/>
                <w:szCs w:val="22"/>
              </w:rPr>
            </w:pPr>
          </w:p>
        </w:tc>
        <w:tc>
          <w:tcPr>
            <w:tcW w:w="653" w:type="dxa"/>
            <w:vMerge w:val="continue"/>
            <w:noWrap w:val="0"/>
            <w:vAlign w:val="center"/>
          </w:tcPr>
          <w:p w14:paraId="7B791196">
            <w:pPr>
              <w:spacing w:line="240" w:lineRule="auto"/>
              <w:ind w:firstLine="0" w:firstLineChars="0"/>
              <w:jc w:val="center"/>
              <w:rPr>
                <w:rFonts w:hint="eastAsia" w:ascii="宋体" w:hAnsi="宋体" w:eastAsia="宋体" w:cs="宋体"/>
                <w:sz w:val="22"/>
                <w:szCs w:val="22"/>
              </w:rPr>
            </w:pPr>
          </w:p>
        </w:tc>
        <w:tc>
          <w:tcPr>
            <w:tcW w:w="1078" w:type="dxa"/>
            <w:vMerge w:val="continue"/>
            <w:noWrap w:val="0"/>
            <w:vAlign w:val="center"/>
          </w:tcPr>
          <w:p w14:paraId="30683031">
            <w:pPr>
              <w:spacing w:line="240" w:lineRule="auto"/>
              <w:ind w:firstLine="0" w:firstLineChars="0"/>
              <w:jc w:val="center"/>
              <w:rPr>
                <w:rFonts w:hint="eastAsia" w:ascii="宋体" w:hAnsi="宋体" w:eastAsia="宋体" w:cs="宋体"/>
                <w:spacing w:val="-3"/>
                <w:sz w:val="22"/>
                <w:szCs w:val="22"/>
                <w:lang w:eastAsia="zh-CN"/>
              </w:rPr>
            </w:pPr>
          </w:p>
        </w:tc>
        <w:tc>
          <w:tcPr>
            <w:tcW w:w="1454" w:type="dxa"/>
            <w:gridSpan w:val="2"/>
            <w:noWrap w:val="0"/>
            <w:vAlign w:val="center"/>
          </w:tcPr>
          <w:p w14:paraId="6B47BB38">
            <w:pPr>
              <w:spacing w:line="240" w:lineRule="auto"/>
              <w:ind w:firstLine="0" w:firstLineChars="0"/>
              <w:jc w:val="center"/>
              <w:rPr>
                <w:rFonts w:hint="eastAsia" w:ascii="宋体" w:hAnsi="宋体" w:eastAsia="宋体" w:cs="宋体"/>
                <w:spacing w:val="-3"/>
                <w:sz w:val="18"/>
                <w:szCs w:val="18"/>
                <w:lang w:val="en-US" w:eastAsia="zh-CN"/>
              </w:rPr>
            </w:pPr>
            <w:r>
              <w:rPr>
                <w:rFonts w:hint="eastAsia" w:ascii="宋体" w:hAnsi="宋体" w:eastAsia="宋体" w:cs="宋体"/>
                <w:spacing w:val="-3"/>
                <w:sz w:val="18"/>
                <w:szCs w:val="18"/>
                <w:lang w:val="en-US" w:eastAsia="zh-CN"/>
              </w:rPr>
              <w:t>及时支付考务人员费用</w:t>
            </w:r>
          </w:p>
        </w:tc>
        <w:tc>
          <w:tcPr>
            <w:tcW w:w="893" w:type="dxa"/>
            <w:noWrap w:val="0"/>
            <w:vAlign w:val="center"/>
          </w:tcPr>
          <w:p w14:paraId="4C6669E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及时</w:t>
            </w:r>
          </w:p>
        </w:tc>
        <w:tc>
          <w:tcPr>
            <w:tcW w:w="1065" w:type="dxa"/>
            <w:noWrap w:val="0"/>
            <w:vAlign w:val="center"/>
          </w:tcPr>
          <w:p w14:paraId="4F09013F">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rPr>
              <w:t>及时</w:t>
            </w:r>
          </w:p>
        </w:tc>
        <w:tc>
          <w:tcPr>
            <w:tcW w:w="550" w:type="dxa"/>
            <w:gridSpan w:val="2"/>
            <w:noWrap w:val="0"/>
            <w:vAlign w:val="center"/>
          </w:tcPr>
          <w:p w14:paraId="752A9599">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414DA24B">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454" w:type="dxa"/>
            <w:gridSpan w:val="2"/>
            <w:noWrap w:val="0"/>
            <w:vAlign w:val="center"/>
          </w:tcPr>
          <w:p w14:paraId="2AC2690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05F5B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516" w:type="dxa"/>
            <w:vMerge w:val="continue"/>
            <w:noWrap w:val="0"/>
            <w:vAlign w:val="center"/>
          </w:tcPr>
          <w:p w14:paraId="6E9C9862">
            <w:pPr>
              <w:spacing w:line="240" w:lineRule="auto"/>
              <w:ind w:firstLine="0" w:firstLineChars="0"/>
              <w:jc w:val="center"/>
              <w:rPr>
                <w:rFonts w:hint="eastAsia" w:ascii="宋体" w:hAnsi="宋体" w:eastAsia="宋体" w:cs="宋体"/>
                <w:sz w:val="22"/>
                <w:szCs w:val="22"/>
              </w:rPr>
            </w:pPr>
          </w:p>
        </w:tc>
        <w:tc>
          <w:tcPr>
            <w:tcW w:w="653" w:type="dxa"/>
            <w:vMerge w:val="continue"/>
            <w:noWrap w:val="0"/>
            <w:vAlign w:val="center"/>
          </w:tcPr>
          <w:p w14:paraId="687CA664">
            <w:pPr>
              <w:spacing w:line="240" w:lineRule="auto"/>
              <w:ind w:firstLine="0" w:firstLineChars="0"/>
              <w:jc w:val="center"/>
              <w:rPr>
                <w:rFonts w:hint="eastAsia" w:ascii="宋体" w:hAnsi="宋体" w:eastAsia="宋体" w:cs="宋体"/>
                <w:sz w:val="22"/>
                <w:szCs w:val="22"/>
              </w:rPr>
            </w:pPr>
          </w:p>
        </w:tc>
        <w:tc>
          <w:tcPr>
            <w:tcW w:w="1078" w:type="dxa"/>
            <w:noWrap w:val="0"/>
            <w:vAlign w:val="center"/>
          </w:tcPr>
          <w:p w14:paraId="6B94D07A">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成本指标</w:t>
            </w:r>
          </w:p>
        </w:tc>
        <w:tc>
          <w:tcPr>
            <w:tcW w:w="1454" w:type="dxa"/>
            <w:gridSpan w:val="2"/>
            <w:noWrap w:val="0"/>
            <w:vAlign w:val="center"/>
          </w:tcPr>
          <w:p w14:paraId="03DA8EEC">
            <w:pPr>
              <w:spacing w:line="240" w:lineRule="auto"/>
              <w:ind w:firstLine="0" w:firstLineChars="0"/>
              <w:jc w:val="center"/>
              <w:rPr>
                <w:rFonts w:hint="eastAsia" w:ascii="宋体" w:hAnsi="宋体" w:eastAsia="宋体" w:cs="宋体"/>
                <w:spacing w:val="-3"/>
                <w:sz w:val="18"/>
                <w:szCs w:val="18"/>
                <w:lang w:val="en-US" w:eastAsia="zh-CN"/>
              </w:rPr>
            </w:pPr>
            <w:r>
              <w:rPr>
                <w:rFonts w:hint="eastAsia" w:ascii="宋体" w:hAnsi="宋体" w:eastAsia="宋体" w:cs="宋体"/>
                <w:spacing w:val="-3"/>
                <w:sz w:val="18"/>
                <w:szCs w:val="18"/>
                <w:lang w:val="en-US" w:eastAsia="zh-CN"/>
              </w:rPr>
              <w:t>成本控制率</w:t>
            </w:r>
          </w:p>
        </w:tc>
        <w:tc>
          <w:tcPr>
            <w:tcW w:w="893" w:type="dxa"/>
            <w:noWrap w:val="0"/>
            <w:vAlign w:val="center"/>
          </w:tcPr>
          <w:p w14:paraId="01E0159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≤100%</w:t>
            </w:r>
          </w:p>
        </w:tc>
        <w:tc>
          <w:tcPr>
            <w:tcW w:w="1065" w:type="dxa"/>
            <w:noWrap w:val="0"/>
            <w:vAlign w:val="center"/>
          </w:tcPr>
          <w:p w14:paraId="1B0C1D10">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rPr>
              <w:t>≤100%</w:t>
            </w:r>
          </w:p>
        </w:tc>
        <w:tc>
          <w:tcPr>
            <w:tcW w:w="550" w:type="dxa"/>
            <w:gridSpan w:val="2"/>
            <w:noWrap w:val="0"/>
            <w:vAlign w:val="center"/>
          </w:tcPr>
          <w:p w14:paraId="33E57E0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756" w:type="dxa"/>
            <w:gridSpan w:val="2"/>
            <w:noWrap w:val="0"/>
            <w:vAlign w:val="center"/>
          </w:tcPr>
          <w:p w14:paraId="2F342DD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454" w:type="dxa"/>
            <w:gridSpan w:val="2"/>
            <w:noWrap w:val="0"/>
            <w:vAlign w:val="center"/>
          </w:tcPr>
          <w:p w14:paraId="51278CF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0CC9E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7" w:hRule="atLeast"/>
        </w:trPr>
        <w:tc>
          <w:tcPr>
            <w:tcW w:w="516" w:type="dxa"/>
            <w:vMerge w:val="continue"/>
            <w:noWrap w:val="0"/>
            <w:textDirection w:val="tbRlV"/>
            <w:vAlign w:val="center"/>
          </w:tcPr>
          <w:p w14:paraId="62C00C47">
            <w:pPr>
              <w:spacing w:line="240" w:lineRule="auto"/>
              <w:ind w:firstLine="0" w:firstLineChars="0"/>
              <w:jc w:val="center"/>
              <w:rPr>
                <w:rFonts w:hint="eastAsia" w:ascii="宋体" w:hAnsi="宋体" w:eastAsia="宋体" w:cs="宋体"/>
                <w:sz w:val="22"/>
                <w:szCs w:val="22"/>
              </w:rPr>
            </w:pPr>
          </w:p>
        </w:tc>
        <w:tc>
          <w:tcPr>
            <w:tcW w:w="653" w:type="dxa"/>
            <w:vMerge w:val="restart"/>
            <w:noWrap w:val="0"/>
            <w:vAlign w:val="center"/>
          </w:tcPr>
          <w:p w14:paraId="5AF28853">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0BC909F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078" w:type="dxa"/>
            <w:noWrap w:val="0"/>
            <w:vAlign w:val="center"/>
          </w:tcPr>
          <w:p w14:paraId="405F0CC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社会效益指标</w:t>
            </w:r>
          </w:p>
        </w:tc>
        <w:tc>
          <w:tcPr>
            <w:tcW w:w="1454" w:type="dxa"/>
            <w:gridSpan w:val="2"/>
            <w:noWrap w:val="0"/>
            <w:vAlign w:val="center"/>
          </w:tcPr>
          <w:p w14:paraId="7EED85EC">
            <w:pPr>
              <w:spacing w:line="240" w:lineRule="auto"/>
              <w:ind w:firstLine="0" w:firstLineChars="0"/>
              <w:jc w:val="center"/>
              <w:rPr>
                <w:rFonts w:hint="eastAsia" w:ascii="宋体" w:hAnsi="宋体" w:eastAsia="宋体" w:cs="宋体"/>
                <w:snapToGrid w:val="0"/>
                <w:color w:val="000000"/>
                <w:kern w:val="0"/>
                <w:sz w:val="18"/>
                <w:szCs w:val="18"/>
              </w:rPr>
            </w:pPr>
            <w:r>
              <w:rPr>
                <w:rFonts w:hint="eastAsia" w:ascii="宋体" w:hAnsi="宋体" w:eastAsia="宋体" w:cs="宋体"/>
                <w:spacing w:val="-3"/>
                <w:sz w:val="18"/>
                <w:szCs w:val="18"/>
              </w:rPr>
              <w:t>方便新区医疗卫生人员考试</w:t>
            </w:r>
          </w:p>
        </w:tc>
        <w:tc>
          <w:tcPr>
            <w:tcW w:w="893" w:type="dxa"/>
            <w:noWrap w:val="0"/>
            <w:vAlign w:val="center"/>
          </w:tcPr>
          <w:p w14:paraId="04AB6F91">
            <w:pPr>
              <w:tabs>
                <w:tab w:val="left" w:pos="340"/>
              </w:tabs>
              <w:spacing w:line="240" w:lineRule="auto"/>
              <w:ind w:firstLine="0" w:firstLineChars="0"/>
              <w:jc w:val="left"/>
              <w:rPr>
                <w:rFonts w:hint="default"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eastAsia="zh-CN"/>
              </w:rPr>
              <w:tab/>
            </w:r>
            <w:r>
              <w:rPr>
                <w:rFonts w:hint="eastAsia" w:ascii="宋体" w:hAnsi="宋体" w:eastAsia="宋体" w:cs="宋体"/>
                <w:snapToGrid w:val="0"/>
                <w:color w:val="000000"/>
                <w:kern w:val="0"/>
                <w:sz w:val="22"/>
                <w:szCs w:val="22"/>
                <w:lang w:val="en-US" w:eastAsia="zh-CN"/>
              </w:rPr>
              <w:t>方便</w:t>
            </w:r>
          </w:p>
        </w:tc>
        <w:tc>
          <w:tcPr>
            <w:tcW w:w="1065" w:type="dxa"/>
            <w:noWrap w:val="0"/>
            <w:vAlign w:val="center"/>
          </w:tcPr>
          <w:p w14:paraId="009C9432">
            <w:pPr>
              <w:tabs>
                <w:tab w:val="left" w:pos="340"/>
              </w:tabs>
              <w:spacing w:line="240" w:lineRule="auto"/>
              <w:ind w:firstLine="0" w:firstLineChars="0"/>
              <w:jc w:val="left"/>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eastAsia="zh-CN"/>
              </w:rPr>
              <w:tab/>
            </w:r>
            <w:r>
              <w:rPr>
                <w:rFonts w:hint="eastAsia" w:ascii="宋体" w:hAnsi="宋体" w:eastAsia="宋体" w:cs="宋体"/>
                <w:snapToGrid w:val="0"/>
                <w:color w:val="000000"/>
                <w:kern w:val="0"/>
                <w:sz w:val="22"/>
                <w:szCs w:val="22"/>
                <w:lang w:val="en-US" w:eastAsia="zh-CN"/>
              </w:rPr>
              <w:t>方便</w:t>
            </w:r>
          </w:p>
        </w:tc>
        <w:tc>
          <w:tcPr>
            <w:tcW w:w="550" w:type="dxa"/>
            <w:gridSpan w:val="2"/>
            <w:noWrap w:val="0"/>
            <w:vAlign w:val="center"/>
          </w:tcPr>
          <w:p w14:paraId="179F0527">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10</w:t>
            </w:r>
          </w:p>
        </w:tc>
        <w:tc>
          <w:tcPr>
            <w:tcW w:w="756" w:type="dxa"/>
            <w:gridSpan w:val="2"/>
            <w:noWrap w:val="0"/>
            <w:vAlign w:val="center"/>
          </w:tcPr>
          <w:p w14:paraId="59492DFB">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10</w:t>
            </w:r>
          </w:p>
        </w:tc>
        <w:tc>
          <w:tcPr>
            <w:tcW w:w="1454" w:type="dxa"/>
            <w:gridSpan w:val="2"/>
            <w:noWrap w:val="0"/>
            <w:vAlign w:val="center"/>
          </w:tcPr>
          <w:p w14:paraId="05703195">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lang w:val="en-US" w:eastAsia="zh-CN"/>
              </w:rPr>
              <w:t>无偏差</w:t>
            </w:r>
          </w:p>
        </w:tc>
      </w:tr>
      <w:tr w14:paraId="65A36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516" w:type="dxa"/>
            <w:vMerge w:val="continue"/>
            <w:noWrap w:val="0"/>
            <w:textDirection w:val="tbRlV"/>
            <w:vAlign w:val="center"/>
          </w:tcPr>
          <w:p w14:paraId="6706EBE5">
            <w:pPr>
              <w:spacing w:line="240" w:lineRule="auto"/>
              <w:ind w:firstLine="0" w:firstLineChars="0"/>
              <w:jc w:val="center"/>
              <w:rPr>
                <w:rFonts w:hint="eastAsia" w:ascii="宋体" w:hAnsi="宋体" w:eastAsia="宋体" w:cs="宋体"/>
                <w:sz w:val="22"/>
                <w:szCs w:val="22"/>
              </w:rPr>
            </w:pPr>
          </w:p>
        </w:tc>
        <w:tc>
          <w:tcPr>
            <w:tcW w:w="653" w:type="dxa"/>
            <w:vMerge w:val="continue"/>
            <w:noWrap w:val="0"/>
            <w:vAlign w:val="center"/>
          </w:tcPr>
          <w:p w14:paraId="79001AB6">
            <w:pPr>
              <w:spacing w:line="240" w:lineRule="auto"/>
              <w:ind w:firstLine="0" w:firstLineChars="0"/>
              <w:jc w:val="center"/>
              <w:rPr>
                <w:rFonts w:hint="eastAsia" w:ascii="宋体" w:hAnsi="宋体" w:eastAsia="宋体" w:cs="宋体"/>
                <w:sz w:val="22"/>
                <w:szCs w:val="22"/>
              </w:rPr>
            </w:pPr>
          </w:p>
        </w:tc>
        <w:tc>
          <w:tcPr>
            <w:tcW w:w="1078" w:type="dxa"/>
            <w:vMerge w:val="restart"/>
            <w:noWrap w:val="0"/>
            <w:vAlign w:val="center"/>
          </w:tcPr>
          <w:p w14:paraId="78A2BA8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可持续影</w:t>
            </w:r>
            <w:r>
              <w:rPr>
                <w:rFonts w:hint="eastAsia" w:ascii="宋体" w:hAnsi="宋体" w:eastAsia="宋体" w:cs="宋体"/>
                <w:spacing w:val="-5"/>
                <w:sz w:val="22"/>
                <w:szCs w:val="22"/>
              </w:rPr>
              <w:t>响指标</w:t>
            </w:r>
          </w:p>
        </w:tc>
        <w:tc>
          <w:tcPr>
            <w:tcW w:w="1454" w:type="dxa"/>
            <w:gridSpan w:val="2"/>
            <w:noWrap w:val="0"/>
            <w:vAlign w:val="center"/>
          </w:tcPr>
          <w:p w14:paraId="7C2D8EB4">
            <w:pPr>
              <w:spacing w:line="240" w:lineRule="auto"/>
              <w:ind w:firstLine="0" w:firstLineChars="0"/>
              <w:jc w:val="center"/>
              <w:rPr>
                <w:rFonts w:hint="eastAsia" w:ascii="宋体" w:hAnsi="宋体" w:eastAsia="宋体" w:cs="宋体"/>
                <w:sz w:val="18"/>
                <w:szCs w:val="18"/>
              </w:rPr>
            </w:pPr>
            <w:r>
              <w:rPr>
                <w:rFonts w:hint="eastAsia" w:ascii="宋体" w:hAnsi="宋体" w:eastAsia="宋体" w:cs="宋体"/>
                <w:spacing w:val="-3"/>
                <w:sz w:val="18"/>
                <w:szCs w:val="18"/>
              </w:rPr>
              <w:t>加强辖区医疗卫生人才队伍建设</w:t>
            </w:r>
          </w:p>
        </w:tc>
        <w:tc>
          <w:tcPr>
            <w:tcW w:w="893" w:type="dxa"/>
            <w:noWrap w:val="0"/>
            <w:vAlign w:val="center"/>
          </w:tcPr>
          <w:p w14:paraId="4E6D1533">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加强</w:t>
            </w:r>
          </w:p>
        </w:tc>
        <w:tc>
          <w:tcPr>
            <w:tcW w:w="1065" w:type="dxa"/>
            <w:noWrap w:val="0"/>
            <w:vAlign w:val="center"/>
          </w:tcPr>
          <w:p w14:paraId="059B1F23">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加强</w:t>
            </w:r>
          </w:p>
        </w:tc>
        <w:tc>
          <w:tcPr>
            <w:tcW w:w="550" w:type="dxa"/>
            <w:gridSpan w:val="2"/>
            <w:noWrap w:val="0"/>
            <w:vAlign w:val="center"/>
          </w:tcPr>
          <w:p w14:paraId="14AA9B4F">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614DC1E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454" w:type="dxa"/>
            <w:gridSpan w:val="2"/>
            <w:noWrap w:val="0"/>
            <w:vAlign w:val="center"/>
          </w:tcPr>
          <w:p w14:paraId="790AF44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350AD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516" w:type="dxa"/>
            <w:vMerge w:val="continue"/>
            <w:noWrap w:val="0"/>
            <w:textDirection w:val="tbRlV"/>
            <w:vAlign w:val="center"/>
          </w:tcPr>
          <w:p w14:paraId="009FB7D0">
            <w:pPr>
              <w:spacing w:line="240" w:lineRule="auto"/>
              <w:ind w:firstLine="0" w:firstLineChars="0"/>
              <w:jc w:val="center"/>
              <w:rPr>
                <w:rFonts w:hint="eastAsia" w:ascii="宋体" w:hAnsi="宋体" w:eastAsia="宋体" w:cs="宋体"/>
                <w:sz w:val="22"/>
                <w:szCs w:val="22"/>
              </w:rPr>
            </w:pPr>
          </w:p>
        </w:tc>
        <w:tc>
          <w:tcPr>
            <w:tcW w:w="653" w:type="dxa"/>
            <w:vMerge w:val="continue"/>
            <w:noWrap w:val="0"/>
            <w:vAlign w:val="center"/>
          </w:tcPr>
          <w:p w14:paraId="6E182467">
            <w:pPr>
              <w:spacing w:line="240" w:lineRule="auto"/>
              <w:ind w:firstLine="0" w:firstLineChars="0"/>
              <w:jc w:val="center"/>
              <w:rPr>
                <w:rFonts w:hint="eastAsia" w:ascii="宋体" w:hAnsi="宋体" w:eastAsia="宋体" w:cs="宋体"/>
                <w:sz w:val="22"/>
                <w:szCs w:val="22"/>
              </w:rPr>
            </w:pPr>
          </w:p>
        </w:tc>
        <w:tc>
          <w:tcPr>
            <w:tcW w:w="1078" w:type="dxa"/>
            <w:vMerge w:val="continue"/>
            <w:noWrap w:val="0"/>
            <w:vAlign w:val="center"/>
          </w:tcPr>
          <w:p w14:paraId="41BF10CA">
            <w:pPr>
              <w:spacing w:line="240" w:lineRule="auto"/>
              <w:ind w:firstLine="0" w:firstLineChars="0"/>
              <w:jc w:val="center"/>
              <w:rPr>
                <w:rFonts w:hint="eastAsia" w:ascii="宋体" w:hAnsi="宋体" w:eastAsia="宋体" w:cs="宋体"/>
                <w:spacing w:val="-3"/>
                <w:sz w:val="22"/>
                <w:szCs w:val="22"/>
              </w:rPr>
            </w:pPr>
          </w:p>
        </w:tc>
        <w:tc>
          <w:tcPr>
            <w:tcW w:w="1454" w:type="dxa"/>
            <w:gridSpan w:val="2"/>
            <w:noWrap w:val="0"/>
            <w:vAlign w:val="center"/>
          </w:tcPr>
          <w:p w14:paraId="2738C219">
            <w:pPr>
              <w:spacing w:line="240" w:lineRule="auto"/>
              <w:ind w:firstLine="0" w:firstLineChars="0"/>
              <w:jc w:val="center"/>
              <w:rPr>
                <w:rFonts w:hint="eastAsia" w:ascii="宋体" w:hAnsi="宋体" w:eastAsia="宋体" w:cs="宋体"/>
                <w:spacing w:val="-3"/>
                <w:sz w:val="18"/>
                <w:szCs w:val="18"/>
              </w:rPr>
            </w:pPr>
            <w:r>
              <w:rPr>
                <w:rFonts w:hint="eastAsia" w:ascii="宋体" w:hAnsi="宋体" w:eastAsia="宋体" w:cs="宋体"/>
                <w:spacing w:val="-3"/>
                <w:sz w:val="18"/>
                <w:szCs w:val="18"/>
              </w:rPr>
              <w:t>持续提升辖区医疗卫生机构服务能力</w:t>
            </w:r>
          </w:p>
        </w:tc>
        <w:tc>
          <w:tcPr>
            <w:tcW w:w="893" w:type="dxa"/>
            <w:noWrap w:val="0"/>
            <w:vAlign w:val="center"/>
          </w:tcPr>
          <w:p w14:paraId="43D8390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提升</w:t>
            </w:r>
          </w:p>
        </w:tc>
        <w:tc>
          <w:tcPr>
            <w:tcW w:w="1065" w:type="dxa"/>
            <w:noWrap w:val="0"/>
            <w:vAlign w:val="center"/>
          </w:tcPr>
          <w:p w14:paraId="7E0C6805">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提升</w:t>
            </w:r>
          </w:p>
        </w:tc>
        <w:tc>
          <w:tcPr>
            <w:tcW w:w="550" w:type="dxa"/>
            <w:gridSpan w:val="2"/>
            <w:noWrap w:val="0"/>
            <w:vAlign w:val="center"/>
          </w:tcPr>
          <w:p w14:paraId="334619B1">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5DC4D74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454" w:type="dxa"/>
            <w:gridSpan w:val="2"/>
            <w:noWrap w:val="0"/>
            <w:vAlign w:val="center"/>
          </w:tcPr>
          <w:p w14:paraId="4F7D29EE">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4D902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4" w:hRule="atLeast"/>
        </w:trPr>
        <w:tc>
          <w:tcPr>
            <w:tcW w:w="516" w:type="dxa"/>
            <w:vMerge w:val="continue"/>
            <w:noWrap w:val="0"/>
            <w:textDirection w:val="tbRlV"/>
            <w:vAlign w:val="center"/>
          </w:tcPr>
          <w:p w14:paraId="1CAFE02E">
            <w:pPr>
              <w:spacing w:line="240" w:lineRule="auto"/>
              <w:ind w:firstLine="0" w:firstLineChars="0"/>
              <w:jc w:val="center"/>
              <w:rPr>
                <w:rFonts w:hint="eastAsia" w:ascii="宋体" w:hAnsi="宋体" w:eastAsia="宋体" w:cs="宋体"/>
                <w:sz w:val="22"/>
                <w:szCs w:val="22"/>
              </w:rPr>
            </w:pPr>
          </w:p>
        </w:tc>
        <w:tc>
          <w:tcPr>
            <w:tcW w:w="653" w:type="dxa"/>
            <w:vMerge w:val="restart"/>
            <w:noWrap w:val="0"/>
            <w:vAlign w:val="center"/>
          </w:tcPr>
          <w:p w14:paraId="435945A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rPr>
              <w:t>满意度</w:t>
            </w:r>
          </w:p>
        </w:tc>
        <w:tc>
          <w:tcPr>
            <w:tcW w:w="1078" w:type="dxa"/>
            <w:vMerge w:val="restart"/>
            <w:noWrap w:val="0"/>
            <w:vAlign w:val="center"/>
          </w:tcPr>
          <w:p w14:paraId="0ABA3733">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服务对象</w:t>
            </w:r>
          </w:p>
          <w:p w14:paraId="6D1B5A5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满意度</w:t>
            </w:r>
          </w:p>
        </w:tc>
        <w:tc>
          <w:tcPr>
            <w:tcW w:w="1454" w:type="dxa"/>
            <w:gridSpan w:val="2"/>
            <w:noWrap w:val="0"/>
            <w:vAlign w:val="center"/>
          </w:tcPr>
          <w:p w14:paraId="1D75C379">
            <w:pPr>
              <w:spacing w:line="240" w:lineRule="auto"/>
              <w:ind w:firstLine="0" w:firstLineChars="0"/>
              <w:jc w:val="center"/>
              <w:rPr>
                <w:rFonts w:hint="eastAsia" w:ascii="宋体" w:hAnsi="宋体" w:eastAsia="宋体" w:cs="宋体"/>
                <w:spacing w:val="-3"/>
                <w:sz w:val="18"/>
                <w:szCs w:val="18"/>
              </w:rPr>
            </w:pPr>
            <w:r>
              <w:rPr>
                <w:rFonts w:hint="eastAsia" w:ascii="宋体" w:hAnsi="宋体" w:eastAsia="宋体" w:cs="宋体"/>
                <w:spacing w:val="-3"/>
                <w:sz w:val="18"/>
                <w:szCs w:val="18"/>
              </w:rPr>
              <w:t>考生满意度</w:t>
            </w:r>
          </w:p>
        </w:tc>
        <w:tc>
          <w:tcPr>
            <w:tcW w:w="893" w:type="dxa"/>
            <w:noWrap w:val="0"/>
            <w:vAlign w:val="center"/>
          </w:tcPr>
          <w:p w14:paraId="29B4988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持续提高</w:t>
            </w:r>
          </w:p>
        </w:tc>
        <w:tc>
          <w:tcPr>
            <w:tcW w:w="1065" w:type="dxa"/>
            <w:noWrap w:val="0"/>
            <w:vAlign w:val="center"/>
          </w:tcPr>
          <w:p w14:paraId="67795CE2">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持续提高</w:t>
            </w:r>
          </w:p>
        </w:tc>
        <w:tc>
          <w:tcPr>
            <w:tcW w:w="550" w:type="dxa"/>
            <w:gridSpan w:val="2"/>
            <w:noWrap w:val="0"/>
            <w:vAlign w:val="center"/>
          </w:tcPr>
          <w:p w14:paraId="4D9AEBEA">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55C9AF64">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454" w:type="dxa"/>
            <w:gridSpan w:val="2"/>
            <w:noWrap w:val="0"/>
            <w:vAlign w:val="center"/>
          </w:tcPr>
          <w:p w14:paraId="6EDF8620">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54B38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4" w:hRule="atLeast"/>
        </w:trPr>
        <w:tc>
          <w:tcPr>
            <w:tcW w:w="516" w:type="dxa"/>
            <w:vMerge w:val="continue"/>
            <w:noWrap w:val="0"/>
            <w:textDirection w:val="tbRlV"/>
            <w:vAlign w:val="center"/>
          </w:tcPr>
          <w:p w14:paraId="05050162">
            <w:pPr>
              <w:spacing w:line="240" w:lineRule="auto"/>
              <w:ind w:firstLine="0" w:firstLineChars="0"/>
              <w:jc w:val="center"/>
              <w:rPr>
                <w:rFonts w:hint="eastAsia" w:ascii="宋体" w:hAnsi="宋体" w:eastAsia="宋体" w:cs="宋体"/>
                <w:sz w:val="22"/>
                <w:szCs w:val="22"/>
              </w:rPr>
            </w:pPr>
          </w:p>
        </w:tc>
        <w:tc>
          <w:tcPr>
            <w:tcW w:w="653" w:type="dxa"/>
            <w:vMerge w:val="continue"/>
            <w:noWrap w:val="0"/>
            <w:vAlign w:val="center"/>
          </w:tcPr>
          <w:p w14:paraId="3058DC1C">
            <w:pPr>
              <w:spacing w:line="240" w:lineRule="auto"/>
              <w:ind w:firstLine="0" w:firstLineChars="0"/>
              <w:jc w:val="center"/>
              <w:rPr>
                <w:rFonts w:hint="eastAsia" w:ascii="宋体" w:hAnsi="宋体" w:eastAsia="宋体" w:cs="宋体"/>
                <w:sz w:val="22"/>
                <w:szCs w:val="22"/>
              </w:rPr>
            </w:pPr>
          </w:p>
        </w:tc>
        <w:tc>
          <w:tcPr>
            <w:tcW w:w="1078" w:type="dxa"/>
            <w:vMerge w:val="continue"/>
            <w:noWrap w:val="0"/>
            <w:vAlign w:val="center"/>
          </w:tcPr>
          <w:p w14:paraId="64373395">
            <w:pPr>
              <w:spacing w:line="240" w:lineRule="auto"/>
              <w:ind w:firstLine="0" w:firstLineChars="0"/>
              <w:jc w:val="center"/>
              <w:rPr>
                <w:rFonts w:hint="eastAsia" w:ascii="宋体" w:hAnsi="宋体" w:eastAsia="宋体" w:cs="宋体"/>
                <w:spacing w:val="-3"/>
                <w:sz w:val="22"/>
                <w:szCs w:val="22"/>
              </w:rPr>
            </w:pPr>
          </w:p>
        </w:tc>
        <w:tc>
          <w:tcPr>
            <w:tcW w:w="1454" w:type="dxa"/>
            <w:gridSpan w:val="2"/>
            <w:noWrap w:val="0"/>
            <w:vAlign w:val="center"/>
          </w:tcPr>
          <w:p w14:paraId="43871F61">
            <w:pPr>
              <w:spacing w:line="240" w:lineRule="auto"/>
              <w:ind w:firstLine="0" w:firstLineChars="0"/>
              <w:jc w:val="center"/>
              <w:rPr>
                <w:rFonts w:hint="eastAsia" w:ascii="宋体" w:hAnsi="宋体" w:eastAsia="宋体" w:cs="宋体"/>
                <w:spacing w:val="-3"/>
                <w:sz w:val="18"/>
                <w:szCs w:val="18"/>
              </w:rPr>
            </w:pPr>
            <w:r>
              <w:rPr>
                <w:rFonts w:hint="eastAsia" w:ascii="宋体" w:hAnsi="宋体" w:eastAsia="宋体" w:cs="宋体"/>
                <w:spacing w:val="-3"/>
                <w:sz w:val="18"/>
                <w:szCs w:val="18"/>
              </w:rPr>
              <w:t>考务人员满意度</w:t>
            </w:r>
          </w:p>
        </w:tc>
        <w:tc>
          <w:tcPr>
            <w:tcW w:w="893" w:type="dxa"/>
            <w:noWrap w:val="0"/>
            <w:vAlign w:val="center"/>
          </w:tcPr>
          <w:p w14:paraId="1B2D3F57">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持续提高</w:t>
            </w:r>
          </w:p>
        </w:tc>
        <w:tc>
          <w:tcPr>
            <w:tcW w:w="1065" w:type="dxa"/>
            <w:noWrap w:val="0"/>
            <w:vAlign w:val="center"/>
          </w:tcPr>
          <w:p w14:paraId="6F926261">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持续提高</w:t>
            </w:r>
          </w:p>
        </w:tc>
        <w:tc>
          <w:tcPr>
            <w:tcW w:w="550" w:type="dxa"/>
            <w:gridSpan w:val="2"/>
            <w:noWrap w:val="0"/>
            <w:vAlign w:val="center"/>
          </w:tcPr>
          <w:p w14:paraId="3E109D99">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756" w:type="dxa"/>
            <w:gridSpan w:val="2"/>
            <w:noWrap w:val="0"/>
            <w:vAlign w:val="center"/>
          </w:tcPr>
          <w:p w14:paraId="1C4ACD55">
            <w:pPr>
              <w:spacing w:line="240" w:lineRule="auto"/>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454" w:type="dxa"/>
            <w:gridSpan w:val="2"/>
            <w:noWrap w:val="0"/>
            <w:vAlign w:val="center"/>
          </w:tcPr>
          <w:p w14:paraId="72F80A4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无偏差</w:t>
            </w:r>
          </w:p>
        </w:tc>
      </w:tr>
      <w:tr w14:paraId="04953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5659" w:type="dxa"/>
            <w:gridSpan w:val="7"/>
            <w:noWrap w:val="0"/>
            <w:vAlign w:val="center"/>
          </w:tcPr>
          <w:p w14:paraId="0465537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550" w:type="dxa"/>
            <w:gridSpan w:val="2"/>
            <w:noWrap w:val="0"/>
            <w:vAlign w:val="center"/>
          </w:tcPr>
          <w:p w14:paraId="5EBF10F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756" w:type="dxa"/>
            <w:gridSpan w:val="2"/>
            <w:noWrap w:val="0"/>
            <w:vAlign w:val="center"/>
          </w:tcPr>
          <w:p w14:paraId="0F21181E">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454" w:type="dxa"/>
            <w:gridSpan w:val="2"/>
            <w:noWrap w:val="0"/>
            <w:vAlign w:val="center"/>
          </w:tcPr>
          <w:p w14:paraId="0634FA44">
            <w:pPr>
              <w:spacing w:line="240" w:lineRule="auto"/>
              <w:ind w:firstLine="0" w:firstLineChars="0"/>
              <w:jc w:val="center"/>
              <w:rPr>
                <w:rFonts w:hint="eastAsia" w:ascii="宋体" w:hAnsi="宋体" w:eastAsia="宋体" w:cs="宋体"/>
                <w:sz w:val="22"/>
                <w:szCs w:val="22"/>
              </w:rPr>
            </w:pPr>
          </w:p>
        </w:tc>
      </w:tr>
      <w:tr w14:paraId="1E44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1" w:hRule="atLeast"/>
        </w:trPr>
        <w:tc>
          <w:tcPr>
            <w:tcW w:w="516" w:type="dxa"/>
            <w:noWrap w:val="0"/>
            <w:vAlign w:val="center"/>
          </w:tcPr>
          <w:p w14:paraId="32B4265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7903" w:type="dxa"/>
            <w:gridSpan w:val="12"/>
            <w:noWrap w:val="0"/>
            <w:vAlign w:val="center"/>
          </w:tcPr>
          <w:p w14:paraId="6B8FC9A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无</w:t>
            </w:r>
          </w:p>
        </w:tc>
      </w:tr>
    </w:tbl>
    <w:p w14:paraId="7F399D5B">
      <w:pPr>
        <w:spacing w:line="240" w:lineRule="auto"/>
        <w:ind w:firstLine="0" w:firstLineChars="0"/>
        <w:rPr>
          <w:rFonts w:ascii="宋体" w:hAnsi="宋体" w:eastAsia="宋体" w:cs="宋体"/>
          <w:sz w:val="22"/>
          <w:szCs w:val="22"/>
        </w:rPr>
      </w:pPr>
      <w:r>
        <w:rPr>
          <w:rFonts w:ascii="宋体" w:hAnsi="宋体" w:eastAsia="宋体" w:cs="宋体"/>
          <w:spacing w:val="-2"/>
          <w:sz w:val="22"/>
          <w:szCs w:val="22"/>
        </w:rPr>
        <w:t>注：1.其他资金包括中央补助、各级财政资金共同投入到同一项目的自有资金、社会资金等。</w:t>
      </w:r>
    </w:p>
    <w:p w14:paraId="526146F9">
      <w:pPr>
        <w:spacing w:line="240" w:lineRule="auto"/>
        <w:ind w:firstLine="432"/>
        <w:rPr>
          <w:rFonts w:ascii="宋体" w:hAnsi="宋体" w:eastAsia="宋体" w:cs="宋体"/>
          <w:sz w:val="22"/>
          <w:szCs w:val="22"/>
        </w:rPr>
      </w:pPr>
      <w:r>
        <w:rPr>
          <w:rFonts w:ascii="宋体" w:hAnsi="宋体" w:eastAsia="宋体" w:cs="宋体"/>
          <w:spacing w:val="-2"/>
          <w:sz w:val="22"/>
          <w:szCs w:val="22"/>
        </w:rPr>
        <w:t>2.绩效自评采取打分评价形式，满分为100分，各部门可根据指标的重要程度自主确定各项三级指标的权重分值，各项指标得分加总得出该项目绩效自评的总分（中央和省委巡视、各级审计和财政监督中发现问题的酌情扣分</w:t>
      </w:r>
      <w:r>
        <w:rPr>
          <w:rFonts w:ascii="宋体" w:hAnsi="宋体" w:eastAsia="宋体" w:cs="宋体"/>
          <w:spacing w:val="8"/>
          <w:sz w:val="22"/>
          <w:szCs w:val="22"/>
        </w:rPr>
        <w:t>），</w:t>
      </w:r>
      <w:r>
        <w:rPr>
          <w:rFonts w:ascii="宋体" w:hAnsi="宋体" w:eastAsia="宋体" w:cs="宋体"/>
          <w:spacing w:val="-2"/>
          <w:sz w:val="22"/>
          <w:szCs w:val="22"/>
        </w:rPr>
        <w:t>各项指标得分最高不能超过该指标分值上限，原则上一级指标分值统一设置为：产出指标50分、效益指标30分、满意度指标10分、预算资金执行率10分。如有特殊情况，除预算资金执行率外，其他指标权重可作适当调整，但总分应为100分。</w:t>
      </w:r>
    </w:p>
    <w:p w14:paraId="7BDC8865">
      <w:pPr>
        <w:spacing w:line="240" w:lineRule="auto"/>
        <w:ind w:firstLine="432"/>
        <w:rPr>
          <w:rFonts w:hint="eastAsia" w:ascii="宋体" w:hAnsi="宋体" w:eastAsia="宋体" w:cs="宋体"/>
          <w:spacing w:val="-2"/>
          <w:sz w:val="22"/>
          <w:szCs w:val="22"/>
        </w:rPr>
      </w:pPr>
      <w:r>
        <w:rPr>
          <w:rFonts w:ascii="宋体" w:hAnsi="宋体" w:eastAsia="宋体" w:cs="宋体"/>
          <w:spacing w:val="-2"/>
          <w:sz w:val="22"/>
          <w:szCs w:val="22"/>
        </w:rPr>
        <w:t>3.本表资金使用单位按具体项目填报，主管部门按二级项目汇总绩效目标，对于定量指标，绝对值直接累加计算，相对值按照资金额度加权平均计算；定性指标根据指标完成情况分为：全部或基本达成预期指标、部分达成预期指标并具有一定效果、未达成预期指标且效果较差三档，分别按照100%-80%（含）、80%-60%（含）、60%-0%合理填写完成比例。</w:t>
      </w:r>
    </w:p>
    <w:p w14:paraId="158075AB">
      <w:pPr>
        <w:ind w:firstLine="432"/>
        <w:rPr>
          <w:rFonts w:ascii="宋体" w:hAnsi="宋体" w:eastAsia="宋体" w:cs="宋体"/>
          <w:spacing w:val="-2"/>
          <w:sz w:val="22"/>
          <w:szCs w:val="22"/>
        </w:rPr>
      </w:pPr>
    </w:p>
    <w:p w14:paraId="2FB380B1">
      <w:pPr>
        <w:ind w:firstLine="432"/>
        <w:rPr>
          <w:rFonts w:ascii="宋体" w:hAnsi="宋体" w:eastAsia="宋体" w:cs="宋体"/>
          <w:spacing w:val="-2"/>
          <w:sz w:val="22"/>
          <w:szCs w:val="22"/>
        </w:rPr>
      </w:pPr>
    </w:p>
    <w:p w14:paraId="6E500628">
      <w:pPr>
        <w:pStyle w:val="2"/>
        <w:pageBreakBefore w:val="0"/>
        <w:numPr>
          <w:ilvl w:val="5"/>
          <w:numId w:val="0"/>
        </w:numPr>
        <w:wordWrap/>
        <w:overflowPunct/>
        <w:topLinePunct w:val="0"/>
        <w:bidi w:val="0"/>
        <w:spacing w:line="560" w:lineRule="exact"/>
        <w:ind w:leftChars="0"/>
      </w:pPr>
    </w:p>
    <w:p w14:paraId="5E815D95">
      <w:pPr>
        <w:pStyle w:val="2"/>
        <w:numPr>
          <w:ilvl w:val="5"/>
          <w:numId w:val="0"/>
        </w:numPr>
        <w:ind w:leftChars="200"/>
      </w:pPr>
    </w:p>
    <w:p w14:paraId="483AE05E">
      <w:pPr>
        <w:pStyle w:val="2"/>
        <w:numPr>
          <w:ilvl w:val="5"/>
          <w:numId w:val="0"/>
        </w:num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Geneva">
    <w:altName w:val="DejaVu Math TeX Gyre"/>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Helvetica">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楷体_GBK">
    <w:altName w:val="Arial Unicode MS"/>
    <w:panose1 w:val="02000000000000000000"/>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东文宋体">
    <w:altName w:val="宋体"/>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97CAC">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7027">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58293">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4A7EE">
    <w:pPr>
      <w:pStyle w:val="8"/>
      <w:ind w:firstLine="360"/>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path/>
          <v:fill on="f" focussize="0,0"/>
          <v:stroke on="f" weight="0.5pt" joinstyle="miter"/>
          <v:imagedata o:title=""/>
          <o:lock v:ext="edit"/>
          <v:textbox inset="0mm,0mm,0mm,0mm" style="mso-fit-shape-to-text:t;">
            <w:txbxContent>
              <w:p w14:paraId="206AC2F7">
                <w:pPr>
                  <w:pStyle w:val="8"/>
                  <w:ind w:firstLine="480"/>
                  <w:rPr>
                    <w:rFonts w:eastAsia="仿宋_GB2312"/>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112</w:t>
                </w:r>
                <w:r>
                  <w:rPr>
                    <w:rFonts w:hint="eastAsia"/>
                    <w:sz w:val="24"/>
                    <w:szCs w:val="24"/>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7A905">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8E2F4">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92031">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1332BD"/>
    <w:multiLevelType w:val="singleLevel"/>
    <w:tmpl w:val="831332BD"/>
    <w:lvl w:ilvl="0" w:tentative="0">
      <w:start w:val="1"/>
      <w:numFmt w:val="chineseCounting"/>
      <w:suff w:val="nothing"/>
      <w:lvlText w:val="%1、"/>
      <w:lvlJc w:val="left"/>
      <w:rPr>
        <w:rFonts w:hint="eastAsia"/>
      </w:rPr>
    </w:lvl>
  </w:abstractNum>
  <w:abstractNum w:abstractNumId="1">
    <w:nsid w:val="AFBBC315"/>
    <w:multiLevelType w:val="singleLevel"/>
    <w:tmpl w:val="AFBBC315"/>
    <w:lvl w:ilvl="0" w:tentative="0">
      <w:start w:val="2"/>
      <w:numFmt w:val="decimal"/>
      <w:suff w:val="nothing"/>
      <w:lvlText w:val="%1、"/>
      <w:lvlJc w:val="left"/>
    </w:lvl>
  </w:abstractNum>
  <w:abstractNum w:abstractNumId="2">
    <w:nsid w:val="B33E4A5F"/>
    <w:multiLevelType w:val="singleLevel"/>
    <w:tmpl w:val="B33E4A5F"/>
    <w:lvl w:ilvl="0" w:tentative="0">
      <w:start w:val="1"/>
      <w:numFmt w:val="decimal"/>
      <w:lvlText w:val="%1."/>
      <w:lvlJc w:val="left"/>
      <w:pPr>
        <w:tabs>
          <w:tab w:val="left" w:pos="312"/>
        </w:tabs>
      </w:pPr>
    </w:lvl>
  </w:abstractNum>
  <w:abstractNum w:abstractNumId="3">
    <w:nsid w:val="B57FCB9D"/>
    <w:multiLevelType w:val="singleLevel"/>
    <w:tmpl w:val="B57FCB9D"/>
    <w:lvl w:ilvl="0" w:tentative="0">
      <w:start w:val="3"/>
      <w:numFmt w:val="decimal"/>
      <w:suff w:val="nothing"/>
      <w:lvlText w:val="%1、"/>
      <w:lvlJc w:val="left"/>
    </w:lvl>
  </w:abstractNum>
  <w:abstractNum w:abstractNumId="4">
    <w:nsid w:val="BE5FE3F3"/>
    <w:multiLevelType w:val="singleLevel"/>
    <w:tmpl w:val="BE5FE3F3"/>
    <w:lvl w:ilvl="0" w:tentative="0">
      <w:start w:val="3"/>
      <w:numFmt w:val="decimal"/>
      <w:suff w:val="nothing"/>
      <w:lvlText w:val="（%1）"/>
      <w:lvlJc w:val="left"/>
    </w:lvl>
  </w:abstractNum>
  <w:abstractNum w:abstractNumId="5">
    <w:nsid w:val="FC9AD443"/>
    <w:multiLevelType w:val="singleLevel"/>
    <w:tmpl w:val="FC9AD443"/>
    <w:lvl w:ilvl="0" w:tentative="0">
      <w:start w:val="3"/>
      <w:numFmt w:val="decimal"/>
      <w:suff w:val="nothing"/>
      <w:lvlText w:val="%1、"/>
      <w:lvlJc w:val="left"/>
    </w:lvl>
  </w:abstractNum>
  <w:abstractNum w:abstractNumId="6">
    <w:nsid w:val="FDEF6406"/>
    <w:multiLevelType w:val="singleLevel"/>
    <w:tmpl w:val="FDEF6406"/>
    <w:lvl w:ilvl="0" w:tentative="0">
      <w:start w:val="4"/>
      <w:numFmt w:val="decimal"/>
      <w:lvlText w:val="%1."/>
      <w:lvlJc w:val="left"/>
      <w:pPr>
        <w:tabs>
          <w:tab w:val="left" w:pos="312"/>
        </w:tabs>
      </w:pPr>
    </w:lvl>
  </w:abstractNum>
  <w:abstractNum w:abstractNumId="7">
    <w:nsid w:val="FDF6DF3E"/>
    <w:multiLevelType w:val="singleLevel"/>
    <w:tmpl w:val="FDF6DF3E"/>
    <w:lvl w:ilvl="0" w:tentative="0">
      <w:start w:val="4"/>
      <w:numFmt w:val="chineseCounting"/>
      <w:suff w:val="nothing"/>
      <w:lvlText w:val="（%1）"/>
      <w:lvlJc w:val="left"/>
      <w:rPr>
        <w:rFonts w:hint="eastAsia"/>
      </w:rPr>
    </w:lvl>
  </w:abstractNum>
  <w:abstractNum w:abstractNumId="8">
    <w:nsid w:val="FEFEA3CB"/>
    <w:multiLevelType w:val="singleLevel"/>
    <w:tmpl w:val="FEFEA3CB"/>
    <w:lvl w:ilvl="0" w:tentative="0">
      <w:start w:val="3"/>
      <w:numFmt w:val="decimal"/>
      <w:lvlText w:val="%1."/>
      <w:lvlJc w:val="left"/>
      <w:pPr>
        <w:tabs>
          <w:tab w:val="left" w:pos="312"/>
        </w:tabs>
      </w:pPr>
    </w:lvl>
  </w:abstractNum>
  <w:abstractNum w:abstractNumId="9">
    <w:nsid w:val="FFF61CB0"/>
    <w:multiLevelType w:val="singleLevel"/>
    <w:tmpl w:val="FFF61CB0"/>
    <w:lvl w:ilvl="0" w:tentative="0">
      <w:start w:val="3"/>
      <w:numFmt w:val="decimal"/>
      <w:suff w:val="nothing"/>
      <w:lvlText w:val="（%1）"/>
      <w:lvlJc w:val="left"/>
    </w:lvl>
  </w:abstractNum>
  <w:abstractNum w:abstractNumId="10">
    <w:nsid w:val="01518522"/>
    <w:multiLevelType w:val="singleLevel"/>
    <w:tmpl w:val="01518522"/>
    <w:lvl w:ilvl="0" w:tentative="0">
      <w:start w:val="15"/>
      <w:numFmt w:val="chineseCounting"/>
      <w:suff w:val="nothing"/>
      <w:lvlText w:val="（%1）"/>
      <w:lvlJc w:val="left"/>
      <w:rPr>
        <w:rFonts w:hint="eastAsia"/>
      </w:rPr>
    </w:lvl>
  </w:abstractNum>
  <w:abstractNum w:abstractNumId="11">
    <w:nsid w:val="1C21C1DE"/>
    <w:multiLevelType w:val="singleLevel"/>
    <w:tmpl w:val="1C21C1DE"/>
    <w:lvl w:ilvl="0" w:tentative="0">
      <w:start w:val="1"/>
      <w:numFmt w:val="chineseCounting"/>
      <w:suff w:val="nothing"/>
      <w:lvlText w:val="（%1）"/>
      <w:lvlJc w:val="left"/>
      <w:rPr>
        <w:rFonts w:hint="eastAsia"/>
      </w:rPr>
    </w:lvl>
  </w:abstractNum>
  <w:abstractNum w:abstractNumId="12">
    <w:nsid w:val="209070B0"/>
    <w:multiLevelType w:val="singleLevel"/>
    <w:tmpl w:val="209070B0"/>
    <w:lvl w:ilvl="0" w:tentative="0">
      <w:start w:val="11"/>
      <w:numFmt w:val="chineseCounting"/>
      <w:suff w:val="nothing"/>
      <w:lvlText w:val="（%1）"/>
      <w:lvlJc w:val="left"/>
      <w:rPr>
        <w:rFonts w:hint="eastAsia"/>
      </w:rPr>
    </w:lvl>
  </w:abstractNum>
  <w:abstractNum w:abstractNumId="13">
    <w:nsid w:val="28922436"/>
    <w:multiLevelType w:val="multilevel"/>
    <w:tmpl w:val="28922436"/>
    <w:lvl w:ilvl="0" w:tentative="0">
      <w:start w:val="3"/>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3FEEFAF4"/>
    <w:multiLevelType w:val="singleLevel"/>
    <w:tmpl w:val="3FEEFAF4"/>
    <w:lvl w:ilvl="0" w:tentative="0">
      <w:start w:val="2"/>
      <w:numFmt w:val="decimal"/>
      <w:suff w:val="nothing"/>
      <w:lvlText w:val="（%1）"/>
      <w:lvlJc w:val="left"/>
    </w:lvl>
  </w:abstractNum>
  <w:abstractNum w:abstractNumId="15">
    <w:nsid w:val="59A65064"/>
    <w:multiLevelType w:val="multilevel"/>
    <w:tmpl w:val="59A65064"/>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tabs>
          <w:tab w:val="left" w:pos="0"/>
        </w:tabs>
        <w:ind w:left="0" w:firstLine="40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pStyle w:val="2"/>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6">
    <w:nsid w:val="5D3D3A1B"/>
    <w:multiLevelType w:val="multilevel"/>
    <w:tmpl w:val="5D3D3A1B"/>
    <w:lvl w:ilvl="0" w:tentative="0">
      <w:start w:val="2"/>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6465CF58"/>
    <w:multiLevelType w:val="multilevel"/>
    <w:tmpl w:val="6465CF58"/>
    <w:lvl w:ilvl="0" w:tentative="0">
      <w:start w:val="2"/>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abstractNum w:abstractNumId="18">
    <w:nsid w:val="6CB369EC"/>
    <w:multiLevelType w:val="multilevel"/>
    <w:tmpl w:val="6CB369EC"/>
    <w:lvl w:ilvl="0" w:tentative="0">
      <w:start w:val="2"/>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9">
    <w:nsid w:val="757FA568"/>
    <w:multiLevelType w:val="singleLevel"/>
    <w:tmpl w:val="757FA568"/>
    <w:lvl w:ilvl="0" w:tentative="0">
      <w:start w:val="2"/>
      <w:numFmt w:val="decimal"/>
      <w:suff w:val="nothing"/>
      <w:lvlText w:val="（%1）"/>
      <w:lvlJc w:val="left"/>
    </w:lvl>
  </w:abstractNum>
  <w:abstractNum w:abstractNumId="20">
    <w:nsid w:val="7EFE0B83"/>
    <w:multiLevelType w:val="singleLevel"/>
    <w:tmpl w:val="7EFE0B83"/>
    <w:lvl w:ilvl="0" w:tentative="0">
      <w:start w:val="1"/>
      <w:numFmt w:val="chineseCounting"/>
      <w:suff w:val="nothing"/>
      <w:lvlText w:val="（%1）"/>
      <w:lvlJc w:val="left"/>
      <w:rPr>
        <w:rFonts w:hint="eastAsia"/>
      </w:rPr>
    </w:lvl>
  </w:abstractNum>
  <w:num w:numId="1">
    <w:abstractNumId w:val="15"/>
  </w:num>
  <w:num w:numId="2">
    <w:abstractNumId w:val="2"/>
  </w:num>
  <w:num w:numId="3">
    <w:abstractNumId w:val="19"/>
  </w:num>
  <w:num w:numId="4">
    <w:abstractNumId w:val="4"/>
  </w:num>
  <w:num w:numId="5">
    <w:abstractNumId w:val="8"/>
  </w:num>
  <w:num w:numId="6">
    <w:abstractNumId w:val="17"/>
  </w:num>
  <w:num w:numId="7">
    <w:abstractNumId w:val="14"/>
  </w:num>
  <w:num w:numId="8">
    <w:abstractNumId w:val="9"/>
  </w:num>
  <w:num w:numId="9">
    <w:abstractNumId w:val="12"/>
  </w:num>
  <w:num w:numId="10">
    <w:abstractNumId w:val="0"/>
  </w:num>
  <w:num w:numId="11">
    <w:abstractNumId w:val="11"/>
  </w:num>
  <w:num w:numId="12">
    <w:abstractNumId w:val="1"/>
  </w:num>
  <w:num w:numId="13">
    <w:abstractNumId w:val="5"/>
  </w:num>
  <w:num w:numId="14">
    <w:abstractNumId w:val="10"/>
  </w:num>
  <w:num w:numId="15">
    <w:abstractNumId w:val="3"/>
  </w:num>
  <w:num w:numId="16">
    <w:abstractNumId w:val="6"/>
  </w:num>
  <w:num w:numId="17">
    <w:abstractNumId w:val="20"/>
  </w:num>
  <w:num w:numId="18">
    <w:abstractNumId w:val="7"/>
  </w:num>
  <w:num w:numId="19">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M4MDJiMGI2NDI0NDg0M2ViMTU3OTdiZTQ5ZWNlYzAifQ=="/>
  </w:docVars>
  <w:rsids>
    <w:rsidRoot w:val="004519A9"/>
    <w:rsid w:val="00207852"/>
    <w:rsid w:val="0035726D"/>
    <w:rsid w:val="004519A9"/>
    <w:rsid w:val="009078E4"/>
    <w:rsid w:val="00953D9C"/>
    <w:rsid w:val="00973980"/>
    <w:rsid w:val="00B55C19"/>
    <w:rsid w:val="010F7FF3"/>
    <w:rsid w:val="0156501F"/>
    <w:rsid w:val="01A05184"/>
    <w:rsid w:val="029A38EC"/>
    <w:rsid w:val="038D3451"/>
    <w:rsid w:val="040D5424"/>
    <w:rsid w:val="040E6340"/>
    <w:rsid w:val="044F0A68"/>
    <w:rsid w:val="04610B65"/>
    <w:rsid w:val="05A074EA"/>
    <w:rsid w:val="074402CA"/>
    <w:rsid w:val="078017DE"/>
    <w:rsid w:val="07BA233A"/>
    <w:rsid w:val="07BE5CDD"/>
    <w:rsid w:val="07D1251D"/>
    <w:rsid w:val="080F08D8"/>
    <w:rsid w:val="081B102B"/>
    <w:rsid w:val="08442237"/>
    <w:rsid w:val="08AC4379"/>
    <w:rsid w:val="08B64998"/>
    <w:rsid w:val="08CE609D"/>
    <w:rsid w:val="08FC70AE"/>
    <w:rsid w:val="09E37E1B"/>
    <w:rsid w:val="09EA6F07"/>
    <w:rsid w:val="0A067AB9"/>
    <w:rsid w:val="0A3E36F7"/>
    <w:rsid w:val="0A6662A2"/>
    <w:rsid w:val="0A8517B6"/>
    <w:rsid w:val="0BE61950"/>
    <w:rsid w:val="0BE91440"/>
    <w:rsid w:val="0C0B585A"/>
    <w:rsid w:val="0C321039"/>
    <w:rsid w:val="0CB639E7"/>
    <w:rsid w:val="0D4234FE"/>
    <w:rsid w:val="0D562B05"/>
    <w:rsid w:val="0D597952"/>
    <w:rsid w:val="0D772860"/>
    <w:rsid w:val="0DD24882"/>
    <w:rsid w:val="0DD55785"/>
    <w:rsid w:val="0E4F2D85"/>
    <w:rsid w:val="0F0A004B"/>
    <w:rsid w:val="0F4144E0"/>
    <w:rsid w:val="1010343F"/>
    <w:rsid w:val="107E37F2"/>
    <w:rsid w:val="10876A51"/>
    <w:rsid w:val="10881228"/>
    <w:rsid w:val="10C6092B"/>
    <w:rsid w:val="10D64689"/>
    <w:rsid w:val="115E6A7D"/>
    <w:rsid w:val="118B7221"/>
    <w:rsid w:val="11D32B00"/>
    <w:rsid w:val="126E7369"/>
    <w:rsid w:val="13C0517C"/>
    <w:rsid w:val="13D34EB0"/>
    <w:rsid w:val="14445DAD"/>
    <w:rsid w:val="14F204A2"/>
    <w:rsid w:val="151D2886"/>
    <w:rsid w:val="15294664"/>
    <w:rsid w:val="15853F88"/>
    <w:rsid w:val="158A77F0"/>
    <w:rsid w:val="17165713"/>
    <w:rsid w:val="17253C74"/>
    <w:rsid w:val="1767603B"/>
    <w:rsid w:val="178C3CF3"/>
    <w:rsid w:val="17B46DA6"/>
    <w:rsid w:val="18297794"/>
    <w:rsid w:val="18D23988"/>
    <w:rsid w:val="1A903AFB"/>
    <w:rsid w:val="1BEC6B0F"/>
    <w:rsid w:val="1C6C5EA1"/>
    <w:rsid w:val="1CD81789"/>
    <w:rsid w:val="1D602952"/>
    <w:rsid w:val="1EDE598B"/>
    <w:rsid w:val="1FB65DB1"/>
    <w:rsid w:val="1FBB33C8"/>
    <w:rsid w:val="1FE219A2"/>
    <w:rsid w:val="1FE77601"/>
    <w:rsid w:val="20CF69FF"/>
    <w:rsid w:val="20FD531A"/>
    <w:rsid w:val="21133312"/>
    <w:rsid w:val="218944CA"/>
    <w:rsid w:val="22A42E37"/>
    <w:rsid w:val="22CA1B74"/>
    <w:rsid w:val="23696C97"/>
    <w:rsid w:val="24831FDA"/>
    <w:rsid w:val="25FD7B6A"/>
    <w:rsid w:val="26791852"/>
    <w:rsid w:val="26855FCD"/>
    <w:rsid w:val="26B648E9"/>
    <w:rsid w:val="26F14D79"/>
    <w:rsid w:val="27E40D22"/>
    <w:rsid w:val="28B906C0"/>
    <w:rsid w:val="28B978B5"/>
    <w:rsid w:val="28E514B5"/>
    <w:rsid w:val="28F11C08"/>
    <w:rsid w:val="297168A5"/>
    <w:rsid w:val="298A6197"/>
    <w:rsid w:val="298E3BA3"/>
    <w:rsid w:val="2B0B4AD7"/>
    <w:rsid w:val="2B9B6E67"/>
    <w:rsid w:val="2BAA0794"/>
    <w:rsid w:val="2BFC2B9D"/>
    <w:rsid w:val="2C1B3002"/>
    <w:rsid w:val="2C844B41"/>
    <w:rsid w:val="2D236108"/>
    <w:rsid w:val="2D3622E0"/>
    <w:rsid w:val="2DF9330D"/>
    <w:rsid w:val="2E150147"/>
    <w:rsid w:val="2E262354"/>
    <w:rsid w:val="2E422F06"/>
    <w:rsid w:val="2ED574C8"/>
    <w:rsid w:val="2EFE5D64"/>
    <w:rsid w:val="2F6F3887"/>
    <w:rsid w:val="323668DE"/>
    <w:rsid w:val="32F522F5"/>
    <w:rsid w:val="337551E4"/>
    <w:rsid w:val="33A67A93"/>
    <w:rsid w:val="33CE5625"/>
    <w:rsid w:val="33FF28CB"/>
    <w:rsid w:val="34A16598"/>
    <w:rsid w:val="35225DB0"/>
    <w:rsid w:val="35584DBD"/>
    <w:rsid w:val="355A5E9B"/>
    <w:rsid w:val="357B2200"/>
    <w:rsid w:val="357C4F4F"/>
    <w:rsid w:val="35E914C7"/>
    <w:rsid w:val="36546371"/>
    <w:rsid w:val="366D6646"/>
    <w:rsid w:val="36723C5D"/>
    <w:rsid w:val="368045CB"/>
    <w:rsid w:val="37661CDE"/>
    <w:rsid w:val="376B0DD8"/>
    <w:rsid w:val="37B564F7"/>
    <w:rsid w:val="37F16F81"/>
    <w:rsid w:val="38585500"/>
    <w:rsid w:val="38797524"/>
    <w:rsid w:val="389C3213"/>
    <w:rsid w:val="389E342F"/>
    <w:rsid w:val="392C4597"/>
    <w:rsid w:val="39535FC7"/>
    <w:rsid w:val="395835DE"/>
    <w:rsid w:val="3995213C"/>
    <w:rsid w:val="3A9C74FA"/>
    <w:rsid w:val="3B0357CB"/>
    <w:rsid w:val="3B392A7C"/>
    <w:rsid w:val="3C177780"/>
    <w:rsid w:val="3C5F186B"/>
    <w:rsid w:val="3C6B7ACC"/>
    <w:rsid w:val="3CFB0E50"/>
    <w:rsid w:val="3D0F77BB"/>
    <w:rsid w:val="3D2739C8"/>
    <w:rsid w:val="3E285C74"/>
    <w:rsid w:val="3E304B29"/>
    <w:rsid w:val="3E9A6497"/>
    <w:rsid w:val="3F192620"/>
    <w:rsid w:val="3FF878C8"/>
    <w:rsid w:val="402406BD"/>
    <w:rsid w:val="40512B35"/>
    <w:rsid w:val="40B966CD"/>
    <w:rsid w:val="412B4238"/>
    <w:rsid w:val="414E282B"/>
    <w:rsid w:val="4180222C"/>
    <w:rsid w:val="419D0727"/>
    <w:rsid w:val="41C218EF"/>
    <w:rsid w:val="41D1217F"/>
    <w:rsid w:val="41E2613A"/>
    <w:rsid w:val="429C278D"/>
    <w:rsid w:val="43B81849"/>
    <w:rsid w:val="44627A06"/>
    <w:rsid w:val="44965602"/>
    <w:rsid w:val="44994524"/>
    <w:rsid w:val="45237196"/>
    <w:rsid w:val="455C4456"/>
    <w:rsid w:val="4577303D"/>
    <w:rsid w:val="45790B64"/>
    <w:rsid w:val="4594599D"/>
    <w:rsid w:val="45F621B4"/>
    <w:rsid w:val="463134B4"/>
    <w:rsid w:val="46D3490B"/>
    <w:rsid w:val="47064679"/>
    <w:rsid w:val="47217705"/>
    <w:rsid w:val="47947ED7"/>
    <w:rsid w:val="47C12462"/>
    <w:rsid w:val="48132608"/>
    <w:rsid w:val="485A7C0B"/>
    <w:rsid w:val="485C5346"/>
    <w:rsid w:val="486C49B0"/>
    <w:rsid w:val="48F350D1"/>
    <w:rsid w:val="4903157D"/>
    <w:rsid w:val="49357228"/>
    <w:rsid w:val="4A58168F"/>
    <w:rsid w:val="4A985F30"/>
    <w:rsid w:val="4BB46D99"/>
    <w:rsid w:val="4C96649F"/>
    <w:rsid w:val="4D111FCA"/>
    <w:rsid w:val="4DAD5669"/>
    <w:rsid w:val="4DB766CD"/>
    <w:rsid w:val="4E9F7009"/>
    <w:rsid w:val="4FA664A5"/>
    <w:rsid w:val="4FE43D8C"/>
    <w:rsid w:val="50ED49C8"/>
    <w:rsid w:val="512F2A1E"/>
    <w:rsid w:val="51987087"/>
    <w:rsid w:val="52B61649"/>
    <w:rsid w:val="530A419A"/>
    <w:rsid w:val="551B39E5"/>
    <w:rsid w:val="55AE7A03"/>
    <w:rsid w:val="55D37094"/>
    <w:rsid w:val="55D83684"/>
    <w:rsid w:val="57D24AD9"/>
    <w:rsid w:val="583D72F0"/>
    <w:rsid w:val="58AB1524"/>
    <w:rsid w:val="59376914"/>
    <w:rsid w:val="59940314"/>
    <w:rsid w:val="59945B14"/>
    <w:rsid w:val="5AA078D3"/>
    <w:rsid w:val="5AB13C9A"/>
    <w:rsid w:val="5B0A0784"/>
    <w:rsid w:val="5B1769FD"/>
    <w:rsid w:val="5B592697"/>
    <w:rsid w:val="5B863B83"/>
    <w:rsid w:val="5C007110"/>
    <w:rsid w:val="5C7D4F86"/>
    <w:rsid w:val="5CDF179C"/>
    <w:rsid w:val="5D5E0913"/>
    <w:rsid w:val="5D916F3A"/>
    <w:rsid w:val="5F1D65AC"/>
    <w:rsid w:val="5F5B3F39"/>
    <w:rsid w:val="60AB6843"/>
    <w:rsid w:val="60C018E5"/>
    <w:rsid w:val="60CE4002"/>
    <w:rsid w:val="60D87938"/>
    <w:rsid w:val="60DB6626"/>
    <w:rsid w:val="617F354E"/>
    <w:rsid w:val="61A672CD"/>
    <w:rsid w:val="624A3B5C"/>
    <w:rsid w:val="62970423"/>
    <w:rsid w:val="62B154A9"/>
    <w:rsid w:val="62FB30A8"/>
    <w:rsid w:val="63175732"/>
    <w:rsid w:val="63177590"/>
    <w:rsid w:val="639B7AD0"/>
    <w:rsid w:val="63A1155A"/>
    <w:rsid w:val="63C30C52"/>
    <w:rsid w:val="644963EC"/>
    <w:rsid w:val="64522076"/>
    <w:rsid w:val="64722EF6"/>
    <w:rsid w:val="648A6492"/>
    <w:rsid w:val="64992B79"/>
    <w:rsid w:val="64B40A52"/>
    <w:rsid w:val="65200BA4"/>
    <w:rsid w:val="65476307"/>
    <w:rsid w:val="65D5373C"/>
    <w:rsid w:val="65F8526B"/>
    <w:rsid w:val="66CC2D91"/>
    <w:rsid w:val="66E3444E"/>
    <w:rsid w:val="670E33AA"/>
    <w:rsid w:val="67663106"/>
    <w:rsid w:val="68A11FFC"/>
    <w:rsid w:val="69432F0E"/>
    <w:rsid w:val="69E104F1"/>
    <w:rsid w:val="6A1D3904"/>
    <w:rsid w:val="6A75729C"/>
    <w:rsid w:val="6B715CB5"/>
    <w:rsid w:val="6CC30793"/>
    <w:rsid w:val="6D140FEE"/>
    <w:rsid w:val="6E027099"/>
    <w:rsid w:val="6E0F5688"/>
    <w:rsid w:val="6E755BDC"/>
    <w:rsid w:val="6EED7D49"/>
    <w:rsid w:val="6F72024E"/>
    <w:rsid w:val="70FA04FB"/>
    <w:rsid w:val="715D19E6"/>
    <w:rsid w:val="7169742F"/>
    <w:rsid w:val="71713526"/>
    <w:rsid w:val="71F72C8D"/>
    <w:rsid w:val="72454685"/>
    <w:rsid w:val="73BC5F3C"/>
    <w:rsid w:val="744E3D32"/>
    <w:rsid w:val="74582108"/>
    <w:rsid w:val="745F3497"/>
    <w:rsid w:val="748C590E"/>
    <w:rsid w:val="74AE7F7A"/>
    <w:rsid w:val="74B135C7"/>
    <w:rsid w:val="74DC5FC8"/>
    <w:rsid w:val="74F82FA3"/>
    <w:rsid w:val="74FB2A94"/>
    <w:rsid w:val="758628A6"/>
    <w:rsid w:val="75AE51B3"/>
    <w:rsid w:val="75C64E50"/>
    <w:rsid w:val="760A5684"/>
    <w:rsid w:val="768C7E47"/>
    <w:rsid w:val="769D2B74"/>
    <w:rsid w:val="76A41635"/>
    <w:rsid w:val="76D8308D"/>
    <w:rsid w:val="770519A8"/>
    <w:rsid w:val="772F0407"/>
    <w:rsid w:val="77404C59"/>
    <w:rsid w:val="7855070D"/>
    <w:rsid w:val="79455FFA"/>
    <w:rsid w:val="79E5700B"/>
    <w:rsid w:val="79E85CDC"/>
    <w:rsid w:val="7A50157D"/>
    <w:rsid w:val="7AB160CE"/>
    <w:rsid w:val="7ADE49EA"/>
    <w:rsid w:val="7B0F7299"/>
    <w:rsid w:val="7B7A0BB6"/>
    <w:rsid w:val="7C160DA1"/>
    <w:rsid w:val="7C484810"/>
    <w:rsid w:val="7CBC0D5A"/>
    <w:rsid w:val="7D5E1E12"/>
    <w:rsid w:val="7D7B6E68"/>
    <w:rsid w:val="7D936F82"/>
    <w:rsid w:val="7F7122D0"/>
    <w:rsid w:val="7FFE3B39"/>
    <w:rsid w:val="FDD6FF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name="index 6"/>
    <w:lsdException w:unhideWhenUsed="0" w:uiPriority="0" w:semiHidden="0" w:name="index 7"/>
    <w:lsdException w:unhideWhenUsed="0" w:uiPriority="0" w:semiHidden="0" w:name="index 8"/>
    <w:lsdException w:qFormat="1" w:unhideWhenUsed="0" w:uiPriority="0" w:semiHidden="0" w:name="index 9"/>
    <w:lsdException w:qFormat="1"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Times New Roman"/>
      <w:kern w:val="2"/>
      <w:sz w:val="32"/>
      <w:szCs w:val="24"/>
      <w:lang w:val="en-US" w:eastAsia="zh-CN" w:bidi="ar-SA"/>
    </w:rPr>
  </w:style>
  <w:style w:type="paragraph" w:styleId="3">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2">
    <w:name w:val="heading 6"/>
    <w:basedOn w:val="1"/>
    <w:next w:val="1"/>
    <w:unhideWhenUsed/>
    <w:qFormat/>
    <w:uiPriority w:val="0"/>
    <w:pPr>
      <w:keepNext/>
      <w:keepLines/>
      <w:numPr>
        <w:ilvl w:val="5"/>
        <w:numId w:val="1"/>
      </w:numPr>
      <w:spacing w:line="317" w:lineRule="auto"/>
      <w:outlineLvl w:val="5"/>
    </w:pPr>
    <w:rPr>
      <w:rFonts w:ascii="Arial" w:hAnsi="Arial" w:eastAsia="宋体"/>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snapToGrid w:val="0"/>
      <w:ind w:firstLine="556"/>
    </w:pPr>
    <w:rPr>
      <w:rFonts w:ascii="仿宋_GB2312" w:hAnsi="Times New Roman" w:eastAsia="仿宋_GB2312"/>
      <w:kern w:val="0"/>
      <w:szCs w:val="20"/>
      <w:lang w:val="zh-CN"/>
    </w:rPr>
  </w:style>
  <w:style w:type="paragraph" w:styleId="5">
    <w:name w:val="index 6"/>
    <w:basedOn w:val="1"/>
    <w:next w:val="1"/>
    <w:semiHidden/>
    <w:qFormat/>
    <w:uiPriority w:val="99"/>
    <w:rPr>
      <w:rFonts w:ascii="仿宋_GB2312" w:hAnsi="黑体" w:cs="仿宋_GB2312"/>
      <w:color w:val="000000"/>
      <w:szCs w:val="32"/>
    </w:rPr>
  </w:style>
  <w:style w:type="paragraph" w:styleId="6">
    <w:name w:val="Body Text"/>
    <w:basedOn w:val="1"/>
    <w:semiHidden/>
    <w:unhideWhenUsed/>
    <w:qFormat/>
    <w:uiPriority w:val="99"/>
    <w:pPr>
      <w:spacing w:after="120"/>
    </w:pPr>
  </w:style>
  <w:style w:type="paragraph" w:styleId="7">
    <w:name w:val="Body Text Indent 2"/>
    <w:basedOn w:val="1"/>
    <w:qFormat/>
    <w:uiPriority w:val="0"/>
    <w:pPr>
      <w:spacing w:after="120" w:line="480" w:lineRule="auto"/>
      <w:ind w:left="420" w:leftChars="200"/>
    </w:pPr>
    <w:rPr>
      <w:rFonts w:ascii="Calibri" w:hAnsi="Calibri" w:eastAsia="宋体" w:cs="Times New Roman"/>
    </w:rPr>
  </w:style>
  <w:style w:type="paragraph" w:styleId="8">
    <w:name w:val="footer"/>
    <w:basedOn w:val="1"/>
    <w:qFormat/>
    <w:uiPriority w:val="0"/>
    <w:pPr>
      <w:tabs>
        <w:tab w:val="center" w:pos="4153"/>
        <w:tab w:val="right" w:pos="8306"/>
      </w:tabs>
      <w:snapToGrid w:val="0"/>
      <w:jc w:val="left"/>
    </w:pPr>
    <w:rPr>
      <w:rFonts w:eastAsia="宋体"/>
      <w:sz w:val="18"/>
      <w:szCs w:val="18"/>
    </w:rPr>
  </w:style>
  <w:style w:type="paragraph" w:styleId="9">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0">
    <w:name w:val="toc 1"/>
    <w:basedOn w:val="1"/>
    <w:next w:val="1"/>
    <w:qFormat/>
    <w:uiPriority w:val="0"/>
  </w:style>
  <w:style w:type="paragraph" w:styleId="11">
    <w:name w:val="index 9"/>
    <w:basedOn w:val="1"/>
    <w:next w:val="1"/>
    <w:qFormat/>
    <w:uiPriority w:val="0"/>
    <w:pPr>
      <w:ind w:left="3360"/>
    </w:pPr>
  </w:style>
  <w:style w:type="paragraph" w:styleId="12">
    <w:name w:val="toc 2"/>
    <w:basedOn w:val="1"/>
    <w:next w:val="1"/>
    <w:unhideWhenUsed/>
    <w:qFormat/>
    <w:uiPriority w:val="39"/>
    <w:pPr>
      <w:widowControl/>
      <w:tabs>
        <w:tab w:val="right" w:leader="dot" w:pos="9072"/>
      </w:tabs>
      <w:adjustRightInd w:val="0"/>
      <w:snapToGrid w:val="0"/>
      <w:spacing w:line="360" w:lineRule="auto"/>
      <w:ind w:left="420" w:leftChars="200" w:firstLine="420" w:firstLineChars="200"/>
      <w:jc w:val="left"/>
    </w:pPr>
    <w:rPr>
      <w:rFonts w:ascii="Calibri" w:hAnsi="Calibri" w:eastAsia="宋体"/>
      <w:kern w:val="0"/>
      <w:sz w:val="24"/>
    </w:rPr>
  </w:style>
  <w:style w:type="paragraph" w:styleId="13">
    <w:name w:val="Normal (Web)"/>
    <w:basedOn w:val="1"/>
    <w:qFormat/>
    <w:uiPriority w:val="0"/>
    <w:pPr>
      <w:spacing w:before="100" w:beforeAutospacing="1" w:after="100" w:afterAutospacing="1"/>
      <w:jc w:val="left"/>
    </w:pPr>
    <w:rPr>
      <w:kern w:val="0"/>
      <w:sz w:val="24"/>
    </w:rPr>
  </w:style>
  <w:style w:type="paragraph" w:styleId="14">
    <w:name w:val="Title"/>
    <w:basedOn w:val="1"/>
    <w:next w:val="1"/>
    <w:qFormat/>
    <w:uiPriority w:val="0"/>
    <w:pPr>
      <w:jc w:val="center"/>
      <w:outlineLvl w:val="0"/>
    </w:pPr>
    <w:rPr>
      <w:rFonts w:ascii="Calibri Light" w:hAnsi="Calibri Light" w:eastAsia="黑体"/>
      <w:b/>
      <w:bCs/>
      <w:szCs w:val="3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bCs/>
    </w:rPr>
  </w:style>
  <w:style w:type="paragraph" w:customStyle="1" w:styleId="19">
    <w:name w:val="WPSOffice手动目录 1"/>
    <w:qFormat/>
    <w:uiPriority w:val="0"/>
    <w:rPr>
      <w:rFonts w:ascii="Times New Roman" w:hAnsi="Times New Roman" w:eastAsia="宋体" w:cs="Times New Roman"/>
      <w:lang w:val="en-US" w:eastAsia="zh-CN" w:bidi="ar-SA"/>
    </w:rPr>
  </w:style>
  <w:style w:type="paragraph" w:customStyle="1" w:styleId="2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1">
    <w:name w:val="样式1"/>
    <w:basedOn w:val="9"/>
    <w:qFormat/>
    <w:uiPriority w:val="0"/>
  </w:style>
  <w:style w:type="character" w:customStyle="1" w:styleId="22">
    <w:name w:val="font51"/>
    <w:basedOn w:val="17"/>
    <w:qFormat/>
    <w:uiPriority w:val="0"/>
    <w:rPr>
      <w:rFonts w:hint="eastAsia" w:ascii="宋体" w:hAnsi="宋体" w:eastAsia="宋体" w:cs="宋体"/>
      <w:b/>
      <w:color w:val="000000"/>
      <w:sz w:val="40"/>
      <w:szCs w:val="40"/>
      <w:u w:val="single"/>
    </w:rPr>
  </w:style>
  <w:style w:type="character" w:customStyle="1" w:styleId="23">
    <w:name w:val="font31"/>
    <w:basedOn w:val="17"/>
    <w:qFormat/>
    <w:uiPriority w:val="0"/>
    <w:rPr>
      <w:rFonts w:hint="eastAsia" w:ascii="宋体" w:hAnsi="宋体" w:eastAsia="宋体" w:cs="宋体"/>
      <w:b/>
      <w:color w:val="000000"/>
      <w:sz w:val="40"/>
      <w:szCs w:val="40"/>
      <w:u w:val="none"/>
    </w:rPr>
  </w:style>
  <w:style w:type="character" w:customStyle="1" w:styleId="24">
    <w:name w:val="font61"/>
    <w:basedOn w:val="17"/>
    <w:qFormat/>
    <w:uiPriority w:val="0"/>
    <w:rPr>
      <w:rFonts w:hint="eastAsia" w:ascii="宋体" w:hAnsi="宋体" w:eastAsia="宋体" w:cs="宋体"/>
      <w:b/>
      <w:color w:val="000000"/>
      <w:sz w:val="40"/>
      <w:szCs w:val="40"/>
      <w:u w:val="single"/>
    </w:rPr>
  </w:style>
  <w:style w:type="paragraph" w:customStyle="1" w:styleId="25">
    <w:name w:val="Body text|2"/>
    <w:basedOn w:val="1"/>
    <w:qFormat/>
    <w:uiPriority w:val="0"/>
    <w:pPr>
      <w:spacing w:after="500" w:line="583" w:lineRule="exact"/>
      <w:jc w:val="center"/>
    </w:pPr>
    <w:rPr>
      <w:rFonts w:ascii="宋体" w:hAnsi="宋体" w:eastAsia="宋体" w:cs="宋体"/>
      <w:sz w:val="44"/>
      <w:szCs w:val="44"/>
      <w:lang w:val="zh-TW" w:eastAsia="zh-TW" w:bidi="zh-TW"/>
    </w:rPr>
  </w:style>
  <w:style w:type="paragraph" w:customStyle="1" w:styleId="26">
    <w:name w:val="Other|1"/>
    <w:basedOn w:val="1"/>
    <w:qFormat/>
    <w:uiPriority w:val="0"/>
    <w:rPr>
      <w:sz w:val="22"/>
      <w:szCs w:val="22"/>
      <w:lang w:val="zh-TW" w:eastAsia="zh-TW" w:bidi="zh-TW"/>
    </w:rPr>
  </w:style>
  <w:style w:type="character" w:customStyle="1" w:styleId="27">
    <w:name w:val="font01"/>
    <w:basedOn w:val="17"/>
    <w:qFormat/>
    <w:uiPriority w:val="0"/>
    <w:rPr>
      <w:rFonts w:hint="eastAsia" w:ascii="宋体" w:hAnsi="宋体" w:eastAsia="宋体" w:cs="宋体"/>
      <w:b/>
      <w:color w:val="000000"/>
      <w:sz w:val="40"/>
      <w:szCs w:val="40"/>
      <w:u w:val="single"/>
    </w:rPr>
  </w:style>
  <w:style w:type="character" w:customStyle="1" w:styleId="28">
    <w:name w:val="font41"/>
    <w:basedOn w:val="17"/>
    <w:qFormat/>
    <w:uiPriority w:val="0"/>
    <w:rPr>
      <w:rFonts w:hint="eastAsia" w:ascii="宋体" w:hAnsi="宋体" w:eastAsia="宋体" w:cs="宋体"/>
      <w:b/>
      <w:color w:val="000000"/>
      <w:sz w:val="40"/>
      <w:szCs w:val="40"/>
      <w:u w:val="none"/>
    </w:rPr>
  </w:style>
  <w:style w:type="character" w:customStyle="1" w:styleId="29">
    <w:name w:val="font21"/>
    <w:basedOn w:val="17"/>
    <w:qFormat/>
    <w:uiPriority w:val="0"/>
    <w:rPr>
      <w:rFonts w:hint="eastAsia" w:ascii="宋体" w:hAnsi="宋体" w:eastAsia="宋体" w:cs="宋体"/>
      <w:b/>
      <w:color w:val="000000"/>
      <w:sz w:val="40"/>
      <w:szCs w:val="40"/>
      <w:u w:val="single"/>
    </w:rPr>
  </w:style>
  <w:style w:type="character" w:customStyle="1" w:styleId="30">
    <w:name w:val="font91"/>
    <w:basedOn w:val="17"/>
    <w:qFormat/>
    <w:uiPriority w:val="0"/>
    <w:rPr>
      <w:rFonts w:hint="eastAsia" w:ascii="宋体" w:hAnsi="宋体" w:eastAsia="宋体" w:cs="宋体"/>
      <w:color w:val="000000"/>
      <w:sz w:val="20"/>
      <w:szCs w:val="20"/>
      <w:u w:val="none"/>
    </w:rPr>
  </w:style>
  <w:style w:type="character" w:customStyle="1" w:styleId="31">
    <w:name w:val="font71"/>
    <w:basedOn w:val="17"/>
    <w:qFormat/>
    <w:uiPriority w:val="0"/>
    <w:rPr>
      <w:rFonts w:hint="eastAsia" w:ascii="宋体" w:hAnsi="宋体" w:eastAsia="宋体" w:cs="宋体"/>
      <w:b/>
      <w:color w:val="000000"/>
      <w:sz w:val="32"/>
      <w:szCs w:val="32"/>
      <w:u w:val="single"/>
    </w:rPr>
  </w:style>
  <w:style w:type="character" w:customStyle="1" w:styleId="32">
    <w:name w:val="font11"/>
    <w:basedOn w:val="17"/>
    <w:qFormat/>
    <w:uiPriority w:val="0"/>
    <w:rPr>
      <w:rFonts w:hint="eastAsia" w:ascii="宋体" w:hAnsi="宋体" w:eastAsia="宋体" w:cs="宋体"/>
      <w:b/>
      <w:color w:val="000000"/>
      <w:sz w:val="32"/>
      <w:szCs w:val="32"/>
      <w:u w:val="none"/>
    </w:rPr>
  </w:style>
  <w:style w:type="character" w:customStyle="1" w:styleId="33">
    <w:name w:val="font101"/>
    <w:basedOn w:val="17"/>
    <w:qFormat/>
    <w:uiPriority w:val="0"/>
    <w:rPr>
      <w:rFonts w:hint="eastAsia" w:ascii="宋体" w:hAnsi="宋体" w:eastAsia="宋体" w:cs="宋体"/>
      <w:b/>
      <w:color w:val="000000"/>
      <w:sz w:val="22"/>
      <w:szCs w:val="22"/>
      <w:u w:val="none"/>
    </w:rPr>
  </w:style>
  <w:style w:type="character" w:customStyle="1" w:styleId="34">
    <w:name w:val="font81"/>
    <w:basedOn w:val="17"/>
    <w:qFormat/>
    <w:uiPriority w:val="0"/>
    <w:rPr>
      <w:rFonts w:hint="default" w:ascii="Times New Roman" w:hAnsi="Times New Roman" w:cs="Times New Roman"/>
      <w:color w:val="000000"/>
      <w:sz w:val="16"/>
      <w:szCs w:val="16"/>
      <w:u w:val="none"/>
    </w:rPr>
  </w:style>
  <w:style w:type="character" w:customStyle="1" w:styleId="35">
    <w:name w:val="NormalCharacter"/>
    <w:link w:val="36"/>
    <w:qFormat/>
    <w:uiPriority w:val="0"/>
    <w:rPr>
      <w:rFonts w:eastAsia="仿宋_GB2312"/>
      <w:kern w:val="2"/>
      <w:sz w:val="32"/>
      <w:szCs w:val="24"/>
      <w:lang w:val="en-US" w:eastAsia="zh-CN" w:bidi="ar-SA"/>
    </w:rPr>
  </w:style>
  <w:style w:type="paragraph" w:customStyle="1" w:styleId="36">
    <w:name w:val="UserStyle_3"/>
    <w:basedOn w:val="37"/>
    <w:next w:val="38"/>
    <w:link w:val="35"/>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rFonts w:eastAsia="仿宋_GB2312"/>
      <w:kern w:val="2"/>
      <w:sz w:val="32"/>
      <w:szCs w:val="24"/>
      <w:lang w:val="en-US" w:eastAsia="zh-CN" w:bidi="ar-SA"/>
    </w:rPr>
  </w:style>
  <w:style w:type="paragraph" w:customStyle="1" w:styleId="37">
    <w:name w:val="Header"/>
    <w:basedOn w:val="1"/>
    <w:next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kern w:val="2"/>
      <w:sz w:val="18"/>
      <w:szCs w:val="24"/>
      <w:lang w:val="en-US" w:eastAsia="zh-CN" w:bidi="ar-SA"/>
    </w:rPr>
  </w:style>
  <w:style w:type="paragraph" w:customStyle="1" w:styleId="38">
    <w:name w:val="Index9"/>
    <w:basedOn w:val="1"/>
    <w:next w:val="1"/>
    <w:qFormat/>
    <w:uiPriority w:val="0"/>
    <w:pPr>
      <w:ind w:left="1600" w:leftChars="1600"/>
      <w:jc w:val="both"/>
    </w:p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_Style 2"/>
    <w:basedOn w:val="1"/>
    <w:qFormat/>
    <w:uiPriority w:val="99"/>
    <w:pPr>
      <w:spacing w:line="351" w:lineRule="atLeast"/>
      <w:ind w:firstLine="419"/>
      <w:textAlignment w:val="baseline"/>
    </w:pPr>
    <w:rPr>
      <w:outline/>
      <w:color w:val="000000"/>
    </w:rPr>
  </w:style>
  <w:style w:type="paragraph" w:styleId="41">
    <w:name w:val="List Paragraph"/>
    <w:qFormat/>
    <w:uiPriority w:val="34"/>
    <w:pPr>
      <w:widowControl w:val="0"/>
      <w:ind w:firstLine="420" w:firstLineChars="200"/>
      <w:jc w:val="both"/>
    </w:pPr>
    <w:rPr>
      <w:rFonts w:ascii="Calibri" w:hAnsi="Calibri" w:eastAsia="宋体" w:cs="Times New Roman"/>
      <w:kern w:val="2"/>
      <w:sz w:val="21"/>
      <w:szCs w:val="22"/>
      <w:lang w:val="en-US" w:eastAsia="zh-CN" w:bidi="ar-SA"/>
    </w:rPr>
  </w:style>
  <w:style w:type="paragraph" w:customStyle="1" w:styleId="42">
    <w:name w:val="Body text|4"/>
    <w:basedOn w:val="1"/>
    <w:qFormat/>
    <w:uiPriority w:val="0"/>
    <w:pPr>
      <w:widowControl w:val="0"/>
      <w:shd w:val="clear" w:color="auto" w:fill="auto"/>
      <w:spacing w:after="260" w:line="589" w:lineRule="exact"/>
      <w:ind w:firstLine="620"/>
    </w:pPr>
    <w:rPr>
      <w:rFonts w:ascii="宋体" w:hAnsi="宋体" w:eastAsia="宋体" w:cs="宋体"/>
      <w:sz w:val="32"/>
      <w:szCs w:val="32"/>
      <w:u w:val="none"/>
      <w:shd w:val="clear" w:color="auto" w:fill="auto"/>
      <w:lang w:val="zh-TW" w:eastAsia="zh-TW" w:bidi="zh-TW"/>
    </w:rPr>
  </w:style>
  <w:style w:type="paragraph" w:customStyle="1" w:styleId="43">
    <w:name w:val="Body text|1"/>
    <w:basedOn w:val="1"/>
    <w:qFormat/>
    <w:uiPriority w:val="0"/>
    <w:pPr>
      <w:widowControl w:val="0"/>
      <w:shd w:val="clear" w:color="auto" w:fill="auto"/>
      <w:spacing w:line="442" w:lineRule="auto"/>
      <w:ind w:firstLine="400"/>
    </w:pPr>
    <w:rPr>
      <w:rFonts w:ascii="宋体" w:hAnsi="宋体" w:eastAsia="宋体" w:cs="宋体"/>
      <w:sz w:val="28"/>
      <w:szCs w:val="28"/>
      <w:u w:val="none"/>
      <w:shd w:val="clear" w:color="auto" w:fill="auto"/>
      <w:lang w:val="zh-TW" w:eastAsia="zh-TW" w:bidi="zh-TW"/>
    </w:rPr>
  </w:style>
  <w:style w:type="paragraph" w:customStyle="1" w:styleId="44">
    <w:name w:val="正文-公1"/>
    <w:basedOn w:val="1"/>
    <w:qFormat/>
    <w:uiPriority w:val="0"/>
    <w:pPr>
      <w:ind w:firstLine="200" w:firstLineChars="200"/>
    </w:pPr>
    <w:rPr>
      <w:color w:val="000000"/>
    </w:rPr>
  </w:style>
  <w:style w:type="paragraph" w:customStyle="1" w:styleId="45">
    <w:name w:val="NormalIndent"/>
    <w:basedOn w:val="1"/>
    <w:next w:val="1"/>
    <w:qFormat/>
    <w:uiPriority w:val="99"/>
    <w:pPr>
      <w:ind w:firstLine="420" w:firstLineChars="200"/>
    </w:pPr>
  </w:style>
  <w:style w:type="paragraph" w:customStyle="1" w:styleId="46">
    <w:name w:val="正文四号"/>
    <w:basedOn w:val="1"/>
    <w:qFormat/>
    <w:uiPriority w:val="0"/>
    <w:pPr>
      <w:ind w:firstLine="560" w:firstLineChars="200"/>
    </w:pPr>
    <w:rPr>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UserHome</Company>
  <Pages>221</Pages>
  <Words>110923</Words>
  <Characters>117911</Characters>
  <Lines>394</Lines>
  <Paragraphs>111</Paragraphs>
  <TotalTime>3</TotalTime>
  <ScaleCrop>false</ScaleCrop>
  <LinksUpToDate>false</LinksUpToDate>
  <CharactersWithSpaces>118331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2021-03-23T09:53:00Z</dcterms:created>
  <dc:creator>Administrator</dc:creator>
  <cp:lastModifiedBy>李芳</cp:lastModifiedBy>
  <dcterms:modified xsi:type="dcterms:W3CDTF">2024-09-19T08:29:09Z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2D159493BE35489AAA2FCBF62CCEED76</vt:lpwstr>
  </property>
</Properties>
</file>