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B8F9AB">
      <w:pPr>
        <w:ind w:left="0" w:leftChars="0" w:firstLine="0" w:firstLineChars="0"/>
        <w:jc w:val="center"/>
        <w:rPr>
          <w:rFonts w:hint="eastAsia" w:ascii="方正小标宋简体" w:hAnsi="华文中宋" w:eastAsia="方正小标宋简体" w:cs="华文中宋"/>
          <w:b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华文中宋" w:eastAsia="方正小标宋简体" w:cs="华文中宋"/>
          <w:b/>
          <w:color w:val="auto"/>
          <w:sz w:val="36"/>
          <w:szCs w:val="36"/>
          <w:lang w:val="en-US" w:eastAsia="zh-CN"/>
        </w:rPr>
        <w:t>兰州新区教育体育局（教育考试院）2023年度部门</w:t>
      </w:r>
    </w:p>
    <w:p w14:paraId="5F47D137">
      <w:pPr>
        <w:ind w:left="0" w:leftChars="0" w:firstLine="0" w:firstLineChars="0"/>
        <w:jc w:val="center"/>
        <w:rPr>
          <w:rFonts w:hint="eastAsia" w:ascii="方正小标宋简体" w:hAnsi="华文中宋" w:eastAsia="方正小标宋简体" w:cs="华文中宋"/>
          <w:b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华文中宋" w:eastAsia="方正小标宋简体" w:cs="华文中宋"/>
          <w:b/>
          <w:color w:val="auto"/>
          <w:sz w:val="36"/>
          <w:szCs w:val="36"/>
          <w:lang w:val="en-US" w:eastAsia="zh-CN"/>
        </w:rPr>
        <w:t>整体支出绩效评价报告</w:t>
      </w:r>
    </w:p>
    <w:p w14:paraId="5FBC11C9">
      <w:pPr>
        <w:bidi w:val="0"/>
        <w:rPr>
          <w:rFonts w:hint="eastAsia"/>
          <w:lang w:val="en-US" w:eastAsia="zh-CN"/>
        </w:rPr>
      </w:pPr>
    </w:p>
    <w:tbl>
      <w:tblPr>
        <w:tblStyle w:val="12"/>
        <w:tblW w:w="8814" w:type="dxa"/>
        <w:jc w:val="center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319"/>
        <w:gridCol w:w="675"/>
        <w:gridCol w:w="270"/>
        <w:gridCol w:w="633"/>
        <w:gridCol w:w="232"/>
        <w:gridCol w:w="1610"/>
        <w:gridCol w:w="885"/>
        <w:gridCol w:w="975"/>
        <w:gridCol w:w="645"/>
        <w:gridCol w:w="735"/>
        <w:gridCol w:w="1137"/>
      </w:tblGrid>
      <w:tr w14:paraId="4735680B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8814" w:type="dxa"/>
            <w:gridSpan w:val="1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517145F">
            <w:pPr>
              <w:bidi w:val="0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一、部门整体基本情况</w:t>
            </w:r>
          </w:p>
        </w:tc>
      </w:tr>
      <w:tr w14:paraId="1E3457EE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8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CA672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基本情况</w:t>
            </w:r>
          </w:p>
        </w:tc>
        <w:tc>
          <w:tcPr>
            <w:tcW w:w="18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F5EE2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219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8028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兰州教育体育局2023年度部门整体支出绩效评价</w:t>
            </w:r>
          </w:p>
        </w:tc>
      </w:tr>
      <w:tr w14:paraId="666A00D3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E4C79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C535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评价年度</w:t>
            </w:r>
          </w:p>
        </w:tc>
        <w:tc>
          <w:tcPr>
            <w:tcW w:w="1842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B2AE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2023年度</w:t>
            </w:r>
          </w:p>
        </w:tc>
        <w:tc>
          <w:tcPr>
            <w:tcW w:w="186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EDBAC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评价类型</w:t>
            </w:r>
          </w:p>
        </w:tc>
        <w:tc>
          <w:tcPr>
            <w:tcW w:w="2517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24A20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财政评价</w:t>
            </w:r>
          </w:p>
        </w:tc>
      </w:tr>
      <w:tr w14:paraId="514B0E91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96944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FC1FA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委托评价单位</w:t>
            </w:r>
          </w:p>
        </w:tc>
        <w:tc>
          <w:tcPr>
            <w:tcW w:w="1842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8D7DD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兰州新区财政局（国有资产监督管理局）</w:t>
            </w:r>
          </w:p>
        </w:tc>
        <w:tc>
          <w:tcPr>
            <w:tcW w:w="186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26E22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评价机构名称</w:t>
            </w:r>
          </w:p>
        </w:tc>
        <w:tc>
          <w:tcPr>
            <w:tcW w:w="2517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F42A7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9796C8D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BC6C9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0AFF1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评价对象名称</w:t>
            </w:r>
          </w:p>
        </w:tc>
        <w:tc>
          <w:tcPr>
            <w:tcW w:w="6219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6072F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兰州新区教育体育局（教育考试院）</w:t>
            </w:r>
          </w:p>
        </w:tc>
      </w:tr>
      <w:tr w14:paraId="425E2CFE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19CC7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实施目的</w:t>
            </w:r>
          </w:p>
        </w:tc>
        <w:tc>
          <w:tcPr>
            <w:tcW w:w="8116" w:type="dxa"/>
            <w:gridSpan w:val="11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2743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通过综合分析兰州新区教育体育局（教育考试院）部门整体支出预算编制的合理性和科学性、预算执行的时效性、预算控制和监督的有效性，以及部门基本运转、履职尽责和履职效能等情况；对2023年部门整体支出和项目支出开展绩效评价，主要包括对部门整体预算执行、部门管理、履职效果、能力建设、服务对象满意度等方面进行科学、客观地评价。</w:t>
            </w:r>
          </w:p>
        </w:tc>
      </w:tr>
      <w:tr w14:paraId="23CC750B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8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DB0A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资金情况（万元）</w:t>
            </w:r>
          </w:p>
        </w:tc>
        <w:tc>
          <w:tcPr>
            <w:tcW w:w="18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5BBF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预算安排资金</w:t>
            </w:r>
          </w:p>
        </w:tc>
        <w:tc>
          <w:tcPr>
            <w:tcW w:w="1842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DD81F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30516.54</w:t>
            </w:r>
          </w:p>
        </w:tc>
        <w:tc>
          <w:tcPr>
            <w:tcW w:w="186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CB19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实际到位资金</w:t>
            </w:r>
          </w:p>
        </w:tc>
        <w:tc>
          <w:tcPr>
            <w:tcW w:w="2517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D4F38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33000.37</w:t>
            </w:r>
          </w:p>
        </w:tc>
      </w:tr>
      <w:tr w14:paraId="47C12C1A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D4A02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66A3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其中：市级资金</w:t>
            </w:r>
          </w:p>
        </w:tc>
        <w:tc>
          <w:tcPr>
            <w:tcW w:w="1842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28ED7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86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B6A38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其中：市级资金</w:t>
            </w:r>
          </w:p>
        </w:tc>
        <w:tc>
          <w:tcPr>
            <w:tcW w:w="2517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3E8C3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</w:tr>
      <w:tr w14:paraId="50C1CE3F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A0E3A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5AA5D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县级资金</w:t>
            </w:r>
          </w:p>
        </w:tc>
        <w:tc>
          <w:tcPr>
            <w:tcW w:w="1842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13D7F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30516.54</w:t>
            </w:r>
          </w:p>
        </w:tc>
        <w:tc>
          <w:tcPr>
            <w:tcW w:w="186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B118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县级资金</w:t>
            </w:r>
          </w:p>
        </w:tc>
        <w:tc>
          <w:tcPr>
            <w:tcW w:w="2517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92961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33000.37</w:t>
            </w:r>
          </w:p>
        </w:tc>
      </w:tr>
      <w:tr w14:paraId="10872B6C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A632D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D274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实际支出资金</w:t>
            </w:r>
          </w:p>
        </w:tc>
        <w:tc>
          <w:tcPr>
            <w:tcW w:w="1842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3F8EB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27057.49</w:t>
            </w:r>
          </w:p>
        </w:tc>
        <w:tc>
          <w:tcPr>
            <w:tcW w:w="186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FCD8F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结余资金</w:t>
            </w:r>
          </w:p>
        </w:tc>
        <w:tc>
          <w:tcPr>
            <w:tcW w:w="2517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4FCC0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5942.88</w:t>
            </w:r>
          </w:p>
        </w:tc>
      </w:tr>
      <w:tr w14:paraId="610BAB8F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EB059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F476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预算执行率</w:t>
            </w:r>
          </w:p>
        </w:tc>
        <w:tc>
          <w:tcPr>
            <w:tcW w:w="6219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7F70D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81.99%</w:t>
            </w:r>
          </w:p>
        </w:tc>
      </w:tr>
      <w:tr w14:paraId="379BB5D5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814" w:type="dxa"/>
            <w:gridSpan w:val="1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F316F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二、部门整体绩效目标</w:t>
            </w:r>
          </w:p>
        </w:tc>
      </w:tr>
      <w:tr w14:paraId="46180491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89A6C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年度绩效目标</w:t>
            </w:r>
          </w:p>
        </w:tc>
        <w:tc>
          <w:tcPr>
            <w:tcW w:w="7122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B83D4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目标1：常态化开展“互联网+教育”，三个课堂全面有效应用。             </w:t>
            </w:r>
            <w:r>
              <w:rPr>
                <w:rFonts w:hint="eastAsia" w:ascii="宋体" w:hAnsi="宋体" w:eastAsia="宋体" w:cs="宋体"/>
                <w:b w:val="0"/>
                <w:sz w:val="21"/>
                <w:szCs w:val="21"/>
                <w:lang w:val="en-US" w:eastAsia="zh-CN" w:bidi="ar"/>
              </w:rPr>
              <w:t xml:space="preserve">目标2：实行师德师风承诺制，开展全员师德师风培训。深化“县管校聘”和校长职级制改革，修订完善教育系统绩效考核机制，加大教育人才引进力度，引进高层次人才、急需紧缺人才。    </w:t>
            </w:r>
          </w:p>
          <w:p w14:paraId="7BA824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目标3：巩固“双减”成果，加强课堂教学督查，加大对学校的督导和视导，优化作业设计，高质量实施“菜单式”课后服务。</w:t>
            </w:r>
          </w:p>
          <w:p w14:paraId="5AB0F0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目标4：推进高考综合改革，完成2023年高考(含英语听力)、中考(含人机对话考试)、中职生对口招生考试、自学考试、高中学业水平考试等组考工作。</w:t>
            </w:r>
          </w:p>
          <w:p w14:paraId="2069FF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目标5：以全国体育特色学校为牵引，全面深化体教融合，推动后备人才培养，打造校内竞赛一校际联赛一选拔性竞赛为一体的竞赛体系。</w:t>
            </w:r>
          </w:p>
          <w:p w14:paraId="3BF8D2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目标6：落实普惠性幼儿园免除(补助)保教费。按要求发放义务教有阶段家庭经济困难学生生活补助。审核发放普通高中国家助学金。发放普通高中家庭经济困难学生免学杂费。开展困难大学生生源地贷款宜传等工作。</w:t>
            </w:r>
          </w:p>
          <w:p w14:paraId="5ACFF9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目标7：扩大优质教育资源，推进兰州新区第九小学、第十小学和第十一小学项目建设，确保兰州新区第九小学、第十小学在2023年秋季建成投入使用并开始招生。推进小区配套幼儿园建设，新建金兰府等8所幼儿园。</w:t>
            </w:r>
          </w:p>
        </w:tc>
      </w:tr>
      <w:tr w14:paraId="633AC0DA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14" w:type="dxa"/>
            <w:gridSpan w:val="1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CBB09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三、评价基本情况</w:t>
            </w:r>
          </w:p>
        </w:tc>
      </w:tr>
      <w:tr w14:paraId="7E29CBC3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69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8C44D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评价范围</w:t>
            </w:r>
          </w:p>
        </w:tc>
        <w:tc>
          <w:tcPr>
            <w:tcW w:w="7122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D6898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兰州新区教育体育局（教育考试院）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2023年度部门全年预算资金33000.37万元。</w:t>
            </w:r>
          </w:p>
        </w:tc>
      </w:tr>
      <w:tr w14:paraId="602CAE16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69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A9BA4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评价依据</w:t>
            </w:r>
          </w:p>
        </w:tc>
        <w:tc>
          <w:tcPr>
            <w:tcW w:w="7122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4251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（1）《中华人民共和国预算法》；</w:t>
            </w:r>
          </w:p>
          <w:p w14:paraId="135EB9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（2）《中共中央 国务院关于全面实施预算绩效管理的意见》；</w:t>
            </w:r>
          </w:p>
          <w:p w14:paraId="50078C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（3）《财政部关于印发项目支出绩效评价管理办法的通知》（财预〔2020〕10号）；</w:t>
            </w:r>
          </w:p>
          <w:p w14:paraId="6E0CC2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（4）《关于规范绩效评价结果等级划分标准的通知》（财预便〔2017〕44号）；</w:t>
            </w:r>
          </w:p>
          <w:p w14:paraId="73193E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（5）《预算绩效评价共性指标体系框架》（财预〔2013〕53号）；</w:t>
            </w:r>
          </w:p>
          <w:p w14:paraId="54E1FC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（6）《甘肃省财政厅关于印发〈甘肃省省级预算绩效目标管理办法〉的通知》（甘财预〔2014〕26号）； </w:t>
            </w:r>
          </w:p>
          <w:p w14:paraId="5514E9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（7）部门职责、兰州新区教育体育“十四五”规划、2023年度部门重点工作计划及年终总结报告、部门单位在职人员及编制数、2023年度预算公开情况、部门管理制度、财务管理办法与预算管理制度等资金管理制度、资产管理办法、2023年度部门和部门所实施的所有项目的政府采购过程资料（政采公告、中标通知书、合同、付款凭证等）等。</w:t>
            </w:r>
          </w:p>
          <w:p w14:paraId="45B136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15E43365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69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97DFE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绩效评价</w:t>
            </w:r>
          </w:p>
          <w:p w14:paraId="46EEA0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指标体系</w:t>
            </w:r>
          </w:p>
        </w:tc>
        <w:tc>
          <w:tcPr>
            <w:tcW w:w="7122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13DD8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本次绩效评价指标体系设计思路主要是根据兰州新区教育体育局（教育考试院）的基本职能，围绕部门年度工作计划、绩效目标设定、预算编制、预算执行、履职完成情况及履职效益发挥情况等重要内容，结合绩效评价指标体系的设计原则及设计方法，具体评价指标包括4项一级指标，并在一级指标基础上细化延伸14项二级指标及52项三级指标。指标体系的数据源于部门履职各项资料、基础数据表及调查问卷分析情况等资料。</w:t>
            </w:r>
          </w:p>
        </w:tc>
      </w:tr>
      <w:tr w14:paraId="2CBE8E43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69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6BB1C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评价方法</w:t>
            </w:r>
          </w:p>
        </w:tc>
        <w:tc>
          <w:tcPr>
            <w:tcW w:w="7122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08870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比较法、因素分析法、公众评判法。</w:t>
            </w:r>
          </w:p>
        </w:tc>
      </w:tr>
      <w:tr w14:paraId="6CFA9DE1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6" w:hRule="atLeast"/>
          <w:jc w:val="center"/>
        </w:trPr>
        <w:tc>
          <w:tcPr>
            <w:tcW w:w="169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D5929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数据采集及</w:t>
            </w:r>
          </w:p>
          <w:p w14:paraId="3F420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处理方法</w:t>
            </w:r>
          </w:p>
        </w:tc>
        <w:tc>
          <w:tcPr>
            <w:tcW w:w="7122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7ECC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按照绩效评价指标体系对部门整体绩效评价资料进行逐一整理，便于后期从评价资料中快速检索所需数据信息；对照评分标准，从已整理资料中提取与对应指标有关的数据信息，统计分析该指标的得分情况和扣分原因。</w:t>
            </w:r>
          </w:p>
        </w:tc>
      </w:tr>
      <w:tr w14:paraId="22F1BB0B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69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1AF3C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绩效评价</w:t>
            </w:r>
          </w:p>
          <w:p w14:paraId="1B689C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工作过程</w:t>
            </w:r>
          </w:p>
        </w:tc>
        <w:tc>
          <w:tcPr>
            <w:tcW w:w="7122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441AD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1.前期准备阶段。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根据兰州新区教育体育局（教育考试院）实际情况和特点，针对性地设计评价指标体系和资料收集清单；同时通过查阅相关政策制度，了解部门基本情况，分析部门职责和人员规划，确定评价要点。</w:t>
            </w:r>
          </w:p>
          <w:p w14:paraId="3B6A25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组织实施阶段。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根据自评工作安排，组织人员开展绩效自评，整对每一项指标组织各科室配合填报。同时对教体局工作人员进行问卷调查。</w:t>
            </w:r>
          </w:p>
          <w:p w14:paraId="634DBA5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  <w:t>3.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数据分析阶段。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通过前期从线上收集的资料，结合实地调研掌握的情况以及问卷调查结果，评价组根据指标体系的对应指标对资料进行分类梳理，利用统计分析的方法，对提供的数据资料进行分析，提取有用的信息，形成分析结论。</w:t>
            </w:r>
          </w:p>
          <w:p w14:paraId="0C2D77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  <w:t>4.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撰写报告阶段。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根据收集的各项资料和了解的相关情况，及时报送2023年度部门整体支出绩效评价报告。</w:t>
            </w:r>
          </w:p>
        </w:tc>
      </w:tr>
      <w:tr w14:paraId="5F3E7A13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14" w:type="dxa"/>
            <w:gridSpan w:val="1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8073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四、评价结论和绩效分析</w:t>
            </w:r>
          </w:p>
        </w:tc>
      </w:tr>
      <w:tr w14:paraId="27472C32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17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F63BC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综合评价结论</w:t>
            </w:r>
          </w:p>
        </w:tc>
        <w:tc>
          <w:tcPr>
            <w:tcW w:w="1810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4D4D7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评价得分</w:t>
            </w:r>
          </w:p>
        </w:tc>
        <w:tc>
          <w:tcPr>
            <w:tcW w:w="249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A9CE1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89分</w:t>
            </w:r>
          </w:p>
        </w:tc>
        <w:tc>
          <w:tcPr>
            <w:tcW w:w="2355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C0156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评价等级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7668C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良</w:t>
            </w:r>
          </w:p>
        </w:tc>
      </w:tr>
      <w:tr w14:paraId="661C3E06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7" w:type="dxa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05E19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绩效</w:t>
            </w:r>
          </w:p>
          <w:p w14:paraId="466EDC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分析</w:t>
            </w:r>
          </w:p>
        </w:tc>
        <w:tc>
          <w:tcPr>
            <w:tcW w:w="94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04F14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指标</w:t>
            </w:r>
          </w:p>
        </w:tc>
        <w:tc>
          <w:tcPr>
            <w:tcW w:w="86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85A91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部门管理</w:t>
            </w:r>
          </w:p>
        </w:tc>
        <w:tc>
          <w:tcPr>
            <w:tcW w:w="249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9AA50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履职效果</w:t>
            </w: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70930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能力建设</w:t>
            </w:r>
          </w:p>
        </w:tc>
        <w:tc>
          <w:tcPr>
            <w:tcW w:w="7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7049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满意度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7D7DF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合计</w:t>
            </w:r>
          </w:p>
        </w:tc>
      </w:tr>
      <w:tr w14:paraId="6B0F418F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7" w:type="dxa"/>
            <w:gridSpan w:val="2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A24F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4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94DF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得分</w:t>
            </w:r>
          </w:p>
        </w:tc>
        <w:tc>
          <w:tcPr>
            <w:tcW w:w="86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16E20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49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26E29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DE7BE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6484D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12A62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89分</w:t>
            </w:r>
          </w:p>
        </w:tc>
      </w:tr>
      <w:tr w14:paraId="410417DC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7" w:type="dxa"/>
            <w:gridSpan w:val="2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D149C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4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46575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得分率</w:t>
            </w:r>
          </w:p>
        </w:tc>
        <w:tc>
          <w:tcPr>
            <w:tcW w:w="86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2A449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55%</w:t>
            </w:r>
          </w:p>
        </w:tc>
        <w:tc>
          <w:tcPr>
            <w:tcW w:w="249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40291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90DE9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73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2AB88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BF66D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89%</w:t>
            </w:r>
            <w:bookmarkStart w:id="0" w:name="_GoBack"/>
            <w:bookmarkEnd w:id="0"/>
          </w:p>
        </w:tc>
      </w:tr>
      <w:tr w14:paraId="5FBEE1BE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14" w:type="dxa"/>
            <w:gridSpan w:val="1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3DE71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五、存在问题</w:t>
            </w:r>
          </w:p>
        </w:tc>
      </w:tr>
      <w:tr w14:paraId="56922BD4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4" w:hRule="atLeast"/>
          <w:jc w:val="center"/>
        </w:trPr>
        <w:tc>
          <w:tcPr>
            <w:tcW w:w="8814" w:type="dxa"/>
            <w:gridSpan w:val="1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BC3CD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存在问题及原因。一年来，新区教体局虽然做了大量工作，取得了较好成效，但对照新区高质量发展的新形势、新任务、新要求还存在着一些差距和不足：一是教育资源供给还不能满足人口增长的需要，基础教育学位供需矛盾依然存在，优质教育资源在城乡间、区域间、校际间的分布不够均衡，城市挤、农村空的问题较为突出。二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是教学质量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还需持续下功夫提升，教育领域综合改革还需推进，教育理念和育人模式仍需进一步转变。三是年轻教师教育教学经验相对缺乏，优质师资力量仍需培养，教师综合素质还需进一步提升。四是职业教育的结构、规模、质量与新区产业发展需要还不够匹配，人才服务还不够精准，职业教育支撑新区高质量发展的作用发挥还不够充分。五是新区教体局相关科室职能还需进一步调整优化，教体系统管理体制机制有待进一步理顺。</w:t>
            </w:r>
          </w:p>
          <w:p w14:paraId="2239F7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2E0F7D8F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14" w:type="dxa"/>
            <w:gridSpan w:val="1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CD320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六、相关建议</w:t>
            </w:r>
          </w:p>
        </w:tc>
      </w:tr>
      <w:tr w14:paraId="0B7BC22D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5" w:hRule="atLeast"/>
          <w:jc w:val="center"/>
        </w:trPr>
        <w:tc>
          <w:tcPr>
            <w:tcW w:w="8814" w:type="dxa"/>
            <w:gridSpan w:val="1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FE330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按照绩效自评完成情况，我局将进一步靠紧靠实各级责任，加强统筹协调调度，采取项目跟踪、数据核查和汇总分析等方式，更加科学准确编制预算，动态地了解和掌握预算执行、资金管理、绩效目标实现程度、项目实施进程等，并对每一个评价项目进行跟踪管理和督促检查，及时发现问题并采取有效措施予以纠正，确保资金使用、项目管理效率提高，完成年度绩效管理工作，办好人民满意的教育。</w:t>
            </w:r>
          </w:p>
          <w:p w14:paraId="0812B4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31AAF034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814" w:type="dxa"/>
            <w:gridSpan w:val="1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B5E4F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七、其他需要说明的事项</w:t>
            </w:r>
          </w:p>
        </w:tc>
      </w:tr>
      <w:tr w14:paraId="27281DD1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814" w:type="dxa"/>
            <w:gridSpan w:val="1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4EC68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无</w:t>
            </w:r>
          </w:p>
        </w:tc>
      </w:tr>
    </w:tbl>
    <w:p w14:paraId="6C3CFC5E">
      <w:pPr>
        <w:bidi w:val="0"/>
      </w:pPr>
    </w:p>
    <w:sectPr>
      <w:footerReference r:id="rId5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2635801D-2483-46C5-B2B4-79D7F3D7F3A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0FB3831-E7B1-421A-B0BC-0147FE721192}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3" w:fontKey="{5877E2E9-9CA8-4F5B-8E1D-FE15211F783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B163C5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718376">
                          <w:pPr>
                            <w:pStyle w:val="8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F718376">
                    <w:pPr>
                      <w:pStyle w:val="8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zOGJhNmUyNjA4Y2UwYzNiY2UwZGY2MWIzOThmY2EifQ=="/>
  </w:docVars>
  <w:rsids>
    <w:rsidRoot w:val="50362AE6"/>
    <w:rsid w:val="00D76A86"/>
    <w:rsid w:val="01D874CD"/>
    <w:rsid w:val="036E0F6F"/>
    <w:rsid w:val="03973FA9"/>
    <w:rsid w:val="06EB3426"/>
    <w:rsid w:val="07C81D7B"/>
    <w:rsid w:val="0A2A723E"/>
    <w:rsid w:val="0A3F5E74"/>
    <w:rsid w:val="112F6356"/>
    <w:rsid w:val="13750B42"/>
    <w:rsid w:val="1BC01759"/>
    <w:rsid w:val="1BD82927"/>
    <w:rsid w:val="1C7D48CD"/>
    <w:rsid w:val="1D01233B"/>
    <w:rsid w:val="1E4A5D6E"/>
    <w:rsid w:val="20176124"/>
    <w:rsid w:val="24D55C78"/>
    <w:rsid w:val="266B6E4E"/>
    <w:rsid w:val="26BE4453"/>
    <w:rsid w:val="272D2898"/>
    <w:rsid w:val="27F03E2A"/>
    <w:rsid w:val="28EA6A6E"/>
    <w:rsid w:val="28EF2E48"/>
    <w:rsid w:val="2A805ED8"/>
    <w:rsid w:val="2CB76567"/>
    <w:rsid w:val="3246394F"/>
    <w:rsid w:val="32A76310"/>
    <w:rsid w:val="332736B7"/>
    <w:rsid w:val="399649CA"/>
    <w:rsid w:val="39D03040"/>
    <w:rsid w:val="41055F0D"/>
    <w:rsid w:val="417C1E8F"/>
    <w:rsid w:val="48054931"/>
    <w:rsid w:val="485D55BF"/>
    <w:rsid w:val="4B873A9D"/>
    <w:rsid w:val="4BA61945"/>
    <w:rsid w:val="50362AE6"/>
    <w:rsid w:val="50447C2B"/>
    <w:rsid w:val="52555572"/>
    <w:rsid w:val="533D715B"/>
    <w:rsid w:val="54C310C9"/>
    <w:rsid w:val="54E92EBD"/>
    <w:rsid w:val="55F56D34"/>
    <w:rsid w:val="573F7050"/>
    <w:rsid w:val="5915699E"/>
    <w:rsid w:val="5C641B24"/>
    <w:rsid w:val="5F851FA3"/>
    <w:rsid w:val="5FEE39B7"/>
    <w:rsid w:val="619736C1"/>
    <w:rsid w:val="62564F40"/>
    <w:rsid w:val="65CD64C7"/>
    <w:rsid w:val="680C3C00"/>
    <w:rsid w:val="6FF269CE"/>
    <w:rsid w:val="70721B59"/>
    <w:rsid w:val="726448F9"/>
    <w:rsid w:val="74030452"/>
    <w:rsid w:val="76EF360E"/>
    <w:rsid w:val="775D21EC"/>
    <w:rsid w:val="77B04009"/>
    <w:rsid w:val="77B82F42"/>
    <w:rsid w:val="781E54A5"/>
    <w:rsid w:val="7AE07C8F"/>
    <w:rsid w:val="7D182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640" w:firstLineChars="20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paragraph" w:styleId="4">
    <w:name w:val="heading 1"/>
    <w:basedOn w:val="1"/>
    <w:next w:val="1"/>
    <w:link w:val="14"/>
    <w:qFormat/>
    <w:uiPriority w:val="0"/>
    <w:pPr>
      <w:keepNext/>
      <w:keepLines/>
      <w:spacing w:line="360" w:lineRule="auto"/>
      <w:ind w:firstLine="480" w:firstLineChars="200"/>
      <w:jc w:val="both"/>
      <w:outlineLvl w:val="0"/>
    </w:pPr>
    <w:rPr>
      <w:rFonts w:ascii="黑体" w:hAnsi="黑体" w:eastAsia="黑体" w:cs="黑体"/>
      <w:kern w:val="44"/>
      <w:szCs w:val="32"/>
    </w:rPr>
  </w:style>
  <w:style w:type="paragraph" w:styleId="5">
    <w:name w:val="heading 2"/>
    <w:basedOn w:val="1"/>
    <w:next w:val="1"/>
    <w:semiHidden/>
    <w:unhideWhenUsed/>
    <w:qFormat/>
    <w:uiPriority w:val="0"/>
    <w:pPr>
      <w:topLinePunct/>
      <w:spacing w:before="0" w:beforeAutospacing="0" w:after="0" w:afterAutospacing="0"/>
      <w:jc w:val="left"/>
      <w:outlineLvl w:val="1"/>
    </w:pPr>
    <w:rPr>
      <w:rFonts w:hint="eastAsia" w:ascii="楷体" w:hAnsi="楷体" w:eastAsia="楷体" w:cs="楷体"/>
      <w:b/>
      <w:bCs/>
      <w:kern w:val="0"/>
      <w:lang w:bidi="ar"/>
    </w:rPr>
  </w:style>
  <w:style w:type="paragraph" w:styleId="6">
    <w:name w:val="heading 3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2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3"/>
    <w:next w:val="1"/>
    <w:qFormat/>
    <w:uiPriority w:val="0"/>
    <w:pPr>
      <w:tabs>
        <w:tab w:val="center" w:pos="4153"/>
        <w:tab w:val="right" w:pos="8306"/>
      </w:tabs>
    </w:pPr>
    <w:rPr>
      <w:rFonts w:ascii="Calibri" w:hAnsi="Calibri" w:eastAsia="仿宋_GB2312"/>
      <w:sz w:val="32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index 1"/>
    <w:basedOn w:val="1"/>
    <w:next w:val="1"/>
    <w:qFormat/>
    <w:uiPriority w:val="0"/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4">
    <w:name w:val="标题 1 Char"/>
    <w:link w:val="4"/>
    <w:qFormat/>
    <w:uiPriority w:val="0"/>
    <w:rPr>
      <w:rFonts w:ascii="黑体" w:hAnsi="黑体" w:eastAsia="黑体" w:cs="黑体"/>
      <w:kern w:val="44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4043</Words>
  <Characters>4241</Characters>
  <Lines>0</Lines>
  <Paragraphs>0</Paragraphs>
  <TotalTime>1</TotalTime>
  <ScaleCrop>false</ScaleCrop>
  <LinksUpToDate>false</LinksUpToDate>
  <CharactersWithSpaces>4243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2023-10-27T06:19:00Z</dcterms:created>
  <dc:creator>阁下。</dc:creator>
  <cp:lastModifiedBy>天空之城</cp:lastModifiedBy>
  <dcterms:modified xsi:type="dcterms:W3CDTF">2024-09-23T03:16:28Z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957531D816D84DE98858295C50E97B6C_11</vt:lpwstr>
  </property>
</Properties>
</file>