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cs="宋体"/>
          <w:b/>
          <w:bCs/>
          <w:sz w:val="44"/>
          <w:szCs w:val="44"/>
        </w:rPr>
      </w:pPr>
      <w:r>
        <w:rPr>
          <w:rFonts w:hint="eastAsia" w:ascii="宋体" w:hAnsi="宋体" w:cs="宋体"/>
          <w:b/>
          <w:bCs/>
          <w:sz w:val="44"/>
          <w:szCs w:val="44"/>
        </w:rPr>
        <w:t>202</w:t>
      </w:r>
      <w:r>
        <w:rPr>
          <w:rFonts w:hint="eastAsia" w:ascii="宋体" w:hAnsi="宋体" w:cs="宋体"/>
          <w:b/>
          <w:bCs/>
          <w:sz w:val="44"/>
          <w:szCs w:val="44"/>
          <w:lang w:val="en-US" w:eastAsia="zh-CN"/>
        </w:rPr>
        <w:t>3</w:t>
      </w:r>
      <w:r>
        <w:rPr>
          <w:rFonts w:hint="eastAsia" w:ascii="宋体" w:hAnsi="宋体" w:cs="宋体"/>
          <w:b/>
          <w:bCs/>
          <w:sz w:val="44"/>
          <w:szCs w:val="44"/>
        </w:rPr>
        <w:t>年度部门预算整体绩效评价自评报告</w:t>
      </w:r>
    </w:p>
    <w:p>
      <w:pPr>
        <w:spacing w:before="100" w:beforeAutospacing="1" w:after="100" w:afterAutospacing="1" w:line="560" w:lineRule="exact"/>
        <w:ind w:right="-105" w:rightChars="-50" w:firstLine="640" w:firstLineChars="200"/>
        <w:rPr>
          <w:rFonts w:ascii="黑体" w:hAnsi="宋体" w:eastAsia="黑体"/>
          <w:sz w:val="32"/>
          <w:szCs w:val="32"/>
        </w:rPr>
      </w:pPr>
      <w:r>
        <w:rPr>
          <w:rFonts w:hint="eastAsia" w:ascii="黑体" w:hAnsi="宋体" w:eastAsia="黑体"/>
          <w:sz w:val="32"/>
          <w:szCs w:val="32"/>
        </w:rPr>
        <w:t>一、部门基本情况</w:t>
      </w:r>
    </w:p>
    <w:p>
      <w:pPr>
        <w:spacing w:before="100" w:beforeAutospacing="1" w:after="100" w:afterAutospacing="1" w:line="560" w:lineRule="exact"/>
        <w:ind w:left="-105" w:leftChars="-50" w:right="-105" w:rightChars="-50" w:firstLine="639" w:firstLineChars="199"/>
        <w:rPr>
          <w:rFonts w:ascii="仿宋_GB2312" w:hAnsi="宋体" w:eastAsia="仿宋_GB2312"/>
          <w:b/>
          <w:sz w:val="32"/>
          <w:szCs w:val="32"/>
        </w:rPr>
      </w:pPr>
      <w:r>
        <w:rPr>
          <w:rFonts w:hint="eastAsia" w:ascii="仿宋_GB2312" w:hAnsi="宋体" w:eastAsia="仿宋_GB2312"/>
          <w:b/>
          <w:sz w:val="32"/>
          <w:szCs w:val="32"/>
        </w:rPr>
        <w:t>（一）预算单位主要职能</w:t>
      </w:r>
    </w:p>
    <w:p>
      <w:pPr>
        <w:spacing w:before="100" w:beforeLines="0" w:after="100" w:afterLines="0"/>
        <w:ind w:firstLine="640" w:firstLineChars="200"/>
        <w:jc w:val="left"/>
        <w:rPr>
          <w:rFonts w:hint="eastAsia" w:ascii="仿宋" w:hAnsi="仿宋" w:eastAsia="仿宋" w:cs="仿宋"/>
          <w:kern w:val="0"/>
          <w:sz w:val="32"/>
          <w:szCs w:val="32"/>
          <w:shd w:val="clear" w:color="auto" w:fill="FFFFFF"/>
          <w:lang w:eastAsia="zh-CN"/>
        </w:rPr>
      </w:pPr>
      <w:r>
        <w:rPr>
          <w:rFonts w:hint="eastAsia" w:ascii="仿宋" w:hAnsi="仿宋" w:eastAsia="仿宋" w:cs="仿宋"/>
          <w:kern w:val="0"/>
          <w:sz w:val="32"/>
          <w:szCs w:val="32"/>
          <w:shd w:val="clear" w:color="auto" w:fill="FFFFFF"/>
        </w:rPr>
        <w:t>依据国家教育法律法规管理全镇教育工作，加强对全镇各学校工作的监督、指导和服务。抓好九年义务教育；遵循教育规律，坚持依法治教，坚定不移地推进素质教育，认真开展好"质量兴校"活动，努力提高全镇中小学教育教学质量</w:t>
      </w:r>
      <w:r>
        <w:rPr>
          <w:rFonts w:hint="eastAsia" w:ascii="仿宋" w:hAnsi="仿宋" w:eastAsia="仿宋" w:cs="仿宋"/>
          <w:kern w:val="0"/>
          <w:sz w:val="32"/>
          <w:szCs w:val="32"/>
          <w:shd w:val="clear" w:color="auto" w:fill="FFFFFF"/>
          <w:lang w:eastAsia="zh-CN"/>
        </w:rPr>
        <w:t>。</w:t>
      </w:r>
    </w:p>
    <w:p>
      <w:pPr>
        <w:spacing w:before="100" w:beforeAutospacing="1" w:after="100" w:afterAutospacing="1" w:line="560" w:lineRule="exact"/>
        <w:ind w:left="-105" w:leftChars="-50" w:right="-105" w:rightChars="-50" w:firstLine="643" w:firstLineChars="200"/>
        <w:rPr>
          <w:rFonts w:ascii="仿宋_GB2312" w:hAnsi="宋体" w:eastAsia="仿宋_GB2312"/>
          <w:b/>
          <w:sz w:val="32"/>
          <w:szCs w:val="32"/>
        </w:rPr>
      </w:pPr>
      <w:r>
        <w:rPr>
          <w:rFonts w:hint="eastAsia" w:ascii="仿宋_GB2312" w:hAnsi="宋体" w:eastAsia="仿宋_GB2312"/>
          <w:b/>
          <w:sz w:val="32"/>
          <w:szCs w:val="32"/>
        </w:rPr>
        <w:t>（二）内设机构概况</w:t>
      </w:r>
    </w:p>
    <w:p>
      <w:pPr>
        <w:pStyle w:val="4"/>
        <w:keepNext w:val="0"/>
        <w:keepLines w:val="0"/>
        <w:widowControl/>
        <w:numPr>
          <w:ilvl w:val="0"/>
          <w:numId w:val="0"/>
        </w:numPr>
        <w:suppressLineNumbers w:val="0"/>
        <w:spacing w:before="0" w:beforeAutospacing="0"/>
        <w:ind w:right="0" w:rightChars="0"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rPr>
        <w:t>202</w:t>
      </w:r>
      <w:r>
        <w:rPr>
          <w:rFonts w:hint="eastAsia" w:ascii="仿宋" w:hAnsi="仿宋" w:eastAsia="仿宋" w:cs="仿宋"/>
          <w:kern w:val="0"/>
          <w:sz w:val="32"/>
          <w:szCs w:val="32"/>
          <w:shd w:val="clear" w:color="auto" w:fill="FFFFFF"/>
          <w:lang w:val="en-US" w:eastAsia="zh-CN"/>
        </w:rPr>
        <w:t>3</w:t>
      </w:r>
      <w:r>
        <w:rPr>
          <w:rFonts w:hint="eastAsia" w:ascii="仿宋" w:hAnsi="仿宋" w:eastAsia="仿宋" w:cs="仿宋"/>
          <w:kern w:val="0"/>
          <w:sz w:val="32"/>
          <w:szCs w:val="32"/>
          <w:shd w:val="clear" w:color="auto" w:fill="FFFFFF"/>
        </w:rPr>
        <w:t>年末共有机构数是</w:t>
      </w:r>
      <w:r>
        <w:rPr>
          <w:rFonts w:hint="eastAsia" w:ascii="仿宋" w:hAnsi="仿宋" w:eastAsia="仿宋" w:cs="仿宋"/>
          <w:kern w:val="0"/>
          <w:sz w:val="32"/>
          <w:szCs w:val="32"/>
          <w:shd w:val="clear" w:color="auto" w:fill="FFFFFF"/>
          <w:lang w:val="en-US" w:eastAsia="zh-CN"/>
        </w:rPr>
        <w:t>11</w:t>
      </w:r>
      <w:r>
        <w:rPr>
          <w:rFonts w:hint="eastAsia" w:ascii="仿宋" w:hAnsi="仿宋" w:eastAsia="仿宋" w:cs="仿宋"/>
          <w:kern w:val="0"/>
          <w:sz w:val="32"/>
          <w:szCs w:val="32"/>
          <w:shd w:val="clear" w:color="auto" w:fill="FFFFFF"/>
        </w:rPr>
        <w:t>家，其中全额预算单位为1家，其中:独立初级中学</w:t>
      </w:r>
      <w:r>
        <w:rPr>
          <w:rFonts w:hint="eastAsia" w:ascii="仿宋" w:hAnsi="仿宋" w:eastAsia="仿宋" w:cs="仿宋"/>
          <w:kern w:val="0"/>
          <w:sz w:val="32"/>
          <w:szCs w:val="32"/>
          <w:shd w:val="clear" w:color="auto" w:fill="FFFFFF"/>
          <w:lang w:val="en-US" w:eastAsia="zh-CN"/>
        </w:rPr>
        <w:t>1</w:t>
      </w:r>
      <w:r>
        <w:rPr>
          <w:rFonts w:hint="eastAsia" w:ascii="仿宋" w:hAnsi="仿宋" w:eastAsia="仿宋" w:cs="仿宋"/>
          <w:kern w:val="0"/>
          <w:sz w:val="32"/>
          <w:szCs w:val="32"/>
          <w:shd w:val="clear" w:color="auto" w:fill="FFFFFF"/>
        </w:rPr>
        <w:t>所，完全小学</w:t>
      </w:r>
      <w:r>
        <w:rPr>
          <w:rFonts w:hint="eastAsia" w:ascii="仿宋" w:hAnsi="仿宋" w:eastAsia="仿宋" w:cs="仿宋"/>
          <w:kern w:val="0"/>
          <w:sz w:val="32"/>
          <w:szCs w:val="32"/>
          <w:shd w:val="clear" w:color="auto" w:fill="FFFFFF"/>
          <w:lang w:val="en-US" w:eastAsia="zh-CN"/>
        </w:rPr>
        <w:t>6</w:t>
      </w:r>
      <w:r>
        <w:rPr>
          <w:rFonts w:hint="eastAsia" w:ascii="仿宋" w:hAnsi="仿宋" w:eastAsia="仿宋" w:cs="仿宋"/>
          <w:kern w:val="0"/>
          <w:sz w:val="32"/>
          <w:szCs w:val="32"/>
          <w:shd w:val="clear" w:color="auto" w:fill="FFFFFF"/>
        </w:rPr>
        <w:t>所，教学点</w:t>
      </w:r>
      <w:r>
        <w:rPr>
          <w:rFonts w:hint="eastAsia" w:ascii="仿宋" w:hAnsi="仿宋" w:eastAsia="仿宋" w:cs="仿宋"/>
          <w:kern w:val="0"/>
          <w:sz w:val="32"/>
          <w:szCs w:val="32"/>
          <w:shd w:val="clear" w:color="auto" w:fill="FFFFFF"/>
          <w:lang w:val="en-US" w:eastAsia="zh-CN"/>
        </w:rPr>
        <w:t>2</w:t>
      </w:r>
      <w:r>
        <w:rPr>
          <w:rFonts w:hint="eastAsia" w:ascii="仿宋" w:hAnsi="仿宋" w:eastAsia="仿宋" w:cs="仿宋"/>
          <w:kern w:val="0"/>
          <w:sz w:val="32"/>
          <w:szCs w:val="32"/>
          <w:shd w:val="clear" w:color="auto" w:fill="FFFFFF"/>
        </w:rPr>
        <w:t>所，寄宿制学校</w:t>
      </w:r>
      <w:r>
        <w:rPr>
          <w:rFonts w:hint="eastAsia" w:ascii="仿宋" w:hAnsi="仿宋" w:eastAsia="仿宋" w:cs="仿宋"/>
          <w:kern w:val="0"/>
          <w:sz w:val="32"/>
          <w:szCs w:val="32"/>
          <w:shd w:val="clear" w:color="auto" w:fill="FFFFFF"/>
          <w:lang w:val="en-US" w:eastAsia="zh-CN"/>
        </w:rPr>
        <w:t>1</w:t>
      </w:r>
      <w:r>
        <w:rPr>
          <w:rFonts w:hint="eastAsia" w:ascii="仿宋" w:hAnsi="仿宋" w:eastAsia="仿宋" w:cs="仿宋"/>
          <w:kern w:val="0"/>
          <w:sz w:val="32"/>
          <w:szCs w:val="32"/>
          <w:shd w:val="clear" w:color="auto" w:fill="FFFFFF"/>
        </w:rPr>
        <w:t>所，中心幼儿园1所。</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二、绩效自评工作组织开展情况</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为确实做好202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度部门整体绩效自评工作，根据《兰州新区财政局关于开展县级财政资金绩效自评和绩效监控工作的通知》文件精神，结合实际，我单位组织成立了绩效评价工作小组，评价小组采取座谈等方式听取情况，检查基本支出、项目支出有关账目，收集整理支出相关资料，并根据各幼儿园、各部门报送的绩效自评材料进行分析、总结。</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三、部门整体支出绩效自评情况分析</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（一）部门决算情况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1.20</w:t>
      </w:r>
      <w:r>
        <w:rPr>
          <w:rFonts w:ascii="仿宋_GB2312" w:hAnsi="黑体" w:eastAsia="仿宋_GB2312" w:cs="宋体"/>
          <w:sz w:val="32"/>
          <w:szCs w:val="32"/>
        </w:rPr>
        <w:t>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年度预算基本情况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w:t>
      </w:r>
      <w:r>
        <w:rPr>
          <w:rFonts w:ascii="仿宋_GB2312" w:hAnsi="黑体" w:eastAsia="仿宋_GB2312" w:cs="宋体"/>
          <w:sz w:val="32"/>
          <w:szCs w:val="32"/>
        </w:rPr>
        <w:t>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年年初预算为39</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356</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850元，预算总收入为39</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356</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850元</w:t>
      </w:r>
      <w:r>
        <w:rPr>
          <w:rFonts w:ascii="仿宋_GB2312" w:hAnsi="黑体" w:eastAsia="仿宋_GB2312" w:cs="宋体"/>
          <w:sz w:val="32"/>
          <w:szCs w:val="32"/>
        </w:rPr>
        <w:t>。</w:t>
      </w:r>
      <w:r>
        <w:rPr>
          <w:rFonts w:hint="eastAsia" w:ascii="仿宋_GB2312" w:hAnsi="黑体" w:eastAsia="仿宋_GB2312" w:cs="宋体"/>
          <w:sz w:val="32"/>
          <w:szCs w:val="32"/>
        </w:rPr>
        <w:t>预算支出39</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356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850元，</w:t>
      </w:r>
      <w:r>
        <w:rPr>
          <w:rFonts w:ascii="仿宋_GB2312" w:hAnsi="黑体" w:eastAsia="仿宋_GB2312" w:cs="宋体"/>
          <w:sz w:val="32"/>
          <w:szCs w:val="32"/>
        </w:rPr>
        <w:t>人员经费</w:t>
      </w:r>
      <w:r>
        <w:rPr>
          <w:rFonts w:hint="eastAsia" w:ascii="仿宋_GB2312" w:hAnsi="黑体" w:eastAsia="仿宋_GB2312" w:cs="宋体"/>
          <w:sz w:val="32"/>
          <w:szCs w:val="32"/>
        </w:rPr>
        <w:t>支出38</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205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500元，</w:t>
      </w:r>
      <w:r>
        <w:rPr>
          <w:rFonts w:ascii="仿宋_GB2312" w:hAnsi="黑体" w:eastAsia="仿宋_GB2312" w:cs="宋体"/>
          <w:sz w:val="32"/>
          <w:szCs w:val="32"/>
        </w:rPr>
        <w:t>公用经费</w:t>
      </w:r>
      <w:r>
        <w:rPr>
          <w:rFonts w:hint="eastAsia" w:ascii="仿宋_GB2312" w:hAnsi="黑体" w:eastAsia="仿宋_GB2312" w:cs="宋体"/>
          <w:sz w:val="32"/>
          <w:szCs w:val="32"/>
        </w:rPr>
        <w:t>支出366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100元</w:t>
      </w:r>
      <w:r>
        <w:rPr>
          <w:rFonts w:ascii="仿宋_GB2312" w:hAnsi="黑体" w:eastAsia="仿宋_GB2312" w:cs="宋体"/>
          <w:sz w:val="32"/>
          <w:szCs w:val="32"/>
        </w:rPr>
        <w:t>；</w:t>
      </w:r>
      <w:r>
        <w:rPr>
          <w:rFonts w:hint="eastAsia" w:ascii="仿宋_GB2312" w:hAnsi="黑体" w:eastAsia="仿宋_GB2312" w:cs="宋体"/>
          <w:sz w:val="32"/>
          <w:szCs w:val="32"/>
        </w:rPr>
        <w:t>项目支出785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250元。</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年度收支决算情况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年度总收入36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877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465.78，其中：财政拨款收入31</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576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877.86元，</w:t>
      </w:r>
      <w:r>
        <w:rPr>
          <w:rFonts w:hint="eastAsia" w:ascii="仿宋_GB2312" w:hAnsi="黑体" w:eastAsia="仿宋_GB2312" w:cs="宋体"/>
          <w:sz w:val="32"/>
          <w:szCs w:val="32"/>
          <w:lang w:val="en-US" w:eastAsia="zh-CN"/>
        </w:rPr>
        <w:t>85.63</w:t>
      </w:r>
      <w:r>
        <w:rPr>
          <w:rFonts w:hint="eastAsia" w:ascii="仿宋_GB2312" w:hAnsi="黑体" w:eastAsia="仿宋_GB2312" w:cs="宋体"/>
          <w:sz w:val="32"/>
          <w:szCs w:val="32"/>
        </w:rPr>
        <w:t>占%</w:t>
      </w:r>
      <w:r>
        <w:rPr>
          <w:rFonts w:hint="eastAsia" w:ascii="仿宋_GB2312" w:hAnsi="黑体" w:eastAsia="仿宋_GB2312" w:cs="宋体"/>
          <w:sz w:val="32"/>
          <w:szCs w:val="32"/>
          <w:lang w:eastAsia="zh-CN"/>
        </w:rPr>
        <w:t>，其他收入5，300，587.92</w:t>
      </w:r>
      <w:r>
        <w:rPr>
          <w:rFonts w:hint="eastAsia" w:ascii="仿宋_GB2312" w:hAnsi="黑体" w:eastAsia="仿宋_GB2312" w:cs="宋体"/>
          <w:sz w:val="32"/>
          <w:szCs w:val="32"/>
          <w:lang w:val="en-US" w:eastAsia="zh-CN"/>
        </w:rPr>
        <w:t>元</w:t>
      </w:r>
      <w:r>
        <w:rPr>
          <w:rFonts w:hint="eastAsia" w:ascii="仿宋_GB2312" w:hAnsi="黑体" w:eastAsia="仿宋_GB2312" w:cs="宋体"/>
          <w:sz w:val="32"/>
          <w:szCs w:val="32"/>
        </w:rPr>
        <w:t>。202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年度总支出36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877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465.78元,</w:t>
      </w:r>
      <w:r>
        <w:rPr>
          <w:rFonts w:ascii="仿宋_GB2312" w:hAnsi="黑体" w:eastAsia="仿宋_GB2312" w:cs="宋体"/>
          <w:sz w:val="32"/>
          <w:szCs w:val="32"/>
        </w:rPr>
        <w:t>人员经费</w:t>
      </w:r>
      <w:r>
        <w:rPr>
          <w:rFonts w:hint="eastAsia" w:ascii="仿宋_GB2312" w:hAnsi="黑体" w:eastAsia="仿宋_GB2312" w:cs="宋体"/>
          <w:sz w:val="32"/>
          <w:szCs w:val="32"/>
        </w:rPr>
        <w:t>支出30</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586</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130.86元，</w:t>
      </w:r>
      <w:r>
        <w:rPr>
          <w:rFonts w:ascii="仿宋_GB2312" w:hAnsi="黑体" w:eastAsia="仿宋_GB2312" w:cs="宋体"/>
          <w:sz w:val="32"/>
          <w:szCs w:val="32"/>
        </w:rPr>
        <w:t>公用经费</w:t>
      </w:r>
      <w:r>
        <w:rPr>
          <w:rFonts w:hint="eastAsia" w:ascii="仿宋_GB2312" w:hAnsi="黑体" w:eastAsia="仿宋_GB2312" w:cs="宋体"/>
          <w:sz w:val="32"/>
          <w:szCs w:val="32"/>
        </w:rPr>
        <w:t>支出285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000元</w:t>
      </w:r>
      <w:r>
        <w:rPr>
          <w:rFonts w:hint="eastAsia" w:ascii="仿宋_GB2312" w:hAnsi="黑体" w:eastAsia="仿宋_GB2312" w:cs="宋体"/>
          <w:sz w:val="32"/>
          <w:szCs w:val="32"/>
          <w:lang w:eastAsia="zh-CN"/>
        </w:rPr>
        <w:t>，项目支出6，006，334.92</w:t>
      </w:r>
      <w:r>
        <w:rPr>
          <w:rFonts w:hint="eastAsia" w:ascii="仿宋_GB2312" w:hAnsi="黑体" w:eastAsia="仿宋_GB2312" w:cs="宋体"/>
          <w:sz w:val="32"/>
          <w:szCs w:val="32"/>
          <w:lang w:val="en-US" w:eastAsia="zh-CN"/>
        </w:rPr>
        <w:t>元</w:t>
      </w:r>
      <w:r>
        <w:rPr>
          <w:rFonts w:hint="eastAsia" w:ascii="仿宋_GB2312" w:hAnsi="黑体" w:eastAsia="仿宋_GB2312" w:cs="宋体"/>
          <w:sz w:val="32"/>
          <w:szCs w:val="32"/>
        </w:rPr>
        <w:t>。</w:t>
      </w:r>
    </w:p>
    <w:p>
      <w:pPr>
        <w:numPr>
          <w:ilvl w:val="0"/>
          <w:numId w:val="1"/>
        </w:numPr>
        <w:spacing w:before="100" w:beforeAutospacing="1" w:after="100" w:afterAutospacing="1" w:line="560" w:lineRule="exact"/>
        <w:ind w:left="-105" w:leftChars="-50" w:right="-105"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总体绩效目标完成情况分析。</w:t>
      </w:r>
    </w:p>
    <w:p>
      <w:pPr>
        <w:numPr>
          <w:ilvl w:val="0"/>
          <w:numId w:val="0"/>
        </w:numPr>
        <w:spacing w:before="100" w:beforeAutospacing="1" w:after="100" w:afterAutospacing="1" w:line="560" w:lineRule="exact"/>
        <w:ind w:right="-105" w:rightChars="-50" w:firstLine="640" w:firstLineChars="200"/>
        <w:rPr>
          <w:rFonts w:hint="eastAsia" w:ascii="仿宋" w:hAnsi="仿宋" w:eastAsia="仿宋" w:cs="宋体"/>
          <w:kern w:val="0"/>
          <w:sz w:val="32"/>
          <w:szCs w:val="32"/>
          <w:lang w:val="en-US" w:eastAsia="zh-CN"/>
        </w:rPr>
      </w:pPr>
      <w:r>
        <w:rPr>
          <w:rFonts w:hint="eastAsia" w:ascii="仿宋_GB2312" w:hAnsi="黑体" w:eastAsia="仿宋_GB2312" w:cs="宋体"/>
          <w:sz w:val="32"/>
          <w:szCs w:val="32"/>
        </w:rPr>
        <w:t>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年总体目标均已完成,1. 202</w:t>
      </w:r>
      <w:r>
        <w:rPr>
          <w:rFonts w:hint="eastAsia" w:ascii="仿宋_GB2312" w:hAnsi="黑体" w:eastAsia="仿宋_GB2312" w:cs="宋体"/>
          <w:sz w:val="32"/>
          <w:szCs w:val="32"/>
          <w:lang w:val="en-US" w:eastAsia="zh-CN"/>
        </w:rPr>
        <w:t>3</w:t>
      </w:r>
      <w:bookmarkStart w:id="0" w:name="_GoBack"/>
      <w:bookmarkEnd w:id="0"/>
      <w:r>
        <w:rPr>
          <w:rFonts w:hint="eastAsia" w:ascii="仿宋_GB2312" w:hAnsi="黑体" w:eastAsia="仿宋_GB2312" w:cs="宋体"/>
          <w:sz w:val="32"/>
          <w:szCs w:val="32"/>
        </w:rPr>
        <w:t>年定期做好辖区内学校安全教育及安全隐患排查,无重大事故发生，圆满完成该项指标;2. 假期培训全员参与,达到100%;3. 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年财务预算与实际支出执行率达到</w:t>
      </w:r>
      <w:r>
        <w:rPr>
          <w:rFonts w:hint="eastAsia" w:ascii="仿宋_GB2312" w:hAnsi="黑体" w:eastAsia="仿宋_GB2312" w:cs="宋体"/>
          <w:sz w:val="32"/>
          <w:szCs w:val="32"/>
          <w:lang w:val="en-US" w:eastAsia="zh-CN"/>
        </w:rPr>
        <w:t>93.7</w:t>
      </w:r>
      <w:r>
        <w:rPr>
          <w:rFonts w:hint="eastAsia" w:ascii="仿宋_GB2312" w:hAnsi="黑体" w:eastAsia="仿宋_GB2312" w:cs="宋体"/>
          <w:sz w:val="32"/>
          <w:szCs w:val="32"/>
        </w:rPr>
        <w:t>%;4. 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年群众满意度调查结果为98%。</w:t>
      </w:r>
    </w:p>
    <w:p>
      <w:pPr>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105" w:leftChars="-50" w:firstLine="640" w:firstLineChars="200"/>
        <w:jc w:val="left"/>
        <w:textAlignment w:val="auto"/>
        <w:rPr>
          <w:rFonts w:hint="eastAsia" w:ascii="仿宋_GB2312" w:hAnsi="黑体" w:eastAsia="仿宋_GB2312" w:cs="宋体"/>
          <w:sz w:val="32"/>
          <w:szCs w:val="32"/>
        </w:rPr>
      </w:pPr>
      <w:r>
        <w:rPr>
          <w:rFonts w:hint="eastAsia" w:ascii="仿宋_GB2312" w:hAnsi="黑体" w:eastAsia="仿宋_GB2312" w:cs="宋体"/>
          <w:sz w:val="32"/>
          <w:szCs w:val="32"/>
        </w:rPr>
        <w:t>各项指标完成情况分析。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_GB2312" w:hAnsi="黑体" w:eastAsia="仿宋_GB2312" w:cs="宋体"/>
          <w:sz w:val="32"/>
          <w:szCs w:val="32"/>
        </w:rPr>
      </w:pPr>
      <w:r>
        <w:rPr>
          <w:rFonts w:hint="eastAsia" w:ascii="仿宋_GB2312" w:hAnsi="黑体" w:eastAsia="仿宋_GB2312" w:cs="宋体"/>
          <w:sz w:val="32"/>
          <w:szCs w:val="32"/>
        </w:rPr>
        <w:t>202</w:t>
      </w:r>
      <w:r>
        <w:rPr>
          <w:rFonts w:hint="eastAsia" w:ascii="仿宋_GB2312" w:hAnsi="黑体" w:eastAsia="仿宋_GB2312" w:cs="宋体"/>
          <w:sz w:val="32"/>
          <w:szCs w:val="32"/>
          <w:lang w:val="en-US" w:eastAsia="zh-CN"/>
        </w:rPr>
        <w:t>3</w:t>
      </w:r>
      <w:r>
        <w:rPr>
          <w:rFonts w:hint="eastAsia" w:ascii="仿宋_GB2312" w:hAnsi="黑体" w:eastAsia="仿宋_GB2312" w:cs="宋体"/>
          <w:sz w:val="32"/>
          <w:szCs w:val="32"/>
        </w:rPr>
        <w:t>年各项指标基本完成，下表是各项指标详细完成情情况：</w:t>
      </w:r>
    </w:p>
    <w:p/>
    <w:p/>
    <w:p/>
    <w:p/>
    <w:p>
      <w:r>
        <w:object>
          <v:shape id="_x0000_i1025" o:spt="75" type="#_x0000_t75" style="height:621.05pt;width:410.95pt;" o:ole="t" filled="f" o:preferrelative="t" stroked="f" coordsize="21600,21600">
            <v:path/>
            <v:fill on="f" focussize="0,0"/>
            <v:stroke on="f"/>
            <v:imagedata r:id="rId5" o:title=""/>
            <o:lock v:ext="edit" aspectratio="f"/>
            <w10:wrap type="none"/>
            <w10:anchorlock/>
          </v:shape>
          <o:OLEObject Type="Embed" ProgID="Excel.Sheet.12" ShapeID="_x0000_i1025" DrawAspect="Content" ObjectID="_1468075725" r:id="rId4">
            <o:LockedField>false</o:LockedField>
          </o:OLEObject>
        </w:objec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 w:hAnsi="仿宋" w:eastAsia="仿宋" w:cs="宋体"/>
          <w:kern w:val="0"/>
          <w:sz w:val="32"/>
          <w:szCs w:val="32"/>
        </w:rPr>
      </w:pPr>
      <w:r>
        <w:rPr>
          <w:rFonts w:hint="eastAsia" w:ascii="仿宋" w:hAnsi="仿宋" w:eastAsia="仿宋" w:cs="宋体"/>
          <w:kern w:val="0"/>
          <w:sz w:val="32"/>
          <w:szCs w:val="32"/>
        </w:rPr>
        <w:t>从履职及履职效益情况来看，总体效果比较好。从经济性来看，各负责部门能够按照预算来抓好成本控制，强化勤俭办事的意识，注重节约开支，年度开支控制在财政局规定的范围内;从效率性来看，各部门对所承担的工作能够按照计划的时间把握进度，抓好质量，注重了工作的效率;从有效性来看，各专项工作的分工负责部门均能够按照制度和各自的目标来抓好落实，注重了专项资金的使用效果;从可持续性来看，后续的政策、相关的配套资金、必要的人员机构要继续保持，管理制度做到与时俱进，相关内容进行了及时补充完善。</w:t>
      </w:r>
    </w:p>
    <w:p>
      <w:pPr>
        <w:numPr>
          <w:ilvl w:val="0"/>
          <w:numId w:val="2"/>
        </w:numPr>
        <w:spacing w:before="100" w:beforeAutospacing="1" w:after="100" w:afterAutospacing="1" w:line="560" w:lineRule="exact"/>
        <w:ind w:right="-105" w:rightChars="-50" w:firstLine="640" w:firstLineChars="200"/>
        <w:rPr>
          <w:rFonts w:hint="eastAsia" w:ascii="黑体" w:hAnsi="黑体" w:eastAsia="黑体" w:cs="宋体"/>
          <w:sz w:val="32"/>
          <w:szCs w:val="32"/>
        </w:rPr>
      </w:pPr>
      <w:r>
        <w:rPr>
          <w:rFonts w:hint="eastAsia" w:ascii="黑体" w:hAnsi="黑体" w:eastAsia="黑体" w:cs="宋体"/>
          <w:sz w:val="32"/>
          <w:szCs w:val="32"/>
        </w:rPr>
        <w:t>部门预算项目支出绩效自评情况分析</w:t>
      </w:r>
    </w:p>
    <w:p>
      <w:pPr>
        <w:numPr>
          <w:ilvl w:val="0"/>
          <w:numId w:val="0"/>
        </w:numPr>
        <w:spacing w:before="100" w:beforeAutospacing="1" w:after="100" w:afterAutospacing="1" w:line="560" w:lineRule="exact"/>
        <w:ind w:right="-105" w:rightChars="-50" w:firstLine="640" w:firstLineChars="200"/>
        <w:rPr>
          <w:rFonts w:hint="eastAsia" w:ascii="黑体" w:hAnsi="黑体" w:eastAsia="黑体" w:cs="宋体"/>
          <w:sz w:val="32"/>
          <w:szCs w:val="32"/>
        </w:rPr>
      </w:pPr>
      <w:r>
        <w:rPr>
          <w:rFonts w:hint="eastAsia" w:ascii="仿宋" w:hAnsi="仿宋" w:eastAsia="仿宋" w:cs="宋体"/>
          <w:kern w:val="0"/>
          <w:sz w:val="32"/>
          <w:szCs w:val="32"/>
        </w:rPr>
        <w:t>2023年，本部门预算支出项目</w:t>
      </w:r>
      <w:r>
        <w:rPr>
          <w:rFonts w:hint="eastAsia" w:ascii="仿宋" w:hAnsi="仿宋" w:eastAsia="仿宋" w:cs="宋体"/>
          <w:kern w:val="0"/>
          <w:sz w:val="32"/>
          <w:szCs w:val="32"/>
          <w:lang w:val="en-US" w:eastAsia="zh-CN"/>
        </w:rPr>
        <w:t>19</w:t>
      </w:r>
      <w:r>
        <w:rPr>
          <w:rFonts w:hint="eastAsia" w:ascii="仿宋" w:hAnsi="仿宋" w:eastAsia="仿宋" w:cs="宋体"/>
          <w:kern w:val="0"/>
          <w:sz w:val="32"/>
          <w:szCs w:val="32"/>
        </w:rPr>
        <w:t>个，当年财政拨款70</w:t>
      </w:r>
      <w:r>
        <w:rPr>
          <w:rFonts w:hint="eastAsia" w:ascii="仿宋" w:hAnsi="仿宋" w:eastAsia="仿宋" w:cs="宋体"/>
          <w:kern w:val="0"/>
          <w:sz w:val="32"/>
          <w:szCs w:val="32"/>
          <w:lang w:val="en-US" w:eastAsia="zh-CN"/>
        </w:rPr>
        <w:t>.</w:t>
      </w:r>
      <w:r>
        <w:rPr>
          <w:rFonts w:hint="eastAsia" w:ascii="仿宋" w:hAnsi="仿宋" w:eastAsia="仿宋" w:cs="宋体"/>
          <w:kern w:val="0"/>
          <w:sz w:val="32"/>
          <w:szCs w:val="32"/>
        </w:rPr>
        <w:t>5</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万元，其他资金530</w:t>
      </w:r>
      <w:r>
        <w:rPr>
          <w:rFonts w:hint="eastAsia" w:ascii="仿宋" w:hAnsi="仿宋" w:eastAsia="仿宋" w:cs="宋体"/>
          <w:kern w:val="0"/>
          <w:sz w:val="32"/>
          <w:szCs w:val="32"/>
          <w:lang w:val="en-US" w:eastAsia="zh-CN"/>
        </w:rPr>
        <w:t>.</w:t>
      </w:r>
      <w:r>
        <w:rPr>
          <w:rFonts w:hint="eastAsia" w:ascii="仿宋" w:hAnsi="仿宋" w:eastAsia="仿宋" w:cs="宋体"/>
          <w:kern w:val="0"/>
          <w:sz w:val="32"/>
          <w:szCs w:val="32"/>
        </w:rPr>
        <w:t>0</w:t>
      </w:r>
      <w:r>
        <w:rPr>
          <w:rFonts w:hint="eastAsia" w:ascii="仿宋" w:hAnsi="仿宋" w:eastAsia="仿宋" w:cs="宋体"/>
          <w:kern w:val="0"/>
          <w:sz w:val="32"/>
          <w:szCs w:val="32"/>
          <w:lang w:val="en-US" w:eastAsia="zh-CN"/>
        </w:rPr>
        <w:t>6万元</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全年支出600</w:t>
      </w:r>
      <w:r>
        <w:rPr>
          <w:rFonts w:hint="eastAsia" w:ascii="仿宋" w:hAnsi="仿宋" w:eastAsia="仿宋" w:cs="宋体"/>
          <w:kern w:val="0"/>
          <w:sz w:val="32"/>
          <w:szCs w:val="32"/>
          <w:lang w:val="en-US" w:eastAsia="zh-CN"/>
        </w:rPr>
        <w:t>.</w:t>
      </w:r>
      <w:r>
        <w:rPr>
          <w:rFonts w:hint="eastAsia" w:ascii="仿宋" w:hAnsi="仿宋" w:eastAsia="仿宋" w:cs="宋体"/>
          <w:kern w:val="0"/>
          <w:sz w:val="32"/>
          <w:szCs w:val="32"/>
        </w:rPr>
        <w:t>63</w:t>
      </w:r>
      <w:r>
        <w:rPr>
          <w:rFonts w:hint="eastAsia" w:ascii="仿宋" w:hAnsi="仿宋" w:eastAsia="仿宋" w:cs="宋体"/>
          <w:kern w:val="0"/>
          <w:sz w:val="32"/>
          <w:szCs w:val="32"/>
          <w:lang w:val="en-US" w:eastAsia="zh-CN"/>
        </w:rPr>
        <w:t>万</w:t>
      </w:r>
      <w:r>
        <w:rPr>
          <w:rFonts w:hint="eastAsia" w:ascii="仿宋" w:hAnsi="仿宋" w:eastAsia="仿宋" w:cs="宋体"/>
          <w:kern w:val="0"/>
          <w:sz w:val="32"/>
          <w:szCs w:val="32"/>
        </w:rPr>
        <w:t>元，执行率</w:t>
      </w:r>
      <w:r>
        <w:rPr>
          <w:rFonts w:hint="eastAsia" w:ascii="仿宋" w:hAnsi="仿宋" w:eastAsia="仿宋" w:cs="宋体"/>
          <w:kern w:val="0"/>
          <w:sz w:val="32"/>
          <w:szCs w:val="32"/>
          <w:lang w:val="en-US" w:eastAsia="zh-CN"/>
        </w:rPr>
        <w:t>100</w:t>
      </w:r>
      <w:r>
        <w:rPr>
          <w:rFonts w:hint="eastAsia" w:ascii="仿宋" w:hAnsi="仿宋" w:eastAsia="仿宋" w:cs="宋体"/>
          <w:kern w:val="0"/>
          <w:sz w:val="32"/>
          <w:szCs w:val="32"/>
        </w:rPr>
        <w:t>%。通过自评，有</w:t>
      </w:r>
      <w:r>
        <w:rPr>
          <w:rFonts w:hint="eastAsia" w:ascii="仿宋" w:hAnsi="仿宋" w:eastAsia="仿宋" w:cs="宋体"/>
          <w:kern w:val="0"/>
          <w:sz w:val="32"/>
          <w:szCs w:val="32"/>
          <w:lang w:val="en-US" w:eastAsia="zh-CN"/>
        </w:rPr>
        <w:t>9</w:t>
      </w:r>
      <w:r>
        <w:rPr>
          <w:rFonts w:hint="eastAsia" w:ascii="仿宋" w:hAnsi="仿宋" w:eastAsia="仿宋" w:cs="宋体"/>
          <w:kern w:val="0"/>
          <w:sz w:val="32"/>
          <w:szCs w:val="32"/>
        </w:rPr>
        <w:t>个项目结果为“良”，</w:t>
      </w:r>
      <w:r>
        <w:rPr>
          <w:rFonts w:hint="eastAsia" w:ascii="仿宋" w:hAnsi="仿宋" w:eastAsia="仿宋" w:cs="宋体"/>
          <w:kern w:val="0"/>
          <w:sz w:val="32"/>
          <w:szCs w:val="32"/>
          <w:lang w:val="en-US" w:eastAsia="zh-CN"/>
        </w:rPr>
        <w:t>10</w:t>
      </w:r>
      <w:r>
        <w:rPr>
          <w:rFonts w:hint="eastAsia" w:ascii="仿宋" w:hAnsi="仿宋" w:eastAsia="仿宋" w:cs="宋体"/>
          <w:kern w:val="0"/>
          <w:sz w:val="32"/>
          <w:szCs w:val="32"/>
        </w:rPr>
        <w:t>个项目结果为“中”，</w:t>
      </w:r>
      <w:r>
        <w:rPr>
          <w:rFonts w:hint="eastAsia" w:ascii="仿宋" w:hAnsi="仿宋" w:eastAsia="仿宋" w:cs="宋体"/>
          <w:kern w:val="0"/>
          <w:sz w:val="32"/>
          <w:szCs w:val="32"/>
          <w:lang w:val="en-US" w:eastAsia="zh-CN"/>
        </w:rPr>
        <w:t>0</w:t>
      </w:r>
      <w:r>
        <w:rPr>
          <w:rFonts w:hint="eastAsia" w:ascii="仿宋" w:hAnsi="仿宋" w:eastAsia="仿宋" w:cs="宋体"/>
          <w:kern w:val="0"/>
          <w:sz w:val="32"/>
          <w:szCs w:val="32"/>
        </w:rPr>
        <w:t>个项目结果为“差”。</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lang w:val="en-US" w:eastAsia="zh-CN"/>
        </w:rPr>
        <w:t>五、</w:t>
      </w:r>
      <w:r>
        <w:rPr>
          <w:rFonts w:hint="eastAsia" w:ascii="黑体" w:hAnsi="黑体" w:eastAsia="黑体" w:cs="宋体"/>
          <w:sz w:val="32"/>
          <w:szCs w:val="32"/>
        </w:rPr>
        <w:t>绩效自评结果拟应用和公开情况</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根据我</w:t>
      </w:r>
      <w:r>
        <w:rPr>
          <w:rFonts w:hint="eastAsia" w:ascii="仿宋_GB2312" w:hAnsi="仿宋" w:eastAsia="仿宋_GB2312"/>
          <w:sz w:val="32"/>
          <w:szCs w:val="32"/>
          <w:lang w:val="en-US" w:eastAsia="zh-CN"/>
        </w:rPr>
        <w:t>学区</w:t>
      </w:r>
      <w:r>
        <w:rPr>
          <w:rFonts w:hint="eastAsia" w:ascii="仿宋_GB2312" w:hAnsi="仿宋" w:eastAsia="仿宋_GB2312"/>
          <w:sz w:val="32"/>
          <w:szCs w:val="32"/>
        </w:rPr>
        <w:t>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年度财政资金绩效自评结果，</w:t>
      </w:r>
      <w:r>
        <w:rPr>
          <w:rFonts w:hint="eastAsia" w:ascii="仿宋_GB2312" w:hAnsi="仿宋" w:eastAsia="仿宋_GB2312"/>
          <w:sz w:val="32"/>
          <w:szCs w:val="32"/>
          <w:lang w:val="en-US" w:eastAsia="zh-CN"/>
        </w:rPr>
        <w:t>我学区</w:t>
      </w:r>
      <w:r>
        <w:rPr>
          <w:rFonts w:hint="eastAsia" w:ascii="仿宋_GB2312" w:hAnsi="仿宋" w:eastAsia="仿宋_GB2312"/>
          <w:sz w:val="32"/>
          <w:szCs w:val="32"/>
        </w:rPr>
        <w:t>制定和完善部门管理制度，及时开展厉行节约严格管理专项活动。</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1、 强化单位内部控制制度，预算管理、收支管理、财务管理、资产管理、采购管理、项目建设、合同管理的执行，</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2、 加强内部监督管理，有效的克服制度较多但内控的有效性不明显的弊端，有待加强。</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3、 按照上级要求及时在</w:t>
      </w:r>
      <w:r>
        <w:rPr>
          <w:rFonts w:hint="eastAsia" w:ascii="仿宋_GB2312" w:hAnsi="仿宋" w:eastAsia="仿宋_GB2312"/>
          <w:sz w:val="32"/>
          <w:szCs w:val="32"/>
          <w:lang w:val="en-US" w:eastAsia="zh-CN"/>
        </w:rPr>
        <w:t>县级</w:t>
      </w:r>
      <w:r>
        <w:rPr>
          <w:rFonts w:hint="eastAsia" w:ascii="仿宋_GB2312" w:hAnsi="仿宋" w:eastAsia="仿宋_GB2312"/>
          <w:sz w:val="32"/>
          <w:szCs w:val="32"/>
        </w:rPr>
        <w:t>网站上按规定内容，真实、完整、准确的公开预决算信息、绩效评估报告信息，基础数据信息和会计信息等资料。</w:t>
      </w:r>
    </w:p>
    <w:p>
      <w:pPr>
        <w:spacing w:before="100" w:beforeAutospacing="1" w:after="100" w:afterAutospacing="1" w:line="560" w:lineRule="exact"/>
        <w:ind w:left="-105" w:leftChars="-50" w:right="-105" w:rightChars="-50" w:firstLine="960" w:firstLineChars="300"/>
        <w:rPr>
          <w:rFonts w:ascii="黑体" w:hAnsi="黑体" w:eastAsia="黑体" w:cs="宋体"/>
          <w:sz w:val="32"/>
          <w:szCs w:val="32"/>
        </w:rPr>
      </w:pPr>
      <w:r>
        <w:rPr>
          <w:rFonts w:hint="eastAsia" w:ascii="黑体" w:hAnsi="黑体" w:eastAsia="黑体" w:cs="宋体"/>
          <w:sz w:val="32"/>
          <w:szCs w:val="32"/>
          <w:lang w:val="en-US" w:eastAsia="zh-CN"/>
        </w:rPr>
        <w:t>六</w:t>
      </w:r>
      <w:r>
        <w:rPr>
          <w:rFonts w:hint="eastAsia" w:ascii="黑体" w:hAnsi="黑体" w:eastAsia="黑体" w:cs="宋体"/>
          <w:sz w:val="32"/>
          <w:szCs w:val="32"/>
        </w:rPr>
        <w:t>、其他需要说明的问题</w:t>
      </w:r>
    </w:p>
    <w:p>
      <w:pPr>
        <w:spacing w:before="100" w:beforeAutospacing="1" w:after="100" w:afterAutospacing="1" w:line="560" w:lineRule="exact"/>
        <w:ind w:left="-105" w:leftChars="-50" w:right="-105" w:rightChars="-50" w:firstLine="420" w:firstLineChars="200"/>
        <w:rPr>
          <w:rFonts w:hint="eastAsia" w:ascii="仿宋" w:hAnsi="仿宋" w:eastAsia="仿宋" w:cs="仿宋"/>
          <w:sz w:val="32"/>
          <w:szCs w:val="32"/>
          <w:lang w:val="en-US" w:eastAsia="zh-CN"/>
        </w:rPr>
      </w:pPr>
      <w:r>
        <w:rPr>
          <w:rFonts w:hint="eastAsia"/>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无</w:t>
      </w:r>
    </w:p>
    <w:p>
      <w:pPr>
        <w:spacing w:before="100" w:beforeAutospacing="1" w:after="100" w:afterAutospacing="1" w:line="560" w:lineRule="exact"/>
        <w:ind w:left="-105" w:leftChars="-50" w:right="-105" w:rightChars="-50" w:firstLine="4160" w:firstLineChars="1300"/>
        <w:jc w:val="right"/>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永登县上川镇中心小学</w:t>
      </w:r>
    </w:p>
    <w:p>
      <w:pPr>
        <w:spacing w:before="100" w:beforeAutospacing="1" w:after="100" w:afterAutospacing="1" w:line="560" w:lineRule="exact"/>
        <w:ind w:left="-105" w:leftChars="-50" w:right="-105" w:rightChars="-50" w:firstLine="4160" w:firstLineChars="1300"/>
        <w:jc w:val="right"/>
      </w:pPr>
      <w:r>
        <w:rPr>
          <w:rFonts w:ascii="仿宋_GB2312" w:hAnsi="黑体" w:eastAsia="仿宋_GB2312" w:cs="宋体"/>
          <w:sz w:val="32"/>
          <w:szCs w:val="32"/>
        </w:rPr>
        <w:t>202</w:t>
      </w:r>
      <w:r>
        <w:rPr>
          <w:rFonts w:hint="eastAsia" w:ascii="仿宋_GB2312" w:hAnsi="黑体" w:eastAsia="仿宋_GB2312" w:cs="宋体"/>
          <w:sz w:val="32"/>
          <w:szCs w:val="32"/>
          <w:lang w:val="en-US" w:eastAsia="zh-CN"/>
        </w:rPr>
        <w:t>4</w:t>
      </w:r>
      <w:r>
        <w:rPr>
          <w:rFonts w:ascii="仿宋_GB2312" w:hAnsi="黑体" w:eastAsia="仿宋_GB2312" w:cs="宋体"/>
          <w:sz w:val="32"/>
          <w:szCs w:val="32"/>
        </w:rPr>
        <w:t>年</w:t>
      </w:r>
      <w:r>
        <w:rPr>
          <w:rFonts w:hint="eastAsia" w:ascii="仿宋_GB2312" w:hAnsi="黑体" w:eastAsia="仿宋_GB2312" w:cs="宋体"/>
          <w:sz w:val="32"/>
          <w:szCs w:val="32"/>
        </w:rPr>
        <w:t>9</w:t>
      </w:r>
      <w:r>
        <w:rPr>
          <w:rFonts w:ascii="仿宋_GB2312" w:hAnsi="黑体" w:eastAsia="仿宋_GB2312" w:cs="宋体"/>
          <w:sz w:val="32"/>
          <w:szCs w:val="32"/>
        </w:rPr>
        <w:t>月</w:t>
      </w:r>
      <w:r>
        <w:rPr>
          <w:rFonts w:hint="eastAsia" w:ascii="仿宋_GB2312" w:hAnsi="黑体" w:eastAsia="仿宋_GB2312" w:cs="宋体"/>
          <w:sz w:val="32"/>
          <w:szCs w:val="32"/>
        </w:rPr>
        <w:t>1</w:t>
      </w:r>
      <w:r>
        <w:rPr>
          <w:rFonts w:hint="eastAsia" w:ascii="仿宋_GB2312" w:hAnsi="黑体" w:eastAsia="仿宋_GB2312" w:cs="宋体"/>
          <w:sz w:val="32"/>
          <w:szCs w:val="32"/>
          <w:lang w:val="en-US" w:eastAsia="zh-CN"/>
        </w:rPr>
        <w:t>2</w:t>
      </w:r>
      <w:r>
        <w:rPr>
          <w:rFonts w:ascii="仿宋_GB2312" w:hAnsi="黑体" w:eastAsia="仿宋_GB2312" w:cs="宋体"/>
          <w:sz w:val="32"/>
          <w:szCs w:val="32"/>
        </w:rPr>
        <w:t>日</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 w:hAnsi="仿宋" w:eastAsia="仿宋" w:cs="宋体"/>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BEB57"/>
    <w:multiLevelType w:val="singleLevel"/>
    <w:tmpl w:val="9F2BEB57"/>
    <w:lvl w:ilvl="0" w:tentative="0">
      <w:start w:val="4"/>
      <w:numFmt w:val="chineseCounting"/>
      <w:suff w:val="nothing"/>
      <w:lvlText w:val="%1、"/>
      <w:lvlJc w:val="left"/>
      <w:rPr>
        <w:rFonts w:hint="eastAsia"/>
      </w:rPr>
    </w:lvl>
  </w:abstractNum>
  <w:abstractNum w:abstractNumId="1">
    <w:nsid w:val="1309B6A5"/>
    <w:multiLevelType w:val="singleLevel"/>
    <w:tmpl w:val="1309B6A5"/>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jNmQxNWIxMTFiYTkwNGIzODgzMTBiMmMwYmJjZDcifQ=="/>
    <w:docVar w:name="KSO_WPS_MARK_KEY" w:val="223e00d1-c0ff-4bad-90b3-a68dfd0d44c6"/>
  </w:docVars>
  <w:rsids>
    <w:rsidRoot w:val="00000000"/>
    <w:rsid w:val="00C40217"/>
    <w:rsid w:val="02D67C67"/>
    <w:rsid w:val="05BD0E05"/>
    <w:rsid w:val="0B8E420A"/>
    <w:rsid w:val="2F8337D6"/>
    <w:rsid w:val="35941D23"/>
    <w:rsid w:val="43A46B56"/>
    <w:rsid w:val="44134CD1"/>
    <w:rsid w:val="45EF52CA"/>
    <w:rsid w:val="4A1C2A45"/>
    <w:rsid w:val="4FAA3543"/>
    <w:rsid w:val="7E096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1310</Words>
  <Characters>1492</Characters>
  <Lines>0</Lines>
  <Paragraphs>0</Paragraphs>
  <TotalTime>53</TotalTime>
  <ScaleCrop>false</ScaleCrop>
  <LinksUpToDate>false</LinksUpToDate>
  <CharactersWithSpaces>1503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2023-09-18T14:24:00Z</dcterms:created>
  <dc:creator>hongjingcao</dc:creator>
  <cp:lastModifiedBy>戒不掉的烟</cp:lastModifiedBy>
  <dcterms:modified xsi:type="dcterms:W3CDTF">2024-09-23T03:10:56Z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08C79DB628424643B3D7D621F8386798_13</vt:lpwstr>
  </property>
</Properties>
</file>