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兰州新区上川学区2023年度部门整体支出</w:t>
      </w:r>
    </w:p>
    <w:p>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绩效评价报告</w:t>
      </w:r>
    </w:p>
    <w:p>
      <w:pPr>
        <w:bidi w:val="0"/>
        <w:rPr>
          <w:rFonts w:hint="eastAsia"/>
          <w:lang w:val="en-US" w:eastAsia="zh-CN"/>
        </w:rPr>
      </w:pPr>
    </w:p>
    <w:tbl>
      <w:tblPr>
        <w:tblStyle w:val="10"/>
        <w:tblW w:w="8814"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98"/>
        <w:gridCol w:w="319"/>
        <w:gridCol w:w="675"/>
        <w:gridCol w:w="270"/>
        <w:gridCol w:w="633"/>
        <w:gridCol w:w="232"/>
        <w:gridCol w:w="725"/>
        <w:gridCol w:w="885"/>
        <w:gridCol w:w="885"/>
        <w:gridCol w:w="735"/>
        <w:gridCol w:w="240"/>
        <w:gridCol w:w="645"/>
        <w:gridCol w:w="735"/>
        <w:gridCol w:w="1137"/>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8814" w:type="dxa"/>
            <w:gridSpan w:val="14"/>
            <w:tcBorders>
              <w:tl2br w:val="nil"/>
              <w:tr2bl w:val="nil"/>
            </w:tcBorders>
            <w:shd w:val="clear" w:color="auto" w:fill="FFFFFF"/>
            <w:vAlign w:val="center"/>
          </w:tcPr>
          <w:p>
            <w:pPr>
              <w:bidi w:val="0"/>
              <w:ind w:left="0" w:leftChars="0" w:firstLine="0" w:firstLineChars="0"/>
              <w:jc w:val="center"/>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一、部门整体基本情况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兰州新区上川学区2023年度部门整体支出绩效评价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84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财政评价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委托评价单位</w:t>
            </w:r>
          </w:p>
        </w:tc>
        <w:tc>
          <w:tcPr>
            <w:tcW w:w="184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兰州新区财政局（国有资产监督管理局）</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评价机构名称</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兰州新区上川学区</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评价对象名称</w:t>
            </w:r>
          </w:p>
        </w:tc>
        <w:tc>
          <w:tcPr>
            <w:tcW w:w="6219"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兰州新区上川学区</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98"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1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通过综合分析兰州新区上川学区部门整体支出预算编制的合理性和科学性、预算执行的时效性、预算控制和监督的有效性，以及部门基本运转、履职尽责和履职效能等情况；同时重点关注学区内部控制管理的情况，全面考核部门整体支出和履职职能的匹配程度，及时发现部门存在的不足和问题，提出合理意见建议，从而提升部门整体预算绩效管理水平，提高财政资金使用效益。</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预算安排资金</w:t>
            </w:r>
          </w:p>
        </w:tc>
        <w:tc>
          <w:tcPr>
            <w:tcW w:w="184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3935.685</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实际到位资金</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3687.75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其中：财政拨款</w:t>
            </w:r>
          </w:p>
        </w:tc>
        <w:tc>
          <w:tcPr>
            <w:tcW w:w="184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3857.46</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其中：财政拨款</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3157.69</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其他收入</w:t>
            </w:r>
          </w:p>
        </w:tc>
        <w:tc>
          <w:tcPr>
            <w:tcW w:w="184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78.525</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default"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其他收入</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530.06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实际支出资金</w:t>
            </w:r>
          </w:p>
        </w:tc>
        <w:tc>
          <w:tcPr>
            <w:tcW w:w="184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3687.75</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结余资金</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预算执行率</w:t>
            </w:r>
          </w:p>
        </w:tc>
        <w:tc>
          <w:tcPr>
            <w:tcW w:w="6219"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100%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二、部门整体绩效目标</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根据兰州新区上川学区部门《2023年度部门整体支出绩效目标申报表》，总结并梳理出兰州新区上川学区2023年度部门整体支出绩效目标为：</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全面贯彻执行党和国家的各项教育方针、政策。</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以教学为中心，有序开展各项教育教学活动，努力提高教学质量。</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强化师资队伍建设，加强外出培训及校本培训，不断提高师资队伍教学水平。</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努力改善办学条件，进一步优化育人环境。</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评价范围</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兰州新区上川学区2023年度部门全年预算资金</w:t>
            </w:r>
            <w:r>
              <w:rPr>
                <w:rFonts w:hint="eastAsia" w:ascii="宋体" w:hAnsi="宋体" w:eastAsia="宋体" w:cs="宋体"/>
                <w:b w:val="0"/>
                <w:color w:val="000000"/>
                <w:sz w:val="24"/>
                <w:szCs w:val="24"/>
                <w:vertAlign w:val="baseline"/>
                <w:lang w:val="en-US" w:eastAsia="zh-CN"/>
              </w:rPr>
              <w:t>3935.685</w:t>
            </w:r>
            <w:r>
              <w:rPr>
                <w:rFonts w:hint="eastAsia" w:ascii="宋体" w:hAnsi="宋体" w:eastAsia="宋体" w:cs="宋体"/>
                <w:b w:val="0"/>
                <w:bCs w:val="0"/>
                <w:sz w:val="24"/>
                <w:szCs w:val="24"/>
                <w:lang w:val="en-US" w:eastAsia="zh-CN"/>
              </w:rPr>
              <w:t>万元。</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评价依据</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1.《中华人民共和国预算法》；</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2.《中共中央 国务院关于全面实施预算绩效管理的意见》（中发〔2018〕34号）；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3.《财政部关于印发&lt;预算绩效评价共性指标体系框架&gt;的通知》（财预〔2013〕53号）；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4.《财政部关于规范绩效评价结果等级划分标准的通知》（财预便〔2017〕44号）；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5.《甘肃省委 省政府关于全面实施预算绩效管理的实施意见》（甘发〔2018〕32号）；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6.《兰州新区管委会办公室关于印发&lt;兰州新区全面推进预算绩效管理实施细则&gt;的通知》;</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7.《兰州新区上川学区财务管理制度》《上川学区固定资产管理制度》等相关制度文件；</w:t>
            </w:r>
            <w:bookmarkStart w:id="0" w:name="_GoBack"/>
            <w:bookmarkEnd w:id="0"/>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8.部门2023年度预决算公开报表及情况说明；</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9.2023年度预算执行情况绩效目标表、监控表、监控报告、自评表等；</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10.各项支出财务凭证等其他相关资料。</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次绩效评价指标体系设计思路主要是根据兰州新区上川学区的基本职能，围绕部门年度工作计划、绩效目标设定、预算编制、预算执行、履职完成情况及履职效益发挥情况等重要内容，结合绩效评价指标体系的设计原则及设计方法，主要从部门规划、运行成本、管理效率、履职效能、履职效应、可持续发展能力及满意度七个方面评价上川学区2023年度部门整体工作。指标体系的数据源于部门履职各项资料、基础数据表及调查问卷分析情况等资料。</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评价方法</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比较法、因素分析法、公众评判法。</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数据采集及</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处理方法</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按照绩效评价指标体系对部门整体绩效评价资料进行逐一整理，便于后期从评价资料中快速检索所需数据信息；对照评分标准，从已整理资料中提取与对应指标有关的数据信息，统计分析该指标的得分情况和扣分原因。</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工作过程</w:t>
            </w:r>
          </w:p>
        </w:tc>
        <w:tc>
          <w:tcPr>
            <w:tcW w:w="7122" w:type="dxa"/>
            <w:gridSpan w:val="11"/>
            <w:tcBorders>
              <w:tl2br w:val="nil"/>
              <w:tr2bl w:val="nil"/>
            </w:tcBorders>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1.前期准备阶段。</w:t>
            </w:r>
            <w:r>
              <w:rPr>
                <w:rFonts w:hint="eastAsia" w:ascii="宋体" w:hAnsi="宋体" w:eastAsia="宋体" w:cs="宋体"/>
                <w:b w:val="0"/>
                <w:bCs w:val="0"/>
                <w:sz w:val="24"/>
                <w:szCs w:val="24"/>
                <w:lang w:val="en-US" w:eastAsia="zh-CN"/>
              </w:rPr>
              <w:t>评价组根据上川学区实际情况和特点，明确此次评价的重点情况，针对性地设计评价指标体系和资料收集清单；同时通过查阅相关政策制度，了解部门基本情况，分析部门职责和人员规划，确定评价要点。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2.</w:t>
            </w:r>
            <w:r>
              <w:rPr>
                <w:rFonts w:hint="eastAsia" w:ascii="宋体" w:hAnsi="宋体" w:eastAsia="宋体" w:cs="宋体"/>
                <w:b/>
                <w:bCs/>
                <w:sz w:val="24"/>
                <w:szCs w:val="24"/>
                <w:lang w:val="en-US" w:eastAsia="zh-CN"/>
              </w:rPr>
              <w:t>组织实施阶段。</w:t>
            </w:r>
            <w:r>
              <w:rPr>
                <w:rFonts w:hint="eastAsia" w:ascii="宋体" w:hAnsi="宋体" w:eastAsia="宋体" w:cs="宋体"/>
                <w:b w:val="0"/>
                <w:bCs w:val="0"/>
                <w:sz w:val="24"/>
                <w:szCs w:val="24"/>
                <w:lang w:val="en-US" w:eastAsia="zh-CN"/>
              </w:rPr>
              <w:t>根据评价工作安排，评价组于8月21日赴兰州新区上川学区察看部门整体和项目相关资料，向部门负责人了解部门组织架构是否完善、财务及资产管理制度是否健全、执行是否有效、项目实施是否达到目标值、效益发挥是否达到预期目标，并根据资金量和年度工作重点方向抽查项目，重点察看实施情况，主要从资金使用、年度目标完成、效益发挥等方面进行了解，根据资料清单收集并复核绩效评价佐证资料，同时对上川学区工作人员进行问卷调查。</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3.</w:t>
            </w:r>
            <w:r>
              <w:rPr>
                <w:rFonts w:hint="eastAsia" w:ascii="宋体" w:hAnsi="宋体" w:eastAsia="宋体" w:cs="宋体"/>
                <w:b/>
                <w:bCs/>
                <w:sz w:val="24"/>
                <w:szCs w:val="24"/>
                <w:lang w:val="en-US" w:eastAsia="zh-CN"/>
              </w:rPr>
              <w:t>数据分析阶段。</w:t>
            </w:r>
            <w:r>
              <w:rPr>
                <w:rFonts w:hint="eastAsia" w:ascii="宋体" w:hAnsi="宋体" w:eastAsia="宋体" w:cs="宋体"/>
                <w:b w:val="0"/>
                <w:bCs w:val="0"/>
                <w:sz w:val="24"/>
                <w:szCs w:val="24"/>
                <w:lang w:val="en-US" w:eastAsia="zh-CN"/>
              </w:rPr>
              <w:t>通过前期从线上收集的资料，结合实地调研掌握的情况以及问卷调查结果，评价组根据指标体系的对应指标对资料进行分类梳理，利用统计分析的方法，对提供的数据资料进行分析，提取有用的信息，形成分析结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4.</w:t>
            </w:r>
            <w:r>
              <w:rPr>
                <w:rFonts w:hint="eastAsia" w:ascii="宋体" w:hAnsi="宋体" w:eastAsia="宋体" w:cs="宋体"/>
                <w:b/>
                <w:bCs/>
                <w:sz w:val="24"/>
                <w:szCs w:val="24"/>
                <w:lang w:val="en-US" w:eastAsia="zh-CN"/>
              </w:rPr>
              <w:t>撰写报告阶段。</w:t>
            </w:r>
            <w:r>
              <w:rPr>
                <w:rFonts w:hint="eastAsia" w:ascii="宋体" w:hAnsi="宋体" w:eastAsia="宋体" w:cs="宋体"/>
                <w:b w:val="0"/>
                <w:bCs w:val="0"/>
                <w:sz w:val="24"/>
                <w:szCs w:val="24"/>
                <w:lang w:val="en-US" w:eastAsia="zh-CN"/>
              </w:rPr>
              <w:t>评价组根据收集的各项资料和了解的相关情况，按照绩效评价要求和规定的文本格式撰写兰州新区上川学区2023年度部门整体支出绩效评价报告，并在要求的时间范围内提交内容完整、结论明确的报告初稿。</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四、评价结论和绩效分析</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综合评价结论</w:t>
            </w:r>
          </w:p>
        </w:tc>
        <w:tc>
          <w:tcPr>
            <w:tcW w:w="1810"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评价得分</w:t>
            </w:r>
          </w:p>
        </w:tc>
        <w:tc>
          <w:tcPr>
            <w:tcW w:w="2495"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91分</w:t>
            </w:r>
          </w:p>
        </w:tc>
        <w:tc>
          <w:tcPr>
            <w:tcW w:w="2355"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评价等级</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分析</w:t>
            </w: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w:t>
            </w:r>
          </w:p>
        </w:tc>
        <w:tc>
          <w:tcPr>
            <w:tcW w:w="86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部门规划</w:t>
            </w:r>
          </w:p>
        </w:tc>
        <w:tc>
          <w:tcPr>
            <w:tcW w:w="72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运行成本</w:t>
            </w:r>
          </w:p>
        </w:tc>
        <w:tc>
          <w:tcPr>
            <w:tcW w:w="88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管理效率</w:t>
            </w:r>
          </w:p>
        </w:tc>
        <w:tc>
          <w:tcPr>
            <w:tcW w:w="88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履职效能</w:t>
            </w:r>
          </w:p>
        </w:tc>
        <w:tc>
          <w:tcPr>
            <w:tcW w:w="73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履职效应</w:t>
            </w:r>
          </w:p>
        </w:tc>
        <w:tc>
          <w:tcPr>
            <w:tcW w:w="88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可持续发展</w:t>
            </w:r>
          </w:p>
        </w:tc>
        <w:tc>
          <w:tcPr>
            <w:tcW w:w="73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满意度</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合计</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w:t>
            </w:r>
          </w:p>
        </w:tc>
        <w:tc>
          <w:tcPr>
            <w:tcW w:w="86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w:t>
            </w:r>
          </w:p>
        </w:tc>
        <w:tc>
          <w:tcPr>
            <w:tcW w:w="72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w:t>
            </w:r>
          </w:p>
        </w:tc>
        <w:tc>
          <w:tcPr>
            <w:tcW w:w="88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22</w:t>
            </w:r>
          </w:p>
        </w:tc>
        <w:tc>
          <w:tcPr>
            <w:tcW w:w="88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33</w:t>
            </w:r>
          </w:p>
        </w:tc>
        <w:tc>
          <w:tcPr>
            <w:tcW w:w="73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15</w:t>
            </w:r>
          </w:p>
        </w:tc>
        <w:tc>
          <w:tcPr>
            <w:tcW w:w="88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w:t>
            </w:r>
          </w:p>
        </w:tc>
        <w:tc>
          <w:tcPr>
            <w:tcW w:w="73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90.95分</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得分率</w:t>
            </w:r>
          </w:p>
        </w:tc>
        <w:tc>
          <w:tcPr>
            <w:tcW w:w="86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66.67%</w:t>
            </w:r>
          </w:p>
        </w:tc>
        <w:tc>
          <w:tcPr>
            <w:tcW w:w="72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75%</w:t>
            </w:r>
          </w:p>
        </w:tc>
        <w:tc>
          <w:tcPr>
            <w:tcW w:w="88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95.43%</w:t>
            </w:r>
          </w:p>
        </w:tc>
        <w:tc>
          <w:tcPr>
            <w:tcW w:w="88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94.29%</w:t>
            </w:r>
          </w:p>
        </w:tc>
        <w:tc>
          <w:tcPr>
            <w:tcW w:w="73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88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73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80%</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90.95%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五、存在问题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部分履职工作未完成，履职效能仍有提升空间。</w:t>
            </w:r>
            <w:r>
              <w:rPr>
                <w:rFonts w:hint="eastAsia" w:ascii="宋体" w:hAnsi="宋体" w:eastAsia="宋体" w:cs="宋体"/>
                <w:b w:val="0"/>
                <w:bCs w:val="0"/>
                <w:sz w:val="24"/>
                <w:szCs w:val="24"/>
                <w:lang w:val="en-US" w:eastAsia="zh-CN"/>
              </w:rPr>
              <w:t>学校硬件设备老化需及时更新、因学校布局调整合并5所小学，导致部分办公设备采购未完成，年度工作未按计划目标完成，一定程度上影响了部门整体社会化服务水平，履职效能仍有提升空间。</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2.内控管理机制不完善，未按要求执行固定资产清理盘点。</w:t>
            </w:r>
            <w:r>
              <w:rPr>
                <w:rFonts w:hint="eastAsia" w:ascii="宋体" w:hAnsi="宋体" w:eastAsia="宋体" w:cs="宋体"/>
                <w:b w:val="0"/>
                <w:bCs w:val="0"/>
                <w:sz w:val="24"/>
                <w:szCs w:val="24"/>
                <w:lang w:val="en-US" w:eastAsia="zh-CN"/>
              </w:rPr>
              <w:t>根据《上川学区固定资产管理制度》，应实行“固定资产清理盘查制”，采取实物盘点与账务盘点相结合的方法，定期进行清理盘点，做到“账账相符、账实相符”，并按规定编制资产盘存报表，存档备查；需要调配、转让、报废、出售的固定资产，由使用部门提出申请，园区综合办公室批准后，按国有资产处置权限规定，办理处置手续并做账务处理。但经核查相关资料了解，上川学区2023年度并未执行“固定资产清理盘查制”要求，未定期对固定资产进行清理盘点，无资产盘存报表。</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六、相关建议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85"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1.规范项目实施进度管理，进一步提升履职效能。</w:t>
            </w:r>
            <w:r>
              <w:rPr>
                <w:rFonts w:hint="eastAsia" w:ascii="宋体" w:hAnsi="宋体" w:eastAsia="宋体" w:cs="宋体"/>
                <w:b w:val="0"/>
                <w:bCs w:val="0"/>
                <w:sz w:val="24"/>
                <w:szCs w:val="24"/>
                <w:lang w:val="en-US" w:eastAsia="zh-CN"/>
              </w:rPr>
              <w:t>建议上川学区合理制定项目前期计划和目标，建立有效的项目监督管理机制，建立“立、督、查、评、考”全链条督办工作体系，确保各项工作任务和目标顺利完成。具体包括聚焦部门职能、部门规划和年度重点工作任务、预算安排，提炼出明确可考核的部门整体和项目绩效目标、指标，强化预算与绩效管理一体化，从而有效提升部门履职效能。因特殊原因确实无法按计划完成的工作需及时作出调整，确保部门履职工作效应的有效发挥。</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2.完善内控管理机制，确保资产管理规范有序。</w:t>
            </w:r>
            <w:r>
              <w:rPr>
                <w:rFonts w:hint="eastAsia" w:ascii="宋体" w:hAnsi="宋体" w:eastAsia="宋体" w:cs="宋体"/>
                <w:b w:val="0"/>
                <w:bCs w:val="0"/>
                <w:sz w:val="24"/>
                <w:szCs w:val="24"/>
                <w:lang w:val="en-US" w:eastAsia="zh-CN"/>
              </w:rPr>
              <w:t>建议上川学区完善内控管理机制，一是建立健全内控管理机制，理顺、优化管理流程，提升部门整体管控水平；二是强化制度执行，严格按照《上川学区固定资产管理制度》等相关法律法规，加大对固定资产的管理，不断加强制度建设、规范开展固定资产清理盘查工作，提高固定资产管理效率。</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3.贯彻全面实施预算绩效管理政策，严格做好各项绩效管理工作。</w:t>
            </w:r>
            <w:r>
              <w:rPr>
                <w:rFonts w:hint="eastAsia" w:ascii="宋体" w:hAnsi="宋体" w:eastAsia="宋体" w:cs="宋体"/>
                <w:b w:val="0"/>
                <w:bCs w:val="0"/>
                <w:sz w:val="24"/>
                <w:szCs w:val="24"/>
                <w:lang w:val="en-US" w:eastAsia="zh-CN"/>
              </w:rPr>
              <w:t>建议上川学区严格按照“谁支出、谁负责”的原则，完善全面预算绩效管理，单位财务部门是本单位预算绩效管理的牵头部门，是本单位预算绩效管理的具体实施部门，承担编报绩效目标、实施绩效跟踪、开展绩效评价等预算绩效管理职责，确保各项要求落到实处，建立健全本单位预算绩效管理工作机制，确保各部门年初设置明确绩效目标，并对绩效目标实现程度和预算执行进度实行“双监控”，以便发现问题、分析原因并及时纠正；同时有效实现项目绩效自评全覆盖，如实反映绩效目标实现结果，对绩效目标未达成或目标制定明显不合理的，及时作出说明并提出改进措施，提高部门履职效能和公共服务供给质量。</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无</w:t>
            </w:r>
          </w:p>
        </w:tc>
      </w:tr>
    </w:tbl>
    <w:p>
      <w:pPr>
        <w:bidi w:val="0"/>
      </w:pP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7008AC8-A4AF-4696-92F6-E28FD635C69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BA4D4A5A-D991-46F2-A422-5AEDC8902D5C}"/>
  </w:font>
  <w:font w:name="华文中宋">
    <w:altName w:val="宋体"/>
    <w:panose1 w:val="02010600040101010101"/>
    <w:charset w:val="86"/>
    <w:family w:val="auto"/>
    <w:pitch w:val="default"/>
    <w:sig w:usb0="00000000" w:usb1="00000000" w:usb2="00000000" w:usb3="00000000" w:csb0="0004009F" w:csb1="DFD70000"/>
    <w:embedRegular r:id="rId3" w:fontKey="{6D890589-B948-4DD5-9819-005B0A67F02A}"/>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089789"/>
    <w:multiLevelType w:val="singleLevel"/>
    <w:tmpl w:val="19089789"/>
    <w:lvl w:ilvl="0" w:tentative="0">
      <w:start w:val="1"/>
      <w:numFmt w:val="decimal"/>
      <w:lvlText w:val="%1."/>
      <w:lvlJc w:val="left"/>
      <w:pPr>
        <w:tabs>
          <w:tab w:val="left" w:pos="312"/>
        </w:tabs>
      </w:pPr>
    </w:lvl>
  </w:abstractNum>
  <w:abstractNum w:abstractNumId="1">
    <w:nsid w:val="7A3E81B0"/>
    <w:multiLevelType w:val="singleLevel"/>
    <w:tmpl w:val="7A3E81B0"/>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jNmQxNWIxMTFiYTkwNGIzODgzMTBiMmMwYmJjZDcifQ=="/>
    <w:docVar w:name="KSO_WPS_MARK_KEY" w:val="94d644e7-6465-40b7-908e-7821ca20fdc8"/>
  </w:docVars>
  <w:rsids>
    <w:rsidRoot w:val="50362AE6"/>
    <w:rsid w:val="00D76A86"/>
    <w:rsid w:val="01D874CD"/>
    <w:rsid w:val="036E0F6F"/>
    <w:rsid w:val="03973FA9"/>
    <w:rsid w:val="06EB3426"/>
    <w:rsid w:val="07C81D7B"/>
    <w:rsid w:val="0A2A723E"/>
    <w:rsid w:val="0A3F5E74"/>
    <w:rsid w:val="112F6356"/>
    <w:rsid w:val="13750B42"/>
    <w:rsid w:val="1BC01759"/>
    <w:rsid w:val="1BD82927"/>
    <w:rsid w:val="1C7D48CD"/>
    <w:rsid w:val="1D01233B"/>
    <w:rsid w:val="1E4A5D6E"/>
    <w:rsid w:val="20176124"/>
    <w:rsid w:val="24D55C78"/>
    <w:rsid w:val="266B6E4E"/>
    <w:rsid w:val="26BE4453"/>
    <w:rsid w:val="272D2898"/>
    <w:rsid w:val="27F03E2A"/>
    <w:rsid w:val="28EA6A6E"/>
    <w:rsid w:val="28EF2E48"/>
    <w:rsid w:val="2A805ED8"/>
    <w:rsid w:val="2CB76567"/>
    <w:rsid w:val="3246394F"/>
    <w:rsid w:val="32A76310"/>
    <w:rsid w:val="332736B7"/>
    <w:rsid w:val="399649CA"/>
    <w:rsid w:val="39D03040"/>
    <w:rsid w:val="41055F0D"/>
    <w:rsid w:val="417C1E8F"/>
    <w:rsid w:val="48054931"/>
    <w:rsid w:val="485D55BF"/>
    <w:rsid w:val="4BA61945"/>
    <w:rsid w:val="50362AE6"/>
    <w:rsid w:val="50447C2B"/>
    <w:rsid w:val="52555572"/>
    <w:rsid w:val="52982227"/>
    <w:rsid w:val="533D715B"/>
    <w:rsid w:val="54C310C9"/>
    <w:rsid w:val="54E92EBD"/>
    <w:rsid w:val="55F56D34"/>
    <w:rsid w:val="573F7050"/>
    <w:rsid w:val="5915699E"/>
    <w:rsid w:val="5C641B24"/>
    <w:rsid w:val="5D2126DB"/>
    <w:rsid w:val="5F851FA3"/>
    <w:rsid w:val="5FEE39B7"/>
    <w:rsid w:val="619736C1"/>
    <w:rsid w:val="62564F40"/>
    <w:rsid w:val="65CD64C7"/>
    <w:rsid w:val="680C3C00"/>
    <w:rsid w:val="6FF269CE"/>
    <w:rsid w:val="70721B59"/>
    <w:rsid w:val="726448F9"/>
    <w:rsid w:val="74030452"/>
    <w:rsid w:val="76EF360E"/>
    <w:rsid w:val="775D21EC"/>
    <w:rsid w:val="77B04009"/>
    <w:rsid w:val="77B82F42"/>
    <w:rsid w:val="781E54A5"/>
    <w:rsid w:val="7AE07C8F"/>
    <w:rsid w:val="7D182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3">
    <w:name w:val="heading 1"/>
    <w:basedOn w:val="1"/>
    <w:next w:val="1"/>
    <w:link w:val="12"/>
    <w:qFormat/>
    <w:uiPriority w:val="0"/>
    <w:pPr>
      <w:keepNext/>
      <w:keepLines/>
      <w:spacing w:line="360" w:lineRule="auto"/>
      <w:ind w:firstLine="480" w:firstLineChars="200"/>
      <w:jc w:val="both"/>
      <w:outlineLvl w:val="0"/>
    </w:pPr>
    <w:rPr>
      <w:rFonts w:ascii="黑体" w:hAnsi="黑体" w:eastAsia="黑体" w:cs="黑体"/>
      <w:kern w:val="44"/>
      <w:szCs w:val="32"/>
    </w:rPr>
  </w:style>
  <w:style w:type="paragraph" w:styleId="4">
    <w:name w:val="heading 2"/>
    <w:basedOn w:val="1"/>
    <w:next w:val="1"/>
    <w:semiHidden/>
    <w:unhideWhenUsed/>
    <w:qFormat/>
    <w:uiPriority w:val="0"/>
    <w:pPr>
      <w:topLinePunct/>
      <w:spacing w:before="0" w:beforeAutospacing="0" w:after="0" w:afterAutospacing="0"/>
      <w:jc w:val="left"/>
      <w:outlineLvl w:val="1"/>
    </w:pPr>
    <w:rPr>
      <w:rFonts w:hint="eastAsia" w:ascii="楷体" w:hAnsi="楷体" w:eastAsia="楷体" w:cs="楷体"/>
      <w:b/>
      <w:bCs/>
      <w:kern w:val="0"/>
      <w:lang w:bidi="ar"/>
    </w:rPr>
  </w:style>
  <w:style w:type="paragraph" w:styleId="5">
    <w:name w:val="heading 3"/>
    <w:basedOn w:val="1"/>
    <w:next w:val="1"/>
    <w:semiHidden/>
    <w:unhideWhenUsed/>
    <w:qFormat/>
    <w:uiPriority w:val="0"/>
    <w:pPr>
      <w:keepNext/>
      <w:keepLines/>
      <w:spacing w:beforeLines="0" w:beforeAutospacing="0" w:afterLines="0" w:afterAutospacing="0" w:line="360" w:lineRule="auto"/>
      <w:outlineLvl w:val="2"/>
    </w:pPr>
    <w:rPr>
      <w:b/>
    </w:rPr>
  </w:style>
  <w:style w:type="paragraph" w:styleId="2">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index 1"/>
    <w:basedOn w:val="1"/>
    <w:next w:val="1"/>
    <w:qFormat/>
    <w:uiPriority w:val="0"/>
  </w:style>
  <w:style w:type="table" w:styleId="10">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1 Char"/>
    <w:link w:val="3"/>
    <w:qFormat/>
    <w:uiPriority w:val="0"/>
    <w:rPr>
      <w:rFonts w:ascii="黑体" w:hAnsi="黑体" w:eastAsia="黑体" w:cs="黑体"/>
      <w:kern w:val="44"/>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2866</Words>
  <Characters>3025</Characters>
  <Lines>0</Lines>
  <Paragraphs>0</Paragraphs>
  <TotalTime>17</TotalTime>
  <ScaleCrop>false</ScaleCrop>
  <LinksUpToDate>false</LinksUpToDate>
  <CharactersWithSpaces>3027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2023-10-27T06:19:00Z</dcterms:created>
  <dc:creator>阁下。</dc:creator>
  <cp:lastModifiedBy>戒不掉的烟</cp:lastModifiedBy>
  <dcterms:modified xsi:type="dcterms:W3CDTF">2024-09-23T03:09:41Z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957531D816D84DE98858295C50E97B6C_11</vt:lpwstr>
  </property>
</Properties>
</file>