
<file path=[Content_Types].xml><?xml version="1.0" encoding="utf-8"?>
<Types xmlns="http://schemas.openxmlformats.org/package/2006/content-types">
  <Default Extension="xml" ContentType="application/xml"/>
  <Default Extension="wmf" ContentType="image/x-w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312" w:afterLines="100"/>
        <w:jc w:val="center"/>
        <w:rPr>
          <w:rFonts w:ascii="方正大标宋简体" w:eastAsia="方正大标宋简体"/>
          <w:color w:val="FF0000"/>
          <w:w w:val="80"/>
          <w:sz w:val="110"/>
          <w:szCs w:val="110"/>
        </w:rPr>
      </w:pPr>
      <w:r>
        <w:rPr>
          <w:rFonts w:hint="eastAsia" w:ascii="仿宋" w:hAnsi="仿宋" w:eastAsia="仿宋"/>
          <w:color w:val="000000" w:themeColor="text1"/>
          <w:sz w:val="110"/>
          <w:szCs w:val="110"/>
          <w14:textFill>
            <w14:solidFill>
              <w14:schemeClr w14:val="tx1"/>
            </w14:solidFill>
          </w14:textFill>
        </w:rPr>
        <mc:AlternateContent>
          <mc:Choice Requires="wps">
            <w:drawing>
              <wp:anchor distT="0" distB="0" distL="114300" distR="114300" simplePos="0" relativeHeight="251659264" behindDoc="0" locked="0" layoutInCell="1" allowOverlap="1">
                <wp:simplePos x="0" y="0"/>
                <wp:positionH relativeFrom="column">
                  <wp:posOffset>-247650</wp:posOffset>
                </wp:positionH>
                <wp:positionV relativeFrom="paragraph">
                  <wp:posOffset>1278255</wp:posOffset>
                </wp:positionV>
                <wp:extent cx="5762625" cy="0"/>
                <wp:effectExtent l="0" t="19050" r="9525" b="38100"/>
                <wp:wrapNone/>
                <wp:docPr id="1" name="直接连接符 1"/>
                <wp:cNvGraphicFramePr/>
                <a:graphic xmlns:a="http://schemas.openxmlformats.org/drawingml/2006/main">
                  <a:graphicData uri="http://schemas.microsoft.com/office/word/2010/wordprocessingShape">
                    <wps:wsp>
                      <wps:cNvCnPr/>
                      <wps:spPr>
                        <a:xfrm>
                          <a:off x="0" y="0"/>
                          <a:ext cx="5762625" cy="0"/>
                        </a:xfrm>
                        <a:prstGeom prst="line">
                          <a:avLst/>
                        </a:prstGeom>
                        <a:ln w="50800" cmpd="thickThin">
                          <a:solidFill>
                            <a:srgbClr val="FF0000"/>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19.5pt;margin-top:100.65pt;height:0pt;width:453.75pt;z-index:251659264;mso-width-relative:page;mso-height-relative:page;" filled="f" stroked="t" coordsize="21600,21600" o:gfxdata="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nbXbkNwAAAAL&#10;AQAADwAAAAAAAAABACAAAAAiAAAAZHJzL2Rvd25yZXYueG1sUEsBAhQAFAAAAAgAh07iQFjPAabf&#10;AQAAoQMAAA4AAAAAAAAAAQAgAAAAKwEAAGRycy9lMm9Eb2MueG1sUEsFBgAAAAAGAAYAWQEAAHwF&#10;AAAAAA==&#10;">
                <v:fill on="f" focussize="0,0"/>
                <v:stroke weight="4pt" color="#FF0000 [3204]" linestyle="thickThin" joinstyle="round"/>
                <v:imagedata o:title=""/>
                <o:lock v:ext="edit" aspectratio="f"/>
              </v:line>
            </w:pict>
          </mc:Fallback>
        </mc:AlternateContent>
      </w:r>
      <w:r>
        <w:rPr>
          <w:rFonts w:hint="eastAsia" w:ascii="方正大标宋简体" w:eastAsia="方正大标宋简体"/>
          <w:color w:val="FF0000"/>
          <w:w w:val="80"/>
          <w:sz w:val="110"/>
          <w:szCs w:val="110"/>
        </w:rPr>
        <w:t>兰州新区高级中学</w:t>
      </w:r>
    </w:p>
    <w:p>
      <w:pPr>
        <w:spacing w:line="600" w:lineRule="exact"/>
        <w:jc w:val="center"/>
        <w:rPr>
          <w:rFonts w:ascii="方正大标宋简体" w:hAnsi="方正大标宋简体" w:eastAsia="方正大标宋简体" w:cs="方正大标宋简体"/>
          <w:sz w:val="44"/>
          <w:szCs w:val="44"/>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大标宋简体" w:hAnsi="方正大标宋简体" w:eastAsia="方正大标宋简体" w:cs="方正大标宋简体"/>
          <w:sz w:val="44"/>
          <w:szCs w:val="44"/>
          <w:lang w:eastAsia="zh-CN"/>
        </w:rPr>
      </w:pPr>
      <w:r>
        <w:rPr>
          <w:rFonts w:hint="eastAsia" w:ascii="方正大标宋简体" w:hAnsi="方正大标宋简体" w:eastAsia="方正大标宋简体" w:cs="方正大标宋简体"/>
          <w:sz w:val="44"/>
          <w:szCs w:val="44"/>
          <w:lang w:eastAsia="zh-CN"/>
        </w:rPr>
        <w:t>兰州新区高级中学</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大标宋简体" w:hAnsi="方正大标宋简体" w:eastAsia="方正大标宋简体" w:cs="方正大标宋简体"/>
          <w:sz w:val="44"/>
          <w:szCs w:val="44"/>
        </w:rPr>
      </w:pPr>
      <w:r>
        <w:rPr>
          <w:rFonts w:hint="eastAsia" w:ascii="方正大标宋简体" w:hAnsi="方正大标宋简体" w:eastAsia="方正大标宋简体" w:cs="方正大标宋简体"/>
          <w:sz w:val="44"/>
          <w:szCs w:val="44"/>
          <w:lang w:val="en-US" w:eastAsia="zh-CN"/>
        </w:rPr>
        <w:t>2023年绩效自评工作总结</w:t>
      </w:r>
      <w:r>
        <w:rPr>
          <w:rFonts w:hint="eastAsia" w:ascii="方正大标宋简体" w:hAnsi="方正大标宋简体" w:eastAsia="方正大标宋简体" w:cs="方正大标宋简体"/>
          <w:sz w:val="44"/>
          <w:szCs w:val="44"/>
        </w:rPr>
        <w:t>报告</w:t>
      </w:r>
    </w:p>
    <w:p>
      <w:pPr>
        <w:spacing w:before="154" w:line="312" w:lineRule="exact"/>
        <w:ind w:left="446"/>
        <w:rPr>
          <w:rFonts w:ascii="黑体" w:hAnsi="黑体" w:eastAsia="黑体" w:cs="黑体"/>
          <w:spacing w:val="-2"/>
          <w:position w:val="7"/>
          <w:sz w:val="32"/>
          <w:szCs w:val="32"/>
        </w:rPr>
      </w:pPr>
    </w:p>
    <w:p>
      <w:pPr>
        <w:keepNext w:val="0"/>
        <w:keepLines w:val="0"/>
        <w:pageBreakBefore w:val="0"/>
        <w:widowControl/>
        <w:numPr>
          <w:numId w:val="0"/>
        </w:numPr>
        <w:kinsoku w:val="0"/>
        <w:wordWrap/>
        <w:overflowPunct/>
        <w:topLinePunct w:val="0"/>
        <w:autoSpaceDE w:val="0"/>
        <w:autoSpaceDN w:val="0"/>
        <w:bidi w:val="0"/>
        <w:adjustRightInd w:val="0"/>
        <w:snapToGrid/>
        <w:spacing w:line="560" w:lineRule="exact"/>
        <w:ind w:left="0" w:leftChars="0" w:right="0" w:rightChars="0" w:firstLine="632" w:firstLineChars="200"/>
        <w:jc w:val="both"/>
        <w:textAlignment w:val="baseline"/>
        <w:rPr>
          <w:rFonts w:hint="eastAsia" w:ascii="黑体" w:hAnsi="黑体" w:eastAsia="黑体" w:cs="黑体"/>
          <w:spacing w:val="-2"/>
          <w:sz w:val="32"/>
          <w:szCs w:val="32"/>
          <w:lang w:val="en-US" w:eastAsia="zh-CN"/>
        </w:rPr>
      </w:pPr>
      <w:r>
        <w:rPr>
          <w:rFonts w:hint="eastAsia" w:ascii="黑体" w:hAnsi="黑体" w:eastAsia="黑体" w:cs="黑体"/>
          <w:spacing w:val="-2"/>
          <w:sz w:val="32"/>
          <w:szCs w:val="32"/>
          <w:lang w:val="en-US" w:eastAsia="zh-CN"/>
        </w:rPr>
        <w:t>一、部门基本情况</w:t>
      </w:r>
    </w:p>
    <w:p>
      <w:pPr>
        <w:keepNext w:val="0"/>
        <w:keepLines w:val="0"/>
        <w:pageBreakBefore w:val="0"/>
        <w:widowControl/>
        <w:kinsoku w:val="0"/>
        <w:wordWrap/>
        <w:overflowPunct/>
        <w:topLinePunct w:val="0"/>
        <w:autoSpaceDE w:val="0"/>
        <w:autoSpaceDN w:val="0"/>
        <w:bidi w:val="0"/>
        <w:adjustRightInd w:val="0"/>
        <w:snapToGrid/>
        <w:spacing w:line="560" w:lineRule="exact"/>
        <w:ind w:left="0" w:leftChars="0" w:right="0" w:firstLine="657"/>
        <w:jc w:val="both"/>
        <w:textAlignment w:val="baseline"/>
        <w:rPr>
          <w:rFonts w:hint="eastAsia" w:ascii="仿宋" w:hAnsi="仿宋" w:eastAsia="仿宋" w:cs="仿宋"/>
          <w:spacing w:val="1"/>
          <w:sz w:val="32"/>
          <w:szCs w:val="32"/>
          <w:lang w:val="en-US" w:eastAsia="zh-CN"/>
        </w:rPr>
      </w:pPr>
      <w:r>
        <w:rPr>
          <w:rFonts w:hint="eastAsia" w:ascii="仿宋" w:hAnsi="仿宋" w:eastAsia="仿宋" w:cs="仿宋"/>
          <w:spacing w:val="1"/>
          <w:sz w:val="32"/>
          <w:szCs w:val="32"/>
          <w:lang w:val="en-US" w:eastAsia="zh-CN"/>
        </w:rPr>
        <w:t>兰州新区高级中学直属于兰州新区教育体育局（教育考试院），为财政全额拨款事业单位。本单位机构数设置数为1个，内设职能科室5个：办公室、教务处、后勤处、政教处、安全办公室。兰州新区高级中学2023年年末实有在职人数175人（其中在编162人，</w:t>
      </w:r>
      <w:bookmarkStart w:id="0" w:name="_GoBack"/>
      <w:bookmarkEnd w:id="0"/>
      <w:r>
        <w:rPr>
          <w:rFonts w:hint="eastAsia" w:ascii="仿宋" w:hAnsi="仿宋" w:eastAsia="仿宋" w:cs="仿宋"/>
          <w:spacing w:val="1"/>
          <w:sz w:val="32"/>
          <w:szCs w:val="32"/>
          <w:lang w:val="en-US" w:eastAsia="zh-CN"/>
        </w:rPr>
        <w:t>聘用13人），遗属2人，退休教师28人。</w:t>
      </w:r>
    </w:p>
    <w:p>
      <w:pPr>
        <w:keepNext w:val="0"/>
        <w:keepLines w:val="0"/>
        <w:pageBreakBefore w:val="0"/>
        <w:widowControl/>
        <w:kinsoku w:val="0"/>
        <w:wordWrap/>
        <w:overflowPunct/>
        <w:topLinePunct w:val="0"/>
        <w:autoSpaceDE w:val="0"/>
        <w:autoSpaceDN w:val="0"/>
        <w:bidi w:val="0"/>
        <w:adjustRightInd w:val="0"/>
        <w:snapToGrid/>
        <w:spacing w:line="560" w:lineRule="exact"/>
        <w:ind w:left="0" w:leftChars="0" w:right="0" w:firstLine="733"/>
        <w:jc w:val="both"/>
        <w:textAlignment w:val="baseline"/>
        <w:rPr>
          <w:rFonts w:ascii="黑体" w:hAnsi="黑体" w:eastAsia="黑体" w:cs="黑体"/>
          <w:sz w:val="32"/>
          <w:szCs w:val="32"/>
        </w:rPr>
      </w:pPr>
      <w:r>
        <w:rPr>
          <w:rFonts w:hint="eastAsia" w:ascii="黑体" w:hAnsi="黑体" w:eastAsia="黑体" w:cs="黑体"/>
          <w:spacing w:val="-2"/>
          <w:sz w:val="32"/>
          <w:szCs w:val="32"/>
          <w:lang w:val="en-US" w:eastAsia="zh-CN"/>
        </w:rPr>
        <w:t>二</w:t>
      </w:r>
      <w:r>
        <w:rPr>
          <w:rFonts w:ascii="黑体" w:hAnsi="黑体" w:eastAsia="黑体" w:cs="黑体"/>
          <w:spacing w:val="-2"/>
          <w:sz w:val="32"/>
          <w:szCs w:val="32"/>
        </w:rPr>
        <w:t>、</w:t>
      </w:r>
      <w:r>
        <w:rPr>
          <w:rFonts w:hint="eastAsia" w:ascii="黑体" w:hAnsi="黑体" w:eastAsia="黑体" w:cs="黑体"/>
          <w:spacing w:val="-2"/>
          <w:sz w:val="32"/>
          <w:szCs w:val="32"/>
          <w:lang w:val="en-US" w:eastAsia="zh-CN"/>
        </w:rPr>
        <w:t>绩效</w:t>
      </w:r>
      <w:r>
        <w:rPr>
          <w:rFonts w:ascii="黑体" w:hAnsi="黑体" w:eastAsia="黑体" w:cs="黑体"/>
          <w:spacing w:val="-2"/>
          <w:sz w:val="32"/>
          <w:szCs w:val="32"/>
        </w:rPr>
        <w:t>自评工作开展情况</w:t>
      </w:r>
    </w:p>
    <w:p>
      <w:pPr>
        <w:keepNext w:val="0"/>
        <w:keepLines w:val="0"/>
        <w:pageBreakBefore w:val="0"/>
        <w:widowControl/>
        <w:kinsoku w:val="0"/>
        <w:wordWrap/>
        <w:overflowPunct/>
        <w:topLinePunct w:val="0"/>
        <w:autoSpaceDE w:val="0"/>
        <w:autoSpaceDN w:val="0"/>
        <w:bidi w:val="0"/>
        <w:adjustRightInd w:val="0"/>
        <w:snapToGrid/>
        <w:spacing w:line="560" w:lineRule="exact"/>
        <w:ind w:left="0" w:leftChars="0" w:right="0" w:firstLine="657"/>
        <w:jc w:val="both"/>
        <w:textAlignment w:val="baseline"/>
        <w:rPr>
          <w:rFonts w:hint="eastAsia" w:ascii="仿宋" w:hAnsi="仿宋" w:eastAsia="仿宋" w:cs="仿宋"/>
          <w:sz w:val="32"/>
          <w:szCs w:val="32"/>
        </w:rPr>
      </w:pPr>
      <w:r>
        <w:rPr>
          <w:rFonts w:hint="eastAsia" w:ascii="仿宋" w:hAnsi="仿宋" w:eastAsia="仿宋" w:cs="仿宋"/>
          <w:spacing w:val="1"/>
          <w:sz w:val="32"/>
          <w:szCs w:val="32"/>
          <w:lang w:val="en-US" w:eastAsia="zh-CN"/>
        </w:rPr>
        <w:t>我校2023年绩效自评包括整体支出绩效自评和两个项目支出绩效自评。2023年整体支出年初预算数为4410.08万元，其中基本支出4134.98万元，项目支出275.1万元；全年预算数4918.48万元，其中基本支出4143.38万元，项目支出775.1万元；实际支出数4152.25万元，其中基本支出3677.15万元，项目支出475.1万元。项目支出绩效自评包括①兰州新区高级中学2023年度公用经费项目，年初预算数275.1万元，全年预算数275.1万元，全年执行数275.1万元；执行率为100%。②2023改善普通高中办学条件项目，年初预算数500万元，全年预算数500万元，全年执行数200万元，执行率为40%。在这一年里，我校绩效自评工作设定了明确的目标，这些目标主要围绕提高教育教学质量、加强学生综合素质培养、优化管理流程和提高学生家长满意度等方面展开。通过制定具体、可衡量的指标，确保了自评工作有方向、有重点。</w:t>
      </w:r>
    </w:p>
    <w:p>
      <w:pPr>
        <w:keepNext w:val="0"/>
        <w:keepLines w:val="0"/>
        <w:pageBreakBefore w:val="0"/>
        <w:widowControl/>
        <w:kinsoku w:val="0"/>
        <w:wordWrap/>
        <w:overflowPunct/>
        <w:topLinePunct w:val="0"/>
        <w:autoSpaceDE w:val="0"/>
        <w:autoSpaceDN w:val="0"/>
        <w:bidi w:val="0"/>
        <w:adjustRightInd w:val="0"/>
        <w:snapToGrid/>
        <w:spacing w:line="560" w:lineRule="exact"/>
        <w:ind w:left="0" w:leftChars="0" w:right="0" w:firstLine="733"/>
        <w:jc w:val="both"/>
        <w:textAlignment w:val="baseline"/>
        <w:rPr>
          <w:rFonts w:ascii="黑体" w:hAnsi="黑体" w:eastAsia="黑体" w:cs="黑体"/>
          <w:sz w:val="32"/>
          <w:szCs w:val="32"/>
        </w:rPr>
      </w:pPr>
      <w:r>
        <w:rPr>
          <w:rFonts w:hint="eastAsia" w:ascii="黑体" w:hAnsi="黑体" w:eastAsia="黑体" w:cs="黑体"/>
          <w:spacing w:val="-3"/>
          <w:sz w:val="32"/>
          <w:szCs w:val="32"/>
          <w:lang w:val="en-US" w:eastAsia="zh-CN"/>
        </w:rPr>
        <w:t>三</w:t>
      </w:r>
      <w:r>
        <w:rPr>
          <w:rFonts w:ascii="黑体" w:hAnsi="黑体" w:eastAsia="黑体" w:cs="黑体"/>
          <w:spacing w:val="-3"/>
          <w:sz w:val="32"/>
          <w:szCs w:val="32"/>
        </w:rPr>
        <w:t>、自评结果概述</w:t>
      </w:r>
    </w:p>
    <w:p>
      <w:pPr>
        <w:keepNext w:val="0"/>
        <w:keepLines w:val="0"/>
        <w:pageBreakBefore w:val="0"/>
        <w:widowControl/>
        <w:kinsoku w:val="0"/>
        <w:wordWrap/>
        <w:overflowPunct/>
        <w:topLinePunct w:val="0"/>
        <w:autoSpaceDE w:val="0"/>
        <w:autoSpaceDN w:val="0"/>
        <w:bidi w:val="0"/>
        <w:adjustRightInd w:val="0"/>
        <w:snapToGrid/>
        <w:spacing w:line="560" w:lineRule="exact"/>
        <w:ind w:left="0" w:leftChars="0" w:right="0" w:firstLine="659"/>
        <w:jc w:val="both"/>
        <w:textAlignment w:val="baseline"/>
        <w:rPr>
          <w:rFonts w:hint="eastAsia" w:ascii="仿宋" w:hAnsi="仿宋" w:eastAsia="仿宋" w:cs="仿宋"/>
          <w:spacing w:val="4"/>
          <w:sz w:val="32"/>
          <w:szCs w:val="32"/>
          <w:lang w:val="en-US" w:eastAsia="zh-CN"/>
        </w:rPr>
      </w:pPr>
      <w:r>
        <w:rPr>
          <w:rFonts w:hint="eastAsia" w:ascii="仿宋" w:hAnsi="仿宋" w:eastAsia="仿宋" w:cs="仿宋"/>
          <w:spacing w:val="4"/>
          <w:sz w:val="32"/>
          <w:szCs w:val="32"/>
          <w:lang w:val="en-US" w:eastAsia="zh-CN"/>
        </w:rPr>
        <w:t>经过对整体支出和项目支出进行自评，自评结果如下：</w:t>
      </w:r>
    </w:p>
    <w:p>
      <w:pPr>
        <w:keepNext w:val="0"/>
        <w:keepLines w:val="0"/>
        <w:pageBreakBefore w:val="0"/>
        <w:widowControl/>
        <w:numPr>
          <w:ilvl w:val="0"/>
          <w:numId w:val="0"/>
        </w:numPr>
        <w:kinsoku w:val="0"/>
        <w:wordWrap/>
        <w:overflowPunct/>
        <w:topLinePunct w:val="0"/>
        <w:autoSpaceDE w:val="0"/>
        <w:autoSpaceDN w:val="0"/>
        <w:bidi w:val="0"/>
        <w:adjustRightInd w:val="0"/>
        <w:snapToGrid/>
        <w:spacing w:line="560" w:lineRule="exact"/>
        <w:ind w:left="0" w:leftChars="0" w:right="0" w:rightChars="0" w:firstLine="644" w:firstLineChars="200"/>
        <w:jc w:val="both"/>
        <w:textAlignment w:val="baseline"/>
        <w:rPr>
          <w:rFonts w:hint="eastAsia" w:ascii="仿宋" w:hAnsi="仿宋" w:eastAsia="仿宋" w:cs="仿宋"/>
          <w:spacing w:val="4"/>
          <w:sz w:val="32"/>
          <w:szCs w:val="32"/>
          <w:lang w:val="en-US" w:eastAsia="zh-CN"/>
        </w:rPr>
      </w:pPr>
      <w:r>
        <w:rPr>
          <w:rFonts w:hint="eastAsia" w:ascii="仿宋" w:hAnsi="仿宋" w:eastAsia="仿宋" w:cs="仿宋"/>
          <w:spacing w:val="1"/>
          <w:sz w:val="32"/>
          <w:szCs w:val="32"/>
          <w:lang w:val="en-US" w:eastAsia="zh-CN"/>
        </w:rPr>
        <w:t>1.整体支出执行率为84%，整体支出绩效自评得分为90.4分。整体支出完成良好，财政资金拨付及时，</w:t>
      </w:r>
      <w:r>
        <w:rPr>
          <w:rFonts w:hint="eastAsia" w:ascii="仿宋" w:hAnsi="仿宋" w:eastAsia="仿宋" w:cs="仿宋"/>
          <w:spacing w:val="4"/>
          <w:sz w:val="32"/>
          <w:szCs w:val="32"/>
          <w:lang w:val="en-US" w:eastAsia="zh-CN"/>
        </w:rPr>
        <w:t>在保障教育教学活动正常开展、学生心理以及安全管理、教师队伍发展等方面取得了一定成效，例如学生综合素质得到了提高，教师教学热情得到了激发，学校管理更加规范化等。但在财务管理、资产管理、重点工作管理方面还存在一些例如管理制度、资产入账不及时等问题。</w:t>
      </w:r>
    </w:p>
    <w:p>
      <w:pPr>
        <w:keepNext w:val="0"/>
        <w:keepLines w:val="0"/>
        <w:pageBreakBefore w:val="0"/>
        <w:widowControl/>
        <w:numPr>
          <w:ilvl w:val="0"/>
          <w:numId w:val="0"/>
        </w:numPr>
        <w:kinsoku w:val="0"/>
        <w:wordWrap/>
        <w:overflowPunct/>
        <w:topLinePunct w:val="0"/>
        <w:autoSpaceDE w:val="0"/>
        <w:autoSpaceDN w:val="0"/>
        <w:bidi w:val="0"/>
        <w:adjustRightInd w:val="0"/>
        <w:snapToGrid/>
        <w:spacing w:line="560" w:lineRule="exact"/>
        <w:ind w:left="0" w:leftChars="0" w:right="0" w:rightChars="0" w:firstLine="644" w:firstLineChars="200"/>
        <w:jc w:val="both"/>
        <w:textAlignment w:val="baseline"/>
        <w:rPr>
          <w:rFonts w:hint="default" w:ascii="仿宋" w:hAnsi="仿宋" w:eastAsia="仿宋" w:cs="仿宋"/>
          <w:spacing w:val="4"/>
          <w:sz w:val="32"/>
          <w:szCs w:val="32"/>
          <w:lang w:val="en-US" w:eastAsia="zh-CN"/>
        </w:rPr>
      </w:pPr>
      <w:r>
        <w:rPr>
          <w:rFonts w:hint="eastAsia" w:ascii="仿宋" w:hAnsi="仿宋" w:eastAsia="仿宋" w:cs="仿宋"/>
          <w:spacing w:val="1"/>
          <w:sz w:val="32"/>
          <w:szCs w:val="32"/>
          <w:lang w:val="en-US" w:eastAsia="zh-CN"/>
        </w:rPr>
        <w:t>2.公用经费项目支出执行率为100%，绩效自评得分为94分。公用经费项目支出完成良好，财政补贴资金拨付及时，</w:t>
      </w:r>
      <w:r>
        <w:rPr>
          <w:rFonts w:hint="eastAsia" w:ascii="仿宋" w:hAnsi="仿宋" w:eastAsia="仿宋" w:cs="仿宋"/>
          <w:spacing w:val="4"/>
          <w:sz w:val="32"/>
          <w:szCs w:val="32"/>
          <w:lang w:val="en-US" w:eastAsia="zh-CN"/>
        </w:rPr>
        <w:t>保障了我校2023年度教育教学活动的正常开展。</w:t>
      </w:r>
    </w:p>
    <w:p>
      <w:pPr>
        <w:keepNext w:val="0"/>
        <w:keepLines w:val="0"/>
        <w:pageBreakBefore w:val="0"/>
        <w:widowControl/>
        <w:kinsoku w:val="0"/>
        <w:wordWrap/>
        <w:overflowPunct/>
        <w:topLinePunct w:val="0"/>
        <w:autoSpaceDE w:val="0"/>
        <w:autoSpaceDN w:val="0"/>
        <w:bidi w:val="0"/>
        <w:adjustRightInd w:val="0"/>
        <w:snapToGrid/>
        <w:spacing w:line="560" w:lineRule="exact"/>
        <w:ind w:left="0" w:leftChars="0" w:right="0" w:firstLine="657"/>
        <w:jc w:val="both"/>
        <w:textAlignment w:val="baseline"/>
        <w:rPr>
          <w:rFonts w:hint="default" w:ascii="仿宋" w:hAnsi="仿宋" w:eastAsia="仿宋" w:cs="仿宋"/>
          <w:spacing w:val="4"/>
          <w:sz w:val="32"/>
          <w:szCs w:val="32"/>
          <w:lang w:val="en-US" w:eastAsia="zh-CN"/>
        </w:rPr>
      </w:pPr>
      <w:r>
        <w:rPr>
          <w:rFonts w:hint="eastAsia" w:ascii="仿宋" w:hAnsi="仿宋" w:eastAsia="仿宋" w:cs="仿宋"/>
          <w:spacing w:val="1"/>
          <w:sz w:val="32"/>
          <w:szCs w:val="32"/>
          <w:lang w:val="en-US" w:eastAsia="zh-CN"/>
        </w:rPr>
        <w:t xml:space="preserve">3.2023改善普通高中办学条件项目支出执行率为40%，绩效自评得分为68分。 </w:t>
      </w:r>
      <w:r>
        <w:rPr>
          <w:rFonts w:hint="eastAsia" w:ascii="仿宋" w:hAnsi="仿宋" w:eastAsia="仿宋" w:cs="仿宋"/>
          <w:spacing w:val="4"/>
          <w:sz w:val="32"/>
          <w:szCs w:val="32"/>
          <w:lang w:val="en-US" w:eastAsia="zh-CN"/>
        </w:rPr>
        <w:t>2023改善办学条件项目支出绩效自评实际完成值部分达成预期指标并具有一定效果，该项目2024年2月23日开工建设，计划于8月20日竣工完成。</w:t>
      </w:r>
      <w:r>
        <w:rPr>
          <w:rFonts w:hint="eastAsia" w:ascii="仿宋" w:hAnsi="仿宋" w:eastAsia="仿宋" w:cs="仿宋"/>
          <w:spacing w:val="1"/>
          <w:sz w:val="32"/>
          <w:szCs w:val="32"/>
          <w:lang w:val="en-US" w:eastAsia="zh-CN"/>
        </w:rPr>
        <w:t>由于项目建设前期的勘察设计、手续审批等事项花费时间较长，导致工程进度进展缓慢。但</w:t>
      </w:r>
      <w:r>
        <w:rPr>
          <w:rFonts w:hint="eastAsia" w:ascii="仿宋" w:hAnsi="仿宋" w:eastAsia="仿宋" w:cs="仿宋"/>
          <w:spacing w:val="4"/>
          <w:sz w:val="32"/>
          <w:szCs w:val="32"/>
          <w:lang w:val="en-US" w:eastAsia="zh-CN"/>
        </w:rPr>
        <w:t>项目资金拨付及时，</w:t>
      </w:r>
      <w:r>
        <w:rPr>
          <w:rFonts w:hint="eastAsia" w:ascii="仿宋" w:hAnsi="仿宋" w:eastAsia="仿宋" w:cs="仿宋"/>
          <w:spacing w:val="1"/>
          <w:sz w:val="32"/>
          <w:szCs w:val="32"/>
          <w:lang w:val="en-US" w:eastAsia="zh-CN"/>
        </w:rPr>
        <w:t>我校将继续督促城投集团抓紧工程建设进度，确保于2024年8月底前建成并且投入使用。</w:t>
      </w:r>
      <w:r>
        <w:rPr>
          <w:rFonts w:hint="eastAsia" w:ascii="仿宋" w:hAnsi="仿宋" w:eastAsia="仿宋" w:cs="仿宋"/>
          <w:spacing w:val="4"/>
          <w:sz w:val="32"/>
          <w:szCs w:val="32"/>
          <w:lang w:val="en-US" w:eastAsia="zh-CN"/>
        </w:rPr>
        <w:t>通过自评，也发现了在工作中存在的一些问题和挑战，对自评工作的理解不够深入，学校的一些管理制度仍需进一步完善等。针对存在的问题，首先要加强对自评工作的宣传和培训，提高对自评工作的认识和参与度。其次，进一步完善管理制度，确保其科学性和可操作性。最后，注重数据的收集和分析，为今后的工作提供有力支持。</w:t>
      </w:r>
    </w:p>
    <w:p>
      <w:pPr>
        <w:keepNext w:val="0"/>
        <w:keepLines w:val="0"/>
        <w:pageBreakBefore w:val="0"/>
        <w:widowControl/>
        <w:kinsoku w:val="0"/>
        <w:wordWrap/>
        <w:overflowPunct/>
        <w:topLinePunct w:val="0"/>
        <w:autoSpaceDE w:val="0"/>
        <w:autoSpaceDN w:val="0"/>
        <w:bidi w:val="0"/>
        <w:adjustRightInd w:val="0"/>
        <w:snapToGrid/>
        <w:spacing w:line="560" w:lineRule="exact"/>
        <w:ind w:left="0" w:leftChars="0" w:right="0" w:firstLine="735"/>
        <w:jc w:val="both"/>
        <w:textAlignment w:val="baseline"/>
        <w:rPr>
          <w:rFonts w:ascii="黑体" w:hAnsi="黑体" w:eastAsia="黑体" w:cs="黑体"/>
          <w:sz w:val="32"/>
          <w:szCs w:val="32"/>
        </w:rPr>
      </w:pPr>
      <w:r>
        <w:rPr>
          <w:rFonts w:hint="eastAsia" w:ascii="黑体" w:hAnsi="黑体" w:eastAsia="黑体" w:cs="黑体"/>
          <w:spacing w:val="-3"/>
          <w:sz w:val="32"/>
          <w:szCs w:val="32"/>
          <w:lang w:val="en-US" w:eastAsia="zh-CN"/>
        </w:rPr>
        <w:t>四</w:t>
      </w:r>
      <w:r>
        <w:rPr>
          <w:rFonts w:ascii="黑体" w:hAnsi="黑体" w:eastAsia="黑体" w:cs="黑体"/>
          <w:spacing w:val="-3"/>
          <w:sz w:val="32"/>
          <w:szCs w:val="32"/>
        </w:rPr>
        <w:t>、下一步工作措施</w:t>
      </w:r>
    </w:p>
    <w:p>
      <w:pPr>
        <w:keepNext w:val="0"/>
        <w:keepLines w:val="0"/>
        <w:pageBreakBefore w:val="0"/>
        <w:widowControl/>
        <w:kinsoku w:val="0"/>
        <w:wordWrap/>
        <w:overflowPunct/>
        <w:topLinePunct w:val="0"/>
        <w:autoSpaceDE w:val="0"/>
        <w:autoSpaceDN w:val="0"/>
        <w:bidi w:val="0"/>
        <w:adjustRightInd w:val="0"/>
        <w:snapToGrid/>
        <w:spacing w:line="560" w:lineRule="exact"/>
        <w:ind w:left="0" w:leftChars="0" w:right="0" w:firstLine="658"/>
        <w:jc w:val="both"/>
        <w:textAlignment w:val="baseline"/>
        <w:rPr>
          <w:rFonts w:hint="eastAsia" w:ascii="仿宋" w:hAnsi="仿宋" w:eastAsia="仿宋" w:cs="仿宋"/>
          <w:spacing w:val="4"/>
          <w:sz w:val="32"/>
          <w:szCs w:val="32"/>
          <w:lang w:val="en-US" w:eastAsia="zh-CN"/>
        </w:rPr>
      </w:pPr>
      <w:r>
        <w:rPr>
          <w:rFonts w:hint="eastAsia" w:ascii="仿宋" w:hAnsi="仿宋" w:eastAsia="仿宋" w:cs="仿宋"/>
          <w:spacing w:val="4"/>
          <w:sz w:val="32"/>
          <w:szCs w:val="32"/>
          <w:lang w:val="en-US" w:eastAsia="zh-CN"/>
        </w:rPr>
        <w:t>通过本次自评工作，首先要明确工作目标和指标，确保自评工作有方向、有重点；其次进一步完善自评指标体系，提高评估的科学性和准确性；最后加强预算资金管理，合理分配使用预算资金，完善预算管理和项目资金管理制度，提升学校的整体运转水平。</w:t>
      </w:r>
    </w:p>
    <w:p>
      <w:pPr>
        <w:pStyle w:val="2"/>
        <w:pageBreakBefore w:val="0"/>
        <w:wordWrap/>
        <w:overflowPunct/>
        <w:topLinePunct w:val="0"/>
        <w:bidi w:val="0"/>
        <w:snapToGrid/>
        <w:spacing w:before="0" w:beforeLines="0" w:after="0" w:afterLines="0" w:line="560" w:lineRule="exact"/>
        <w:ind w:left="0" w:leftChars="0" w:firstLine="632" w:firstLineChars="200"/>
        <w:rPr>
          <w:rFonts w:ascii="仿宋" w:hAnsi="仿宋" w:eastAsia="仿宋" w:cs="仿宋"/>
          <w:sz w:val="32"/>
          <w:szCs w:val="32"/>
        </w:rPr>
      </w:pPr>
      <w:r>
        <w:rPr>
          <w:rFonts w:hint="eastAsia" w:ascii="仿宋" w:hAnsi="仿宋" w:eastAsia="仿宋" w:cs="仿宋"/>
          <w:b w:val="0"/>
          <w:bCs/>
          <w:spacing w:val="-2"/>
          <w:sz w:val="32"/>
          <w:szCs w:val="32"/>
        </w:rPr>
        <w:t>附表：</w:t>
      </w:r>
      <w:r>
        <w:rPr>
          <w:rFonts w:hint="eastAsia" w:ascii="仿宋" w:hAnsi="仿宋" w:eastAsia="仿宋" w:cs="仿宋"/>
          <w:b w:val="0"/>
          <w:bCs/>
          <w:spacing w:val="-2"/>
          <w:sz w:val="32"/>
          <w:szCs w:val="32"/>
          <w:lang w:val="en-US" w:eastAsia="zh-CN"/>
        </w:rPr>
        <w:t>2023</w:t>
      </w:r>
      <w:r>
        <w:rPr>
          <w:rFonts w:hint="eastAsia" w:ascii="仿宋" w:hAnsi="仿宋" w:eastAsia="仿宋" w:cs="仿宋"/>
          <w:b w:val="0"/>
          <w:bCs/>
          <w:spacing w:val="-2"/>
          <w:sz w:val="32"/>
          <w:szCs w:val="32"/>
        </w:rPr>
        <w:t>年度</w:t>
      </w:r>
      <w:r>
        <w:rPr>
          <w:rFonts w:hint="eastAsia" w:ascii="仿宋" w:hAnsi="仿宋" w:eastAsia="仿宋" w:cs="仿宋"/>
          <w:b w:val="0"/>
          <w:bCs/>
          <w:spacing w:val="-2"/>
          <w:sz w:val="32"/>
          <w:szCs w:val="32"/>
          <w:lang w:val="en-US" w:eastAsia="zh-CN"/>
        </w:rPr>
        <w:t>兰州新区高级中学</w:t>
      </w:r>
      <w:r>
        <w:rPr>
          <w:rFonts w:hint="eastAsia" w:ascii="仿宋" w:hAnsi="仿宋" w:eastAsia="仿宋" w:cs="仿宋"/>
          <w:b w:val="0"/>
          <w:bCs/>
          <w:spacing w:val="-2"/>
          <w:sz w:val="32"/>
          <w:szCs w:val="32"/>
        </w:rPr>
        <w:t>项目支出绩效自评</w:t>
      </w:r>
      <w:r>
        <w:rPr>
          <w:rFonts w:hint="eastAsia" w:ascii="仿宋" w:hAnsi="仿宋" w:eastAsia="仿宋" w:cs="仿宋"/>
          <w:b w:val="0"/>
          <w:bCs/>
          <w:spacing w:val="-2"/>
          <w:sz w:val="32"/>
          <w:szCs w:val="32"/>
          <w:lang w:val="en-US" w:eastAsia="zh-CN"/>
        </w:rPr>
        <w:t>结果</w:t>
      </w:r>
      <w:r>
        <w:rPr>
          <w:rFonts w:hint="eastAsia" w:ascii="仿宋" w:hAnsi="仿宋" w:eastAsia="仿宋" w:cs="仿宋"/>
          <w:b w:val="0"/>
          <w:bCs/>
          <w:spacing w:val="-2"/>
          <w:sz w:val="32"/>
          <w:szCs w:val="32"/>
        </w:rPr>
        <w:t>汇总表</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 w:hAnsi="仿宋" w:eastAsia="仿宋" w:cs="仿宋"/>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 w:hAnsi="仿宋" w:eastAsia="仿宋" w:cs="仿宋"/>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 w:hAnsi="仿宋" w:eastAsia="仿宋" w:cs="仿宋"/>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left="0" w:leftChars="0" w:firstLine="4160" w:firstLineChars="13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兰州新区高级中学</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4160" w:firstLineChars="1300"/>
        <w:textAlignment w:val="auto"/>
        <w:rPr>
          <w:rFonts w:ascii="黑体" w:hAnsi="黑体" w:eastAsia="黑体" w:cs="黑体"/>
          <w:spacing w:val="-13"/>
          <w:sz w:val="28"/>
          <w:szCs w:val="28"/>
        </w:rPr>
      </w:pPr>
      <w:r>
        <w:rPr>
          <w:rFonts w:hint="eastAsia" w:ascii="仿宋" w:hAnsi="仿宋" w:eastAsia="仿宋" w:cs="仿宋"/>
          <w:sz w:val="32"/>
          <w:szCs w:val="32"/>
          <w:lang w:val="en-US" w:eastAsia="zh-CN"/>
        </w:rPr>
        <w:t>2024年3月18日</w:t>
      </w:r>
    </w:p>
    <w:p>
      <w:pPr>
        <w:keepNext w:val="0"/>
        <w:keepLines w:val="0"/>
        <w:pageBreakBefore w:val="0"/>
        <w:wordWrap/>
        <w:overflowPunct/>
        <w:topLinePunct w:val="0"/>
        <w:bidi w:val="0"/>
        <w:adjustRightInd w:val="0"/>
        <w:snapToGrid w:val="0"/>
        <w:spacing w:before="125" w:line="560" w:lineRule="exact"/>
        <w:ind w:left="0" w:leftChars="0" w:firstLine="0" w:firstLineChars="0"/>
        <w:jc w:val="both"/>
        <w:rPr>
          <w:rFonts w:ascii="黑体" w:hAnsi="黑体" w:eastAsia="黑体" w:cs="黑体"/>
          <w:spacing w:val="-13"/>
          <w:sz w:val="28"/>
          <w:szCs w:val="28"/>
        </w:rPr>
      </w:pPr>
    </w:p>
    <w:p>
      <w:pPr>
        <w:keepNext w:val="0"/>
        <w:keepLines w:val="0"/>
        <w:pageBreakBefore w:val="0"/>
        <w:wordWrap/>
        <w:overflowPunct/>
        <w:topLinePunct w:val="0"/>
        <w:bidi w:val="0"/>
        <w:adjustRightInd w:val="0"/>
        <w:snapToGrid w:val="0"/>
        <w:spacing w:before="125" w:line="560" w:lineRule="exact"/>
        <w:ind w:left="0" w:leftChars="0" w:firstLine="0" w:firstLineChars="0"/>
        <w:jc w:val="both"/>
        <w:rPr>
          <w:rFonts w:ascii="黑体" w:hAnsi="黑体" w:eastAsia="黑体" w:cs="黑体"/>
          <w:spacing w:val="-13"/>
          <w:sz w:val="28"/>
          <w:szCs w:val="28"/>
        </w:rPr>
      </w:pPr>
    </w:p>
    <w:p>
      <w:pPr>
        <w:keepNext w:val="0"/>
        <w:keepLines w:val="0"/>
        <w:pageBreakBefore w:val="0"/>
        <w:wordWrap/>
        <w:overflowPunct/>
        <w:topLinePunct w:val="0"/>
        <w:bidi w:val="0"/>
        <w:adjustRightInd w:val="0"/>
        <w:snapToGrid w:val="0"/>
        <w:spacing w:before="125" w:line="560" w:lineRule="exact"/>
        <w:ind w:left="0" w:leftChars="0" w:firstLine="0" w:firstLineChars="0"/>
        <w:jc w:val="both"/>
        <w:rPr>
          <w:rFonts w:ascii="黑体" w:hAnsi="黑体" w:eastAsia="黑体" w:cs="黑体"/>
          <w:spacing w:val="-13"/>
          <w:sz w:val="28"/>
          <w:szCs w:val="28"/>
        </w:rPr>
      </w:pPr>
    </w:p>
    <w:p>
      <w:pPr>
        <w:keepNext w:val="0"/>
        <w:keepLines w:val="0"/>
        <w:pageBreakBefore w:val="0"/>
        <w:wordWrap/>
        <w:overflowPunct/>
        <w:topLinePunct w:val="0"/>
        <w:bidi w:val="0"/>
        <w:adjustRightInd w:val="0"/>
        <w:snapToGrid w:val="0"/>
        <w:spacing w:before="125" w:line="560" w:lineRule="exact"/>
        <w:ind w:left="0" w:leftChars="0" w:firstLine="0" w:firstLineChars="0"/>
        <w:jc w:val="both"/>
        <w:rPr>
          <w:rFonts w:ascii="黑体" w:hAnsi="黑体" w:eastAsia="黑体" w:cs="黑体"/>
          <w:sz w:val="28"/>
          <w:szCs w:val="28"/>
        </w:rPr>
      </w:pPr>
      <w:r>
        <w:rPr>
          <w:rFonts w:ascii="黑体" w:hAnsi="黑体" w:eastAsia="黑体" w:cs="黑体"/>
          <w:spacing w:val="-13"/>
          <w:sz w:val="28"/>
          <w:szCs w:val="28"/>
        </w:rPr>
        <w:t>附表</w:t>
      </w:r>
    </w:p>
    <w:p>
      <w:pPr>
        <w:keepNext w:val="0"/>
        <w:keepLines w:val="0"/>
        <w:pageBreakBefore w:val="0"/>
        <w:wordWrap/>
        <w:overflowPunct/>
        <w:topLinePunct w:val="0"/>
        <w:bidi w:val="0"/>
        <w:adjustRightInd w:val="0"/>
        <w:snapToGrid w:val="0"/>
        <w:spacing w:before="111" w:line="560" w:lineRule="exact"/>
        <w:ind w:left="0" w:leftChars="0" w:firstLine="0" w:firstLineChars="0"/>
        <w:jc w:val="center"/>
        <w:outlineLvl w:val="1"/>
        <w:rPr>
          <w:rFonts w:ascii="宋体" w:hAnsi="宋体" w:eastAsia="宋体" w:cs="宋体"/>
          <w:b/>
          <w:bCs/>
          <w:sz w:val="32"/>
          <w:szCs w:val="32"/>
        </w:rPr>
      </w:pPr>
      <w:r>
        <w:rPr>
          <w:rFonts w:ascii="宋体" w:hAnsi="宋体" w:eastAsia="宋体" w:cs="宋体"/>
          <w:b/>
          <w:bCs/>
          <w:sz w:val="32"/>
          <w:szCs w:val="32"/>
        </w:rPr>
        <w:t>20</w:t>
      </w:r>
      <w:r>
        <w:rPr>
          <w:rFonts w:hint="eastAsia" w:ascii="宋体" w:hAnsi="宋体" w:eastAsia="宋体" w:cs="宋体"/>
          <w:b/>
          <w:bCs/>
          <w:sz w:val="32"/>
          <w:szCs w:val="32"/>
          <w:lang w:val="en-US" w:eastAsia="zh-CN"/>
        </w:rPr>
        <w:t>23</w:t>
      </w:r>
      <w:r>
        <w:rPr>
          <w:rFonts w:ascii="宋体" w:hAnsi="宋体" w:eastAsia="宋体" w:cs="宋体"/>
          <w:b/>
          <w:bCs/>
          <w:sz w:val="32"/>
          <w:szCs w:val="32"/>
        </w:rPr>
        <w:t>年度</w:t>
      </w:r>
      <w:r>
        <w:rPr>
          <w:rFonts w:hint="eastAsia" w:ascii="宋体" w:hAnsi="宋体" w:eastAsia="宋体" w:cs="宋体"/>
          <w:b/>
          <w:bCs/>
          <w:sz w:val="32"/>
          <w:szCs w:val="32"/>
          <w:lang w:val="en-US" w:eastAsia="zh-CN"/>
        </w:rPr>
        <w:t>兰州新区高级中学</w:t>
      </w:r>
      <w:r>
        <w:rPr>
          <w:rFonts w:ascii="宋体" w:hAnsi="宋体" w:eastAsia="宋体" w:cs="宋体"/>
          <w:b/>
          <w:bCs/>
          <w:sz w:val="32"/>
          <w:szCs w:val="32"/>
        </w:rPr>
        <w:t>项目支出绩效自评</w:t>
      </w:r>
      <w:r>
        <w:rPr>
          <w:rFonts w:hint="eastAsia" w:ascii="宋体" w:hAnsi="宋体" w:eastAsia="宋体" w:cs="宋体"/>
          <w:b/>
          <w:bCs/>
          <w:sz w:val="32"/>
          <w:szCs w:val="32"/>
          <w:lang w:val="en-US" w:eastAsia="zh-CN"/>
        </w:rPr>
        <w:t>结果</w:t>
      </w:r>
      <w:r>
        <w:rPr>
          <w:rFonts w:ascii="宋体" w:hAnsi="宋体" w:eastAsia="宋体" w:cs="宋体"/>
          <w:b/>
          <w:bCs/>
          <w:sz w:val="32"/>
          <w:szCs w:val="32"/>
        </w:rPr>
        <w:t>汇总表</w:t>
      </w:r>
    </w:p>
    <w:tbl>
      <w:tblPr>
        <w:tblStyle w:val="8"/>
        <w:tblW w:w="5055" w:type="pct"/>
        <w:tblInd w:w="-7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17"/>
        <w:gridCol w:w="1637"/>
        <w:gridCol w:w="687"/>
        <w:gridCol w:w="716"/>
        <w:gridCol w:w="909"/>
        <w:gridCol w:w="954"/>
        <w:gridCol w:w="758"/>
        <w:gridCol w:w="790"/>
        <w:gridCol w:w="920"/>
        <w:gridCol w:w="417"/>
        <w:gridCol w:w="4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51" w:type="pct"/>
            <w:vMerge w:val="restar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eastAsia" w:ascii="宋体" w:hAnsi="宋体" w:eastAsia="宋体" w:cs="宋体"/>
                <w:b/>
                <w:bCs/>
                <w:sz w:val="20"/>
                <w:szCs w:val="20"/>
                <w:vertAlign w:val="baseline"/>
                <w:lang w:val="en-US" w:eastAsia="zh-CN"/>
              </w:rPr>
            </w:pPr>
            <w:r>
              <w:rPr>
                <w:rFonts w:hint="eastAsia" w:ascii="宋体" w:hAnsi="宋体" w:eastAsia="宋体" w:cs="宋体"/>
                <w:b/>
                <w:bCs/>
                <w:sz w:val="20"/>
                <w:szCs w:val="20"/>
                <w:vertAlign w:val="baseline"/>
                <w:lang w:val="en-US" w:eastAsia="zh-CN"/>
              </w:rPr>
              <w:t>序号</w:t>
            </w:r>
          </w:p>
        </w:tc>
        <w:tc>
          <w:tcPr>
            <w:tcW w:w="1007" w:type="pct"/>
            <w:vMerge w:val="restar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default" w:ascii="宋体" w:hAnsi="宋体" w:eastAsia="宋体" w:cs="宋体"/>
                <w:b/>
                <w:bCs/>
                <w:sz w:val="20"/>
                <w:szCs w:val="20"/>
                <w:vertAlign w:val="baseline"/>
                <w:lang w:val="en-US" w:eastAsia="zh-CN"/>
              </w:rPr>
            </w:pPr>
            <w:r>
              <w:rPr>
                <w:rFonts w:hint="eastAsia" w:ascii="宋体" w:hAnsi="宋体" w:eastAsia="宋体" w:cs="宋体"/>
                <w:b/>
                <w:bCs/>
                <w:sz w:val="20"/>
                <w:szCs w:val="20"/>
                <w:vertAlign w:val="baseline"/>
                <w:lang w:val="en-US" w:eastAsia="zh-CN"/>
              </w:rPr>
              <w:t>项目名称</w:t>
            </w:r>
          </w:p>
        </w:tc>
        <w:tc>
          <w:tcPr>
            <w:tcW w:w="433" w:type="pct"/>
            <w:vMerge w:val="restar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default" w:ascii="宋体" w:hAnsi="宋体" w:eastAsia="宋体" w:cs="宋体"/>
                <w:b/>
                <w:bCs/>
                <w:sz w:val="20"/>
                <w:szCs w:val="20"/>
                <w:vertAlign w:val="baseline"/>
                <w:lang w:val="en-US" w:eastAsia="zh-CN"/>
              </w:rPr>
            </w:pPr>
            <w:r>
              <w:rPr>
                <w:rFonts w:hint="eastAsia" w:ascii="宋体" w:hAnsi="宋体" w:eastAsia="宋体" w:cs="宋体"/>
                <w:b/>
                <w:bCs/>
                <w:sz w:val="20"/>
                <w:szCs w:val="20"/>
                <w:vertAlign w:val="baseline"/>
                <w:lang w:val="en-US" w:eastAsia="zh-CN"/>
              </w:rPr>
              <w:t>主管部门</w:t>
            </w:r>
          </w:p>
        </w:tc>
        <w:tc>
          <w:tcPr>
            <w:tcW w:w="2810" w:type="pct"/>
            <w:gridSpan w:val="6"/>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eastAsia" w:ascii="宋体" w:hAnsi="宋体" w:eastAsia="宋体" w:cs="宋体"/>
                <w:b/>
                <w:bCs/>
                <w:sz w:val="20"/>
                <w:szCs w:val="20"/>
                <w:vertAlign w:val="baseline"/>
              </w:rPr>
            </w:pPr>
            <w:r>
              <w:rPr>
                <w:rFonts w:hint="eastAsia" w:ascii="宋体" w:hAnsi="宋体" w:eastAsia="宋体" w:cs="宋体"/>
                <w:b/>
                <w:bCs/>
                <w:sz w:val="20"/>
                <w:szCs w:val="20"/>
                <w:vertAlign w:val="baseline"/>
                <w:lang w:val="en-US" w:eastAsia="zh-CN"/>
              </w:rPr>
              <w:t>项目资金（万元）</w:t>
            </w:r>
          </w:p>
        </w:tc>
        <w:tc>
          <w:tcPr>
            <w:tcW w:w="255" w:type="pct"/>
            <w:vMerge w:val="restar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default" w:ascii="宋体" w:hAnsi="宋体" w:eastAsia="宋体" w:cs="宋体"/>
                <w:b/>
                <w:bCs/>
                <w:sz w:val="20"/>
                <w:szCs w:val="20"/>
                <w:vertAlign w:val="baseline"/>
                <w:lang w:val="en-US" w:eastAsia="zh-CN"/>
              </w:rPr>
            </w:pPr>
            <w:r>
              <w:rPr>
                <w:rFonts w:hint="eastAsia" w:ascii="宋体" w:hAnsi="宋体" w:eastAsia="宋体" w:cs="宋体"/>
                <w:b/>
                <w:bCs/>
                <w:sz w:val="20"/>
                <w:szCs w:val="20"/>
                <w:vertAlign w:val="baseline"/>
                <w:lang w:val="en-US" w:eastAsia="zh-CN"/>
              </w:rPr>
              <w:t>自评得分</w:t>
            </w:r>
          </w:p>
        </w:tc>
        <w:tc>
          <w:tcPr>
            <w:tcW w:w="242" w:type="pct"/>
            <w:vMerge w:val="restar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eastAsia" w:ascii="宋体" w:hAnsi="宋体" w:eastAsia="宋体" w:cs="宋体"/>
                <w:b/>
                <w:bCs/>
                <w:sz w:val="20"/>
                <w:szCs w:val="20"/>
                <w:vertAlign w:val="baseline"/>
                <w:lang w:val="en-US" w:eastAsia="zh-CN"/>
              </w:rPr>
            </w:pPr>
            <w:r>
              <w:rPr>
                <w:rFonts w:hint="eastAsia" w:ascii="宋体" w:hAnsi="宋体" w:eastAsia="宋体" w:cs="宋体"/>
                <w:b/>
                <w:bCs/>
                <w:sz w:val="20"/>
                <w:szCs w:val="20"/>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51" w:type="pct"/>
            <w:vMerge w:val="continue"/>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eastAsia" w:ascii="宋体" w:hAnsi="宋体" w:eastAsia="宋体" w:cs="宋体"/>
                <w:sz w:val="20"/>
                <w:szCs w:val="20"/>
                <w:vertAlign w:val="baseline"/>
                <w:lang w:val="en-US" w:eastAsia="zh-CN"/>
              </w:rPr>
            </w:pPr>
          </w:p>
        </w:tc>
        <w:tc>
          <w:tcPr>
            <w:tcW w:w="1007" w:type="pct"/>
            <w:vMerge w:val="continue"/>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eastAsia" w:ascii="宋体" w:hAnsi="宋体" w:eastAsia="宋体" w:cs="宋体"/>
                <w:sz w:val="20"/>
                <w:szCs w:val="20"/>
                <w:vertAlign w:val="baseline"/>
              </w:rPr>
            </w:pPr>
          </w:p>
        </w:tc>
        <w:tc>
          <w:tcPr>
            <w:tcW w:w="433" w:type="pct"/>
            <w:vMerge w:val="continue"/>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eastAsia" w:ascii="宋体" w:hAnsi="宋体" w:eastAsia="宋体" w:cs="宋体"/>
                <w:sz w:val="20"/>
                <w:szCs w:val="20"/>
                <w:vertAlign w:val="baseline"/>
              </w:rPr>
            </w:pPr>
          </w:p>
        </w:tc>
        <w:tc>
          <w:tcPr>
            <w:tcW w:w="1930" w:type="pct"/>
            <w:gridSpan w:val="4"/>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eastAsia" w:ascii="宋体" w:hAnsi="宋体" w:eastAsia="宋体" w:cs="宋体"/>
                <w:b/>
                <w:bCs/>
                <w:sz w:val="20"/>
                <w:szCs w:val="20"/>
                <w:vertAlign w:val="baseline"/>
              </w:rPr>
            </w:pPr>
            <w:r>
              <w:rPr>
                <w:rFonts w:hint="eastAsia" w:ascii="宋体" w:hAnsi="宋体" w:eastAsia="宋体" w:cs="宋体"/>
                <w:b/>
                <w:bCs/>
                <w:sz w:val="20"/>
                <w:szCs w:val="20"/>
                <w:vertAlign w:val="baseline"/>
              </w:rPr>
              <w:t>全年预算数（A）</w:t>
            </w:r>
          </w:p>
        </w:tc>
        <w:tc>
          <w:tcPr>
            <w:tcW w:w="493" w:type="pct"/>
            <w:vMerge w:val="restar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eastAsia" w:ascii="宋体" w:hAnsi="宋体" w:eastAsia="宋体" w:cs="宋体"/>
                <w:b/>
                <w:bCs/>
                <w:sz w:val="20"/>
                <w:szCs w:val="20"/>
                <w:vertAlign w:val="baseline"/>
              </w:rPr>
            </w:pPr>
            <w:r>
              <w:rPr>
                <w:rFonts w:hint="eastAsia" w:ascii="宋体" w:hAnsi="宋体" w:eastAsia="宋体" w:cs="宋体"/>
                <w:b/>
                <w:bCs/>
                <w:sz w:val="20"/>
                <w:szCs w:val="20"/>
                <w:vertAlign w:val="baseline"/>
              </w:rPr>
              <w:t>全年执行数（B）</w:t>
            </w:r>
          </w:p>
        </w:tc>
        <w:tc>
          <w:tcPr>
            <w:tcW w:w="387" w:type="pct"/>
            <w:vMerge w:val="restar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eastAsia" w:ascii="宋体" w:hAnsi="宋体" w:eastAsia="宋体" w:cs="宋体"/>
                <w:b/>
                <w:bCs/>
                <w:sz w:val="20"/>
                <w:szCs w:val="20"/>
                <w:vertAlign w:val="baseline"/>
              </w:rPr>
            </w:pPr>
            <w:r>
              <w:rPr>
                <w:rFonts w:hint="eastAsia" w:ascii="宋体" w:hAnsi="宋体" w:eastAsia="宋体" w:cs="宋体"/>
                <w:b/>
                <w:bCs/>
                <w:sz w:val="20"/>
                <w:szCs w:val="20"/>
                <w:vertAlign w:val="baseline"/>
              </w:rPr>
              <w:t>执行率</w:t>
            </w:r>
          </w:p>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eastAsia" w:ascii="宋体" w:hAnsi="宋体" w:eastAsia="宋体" w:cs="宋体"/>
                <w:b/>
                <w:bCs/>
                <w:sz w:val="20"/>
                <w:szCs w:val="20"/>
                <w:vertAlign w:val="baseline"/>
              </w:rPr>
            </w:pPr>
            <w:r>
              <w:rPr>
                <w:rFonts w:hint="eastAsia" w:ascii="宋体" w:hAnsi="宋体" w:eastAsia="宋体" w:cs="宋体"/>
                <w:b/>
                <w:bCs/>
                <w:sz w:val="20"/>
                <w:szCs w:val="20"/>
                <w:vertAlign w:val="baseline"/>
              </w:rPr>
              <w:t>（B/A）</w:t>
            </w:r>
          </w:p>
        </w:tc>
        <w:tc>
          <w:tcPr>
            <w:tcW w:w="255" w:type="pct"/>
            <w:vMerge w:val="continue"/>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eastAsia" w:ascii="宋体" w:hAnsi="宋体" w:eastAsia="宋体" w:cs="宋体"/>
                <w:sz w:val="20"/>
                <w:szCs w:val="20"/>
                <w:vertAlign w:val="baseline"/>
              </w:rPr>
            </w:pPr>
          </w:p>
        </w:tc>
        <w:tc>
          <w:tcPr>
            <w:tcW w:w="242" w:type="pct"/>
            <w:vMerge w:val="continue"/>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eastAsia" w:ascii="宋体" w:hAnsi="宋体" w:eastAsia="宋体" w:cs="宋体"/>
                <w:sz w:val="20"/>
                <w:szCs w:val="20"/>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51" w:type="pct"/>
            <w:vMerge w:val="continue"/>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eastAsia" w:ascii="宋体" w:hAnsi="宋体" w:eastAsia="宋体" w:cs="宋体"/>
                <w:sz w:val="20"/>
                <w:szCs w:val="20"/>
                <w:vertAlign w:val="baseline"/>
                <w:lang w:val="en-US" w:eastAsia="zh-CN"/>
              </w:rPr>
            </w:pPr>
          </w:p>
        </w:tc>
        <w:tc>
          <w:tcPr>
            <w:tcW w:w="1007" w:type="pct"/>
            <w:vMerge w:val="continue"/>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eastAsia" w:ascii="宋体" w:hAnsi="宋体" w:eastAsia="宋体" w:cs="宋体"/>
                <w:sz w:val="20"/>
                <w:szCs w:val="20"/>
                <w:vertAlign w:val="baseline"/>
              </w:rPr>
            </w:pPr>
          </w:p>
        </w:tc>
        <w:tc>
          <w:tcPr>
            <w:tcW w:w="433" w:type="pct"/>
            <w:vMerge w:val="continue"/>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eastAsia" w:ascii="宋体" w:hAnsi="宋体" w:eastAsia="宋体" w:cs="宋体"/>
                <w:sz w:val="20"/>
                <w:szCs w:val="20"/>
                <w:vertAlign w:val="baseline"/>
              </w:rPr>
            </w:pPr>
          </w:p>
        </w:tc>
        <w:tc>
          <w:tcPr>
            <w:tcW w:w="306" w:type="pc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eastAsia" w:ascii="宋体" w:hAnsi="宋体" w:eastAsia="宋体" w:cs="宋体"/>
                <w:b/>
                <w:bCs/>
                <w:sz w:val="20"/>
                <w:szCs w:val="20"/>
                <w:vertAlign w:val="baseline"/>
              </w:rPr>
            </w:pPr>
            <w:r>
              <w:rPr>
                <w:rFonts w:hint="eastAsia" w:ascii="宋体" w:hAnsi="宋体" w:eastAsia="宋体" w:cs="宋体"/>
                <w:b/>
                <w:bCs/>
                <w:sz w:val="20"/>
                <w:szCs w:val="20"/>
                <w:vertAlign w:val="baseline"/>
              </w:rPr>
              <w:t>小计</w:t>
            </w:r>
          </w:p>
        </w:tc>
        <w:tc>
          <w:tcPr>
            <w:tcW w:w="562" w:type="pc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eastAsia" w:ascii="宋体" w:hAnsi="宋体" w:eastAsia="宋体" w:cs="宋体"/>
                <w:b/>
                <w:bCs/>
                <w:sz w:val="20"/>
                <w:szCs w:val="20"/>
                <w:vertAlign w:val="baseline"/>
              </w:rPr>
            </w:pPr>
            <w:r>
              <w:rPr>
                <w:rFonts w:hint="eastAsia" w:ascii="宋体" w:hAnsi="宋体" w:eastAsia="宋体" w:cs="宋体"/>
                <w:b/>
                <w:bCs/>
                <w:sz w:val="20"/>
                <w:szCs w:val="20"/>
                <w:vertAlign w:val="baseline"/>
              </w:rPr>
              <w:t>当年财政拨款</w:t>
            </w:r>
          </w:p>
        </w:tc>
        <w:tc>
          <w:tcPr>
            <w:tcW w:w="588" w:type="pc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eastAsia" w:ascii="宋体" w:hAnsi="宋体" w:eastAsia="宋体" w:cs="宋体"/>
                <w:b/>
                <w:bCs/>
                <w:sz w:val="20"/>
                <w:szCs w:val="20"/>
                <w:vertAlign w:val="baseline"/>
              </w:rPr>
            </w:pPr>
            <w:r>
              <w:rPr>
                <w:rFonts w:hint="eastAsia" w:ascii="宋体" w:hAnsi="宋体" w:eastAsia="宋体" w:cs="宋体"/>
                <w:b/>
                <w:bCs/>
                <w:sz w:val="20"/>
                <w:szCs w:val="20"/>
                <w:vertAlign w:val="baseline"/>
              </w:rPr>
              <w:t>上年结转资金</w:t>
            </w:r>
          </w:p>
        </w:tc>
        <w:tc>
          <w:tcPr>
            <w:tcW w:w="473" w:type="pc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default" w:ascii="宋体" w:hAnsi="宋体" w:eastAsia="宋体" w:cs="宋体"/>
                <w:b/>
                <w:bCs/>
                <w:sz w:val="20"/>
                <w:szCs w:val="20"/>
                <w:vertAlign w:val="baseline"/>
                <w:lang w:val="en-US" w:eastAsia="zh-CN"/>
              </w:rPr>
            </w:pPr>
            <w:r>
              <w:rPr>
                <w:rFonts w:hint="eastAsia" w:ascii="宋体" w:hAnsi="宋体" w:eastAsia="宋体" w:cs="宋体"/>
                <w:b/>
                <w:bCs/>
                <w:sz w:val="20"/>
                <w:szCs w:val="20"/>
                <w:vertAlign w:val="baseline"/>
                <w:lang w:val="en-US" w:eastAsia="zh-CN"/>
              </w:rPr>
              <w:t>其他资金</w:t>
            </w:r>
          </w:p>
        </w:tc>
        <w:tc>
          <w:tcPr>
            <w:tcW w:w="493" w:type="pct"/>
            <w:vMerge w:val="continue"/>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eastAsia" w:ascii="宋体" w:hAnsi="宋体" w:eastAsia="宋体" w:cs="宋体"/>
                <w:sz w:val="20"/>
                <w:szCs w:val="20"/>
                <w:vertAlign w:val="baseline"/>
              </w:rPr>
            </w:pPr>
          </w:p>
        </w:tc>
        <w:tc>
          <w:tcPr>
            <w:tcW w:w="387" w:type="pct"/>
            <w:vMerge w:val="continue"/>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eastAsia" w:ascii="宋体" w:hAnsi="宋体" w:eastAsia="宋体" w:cs="宋体"/>
                <w:sz w:val="20"/>
                <w:szCs w:val="20"/>
                <w:vertAlign w:val="baseline"/>
              </w:rPr>
            </w:pPr>
          </w:p>
        </w:tc>
        <w:tc>
          <w:tcPr>
            <w:tcW w:w="255" w:type="pct"/>
            <w:vMerge w:val="continue"/>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eastAsia" w:ascii="宋体" w:hAnsi="宋体" w:eastAsia="宋体" w:cs="宋体"/>
                <w:sz w:val="20"/>
                <w:szCs w:val="20"/>
                <w:vertAlign w:val="baseline"/>
              </w:rPr>
            </w:pPr>
          </w:p>
        </w:tc>
        <w:tc>
          <w:tcPr>
            <w:tcW w:w="242" w:type="pct"/>
            <w:vMerge w:val="continue"/>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eastAsia" w:ascii="宋体" w:hAnsi="宋体" w:eastAsia="宋体" w:cs="宋体"/>
                <w:sz w:val="20"/>
                <w:szCs w:val="20"/>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51" w:type="pc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default" w:ascii="宋体" w:hAnsi="宋体" w:eastAsia="宋体" w:cs="宋体"/>
                <w:sz w:val="20"/>
                <w:szCs w:val="20"/>
                <w:vertAlign w:val="baseline"/>
                <w:lang w:val="en-US" w:eastAsia="zh-CN"/>
              </w:rPr>
            </w:pPr>
            <w:r>
              <w:rPr>
                <w:rFonts w:hint="eastAsia" w:ascii="宋体" w:hAnsi="宋体" w:eastAsia="宋体" w:cs="宋体"/>
                <w:sz w:val="20"/>
                <w:szCs w:val="20"/>
                <w:vertAlign w:val="baseline"/>
                <w:lang w:val="en-US" w:eastAsia="zh-CN"/>
              </w:rPr>
              <w:t>1</w:t>
            </w:r>
          </w:p>
        </w:tc>
        <w:tc>
          <w:tcPr>
            <w:tcW w:w="1007" w:type="pc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default" w:ascii="宋体" w:hAnsi="宋体" w:eastAsia="宋体" w:cs="宋体"/>
                <w:sz w:val="20"/>
                <w:szCs w:val="20"/>
                <w:vertAlign w:val="baseline"/>
                <w:lang w:val="en-US" w:eastAsia="zh-CN"/>
              </w:rPr>
            </w:pPr>
            <w:r>
              <w:rPr>
                <w:rFonts w:hint="eastAsia" w:ascii="宋体" w:hAnsi="宋体" w:eastAsia="宋体" w:cs="宋体"/>
                <w:sz w:val="20"/>
                <w:szCs w:val="20"/>
                <w:vertAlign w:val="baseline"/>
                <w:lang w:val="en-US" w:eastAsia="zh-CN"/>
              </w:rPr>
              <w:t>兰州新区高级中学公用经费</w:t>
            </w:r>
          </w:p>
        </w:tc>
        <w:tc>
          <w:tcPr>
            <w:tcW w:w="433" w:type="pc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default" w:ascii="宋体" w:hAnsi="宋体" w:eastAsia="宋体" w:cs="宋体"/>
                <w:sz w:val="20"/>
                <w:szCs w:val="20"/>
                <w:vertAlign w:val="baseline"/>
                <w:lang w:val="en-US" w:eastAsia="zh-CN"/>
              </w:rPr>
            </w:pPr>
            <w:r>
              <w:rPr>
                <w:rFonts w:hint="eastAsia" w:ascii="宋体" w:hAnsi="宋体" w:eastAsia="宋体" w:cs="宋体"/>
                <w:sz w:val="20"/>
                <w:szCs w:val="20"/>
                <w:vertAlign w:val="baseline"/>
                <w:lang w:val="en-US" w:eastAsia="zh-CN"/>
              </w:rPr>
              <w:t>兰州新区教育体育局（教育考试院）</w:t>
            </w:r>
          </w:p>
        </w:tc>
        <w:tc>
          <w:tcPr>
            <w:tcW w:w="306" w:type="pc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default" w:ascii="宋体" w:hAnsi="宋体" w:eastAsia="宋体" w:cs="宋体"/>
                <w:sz w:val="20"/>
                <w:szCs w:val="20"/>
                <w:vertAlign w:val="baseline"/>
                <w:lang w:val="en-US" w:eastAsia="zh-CN"/>
              </w:rPr>
            </w:pPr>
            <w:r>
              <w:rPr>
                <w:rFonts w:hint="eastAsia" w:ascii="宋体" w:hAnsi="宋体" w:eastAsia="宋体" w:cs="宋体"/>
                <w:sz w:val="20"/>
                <w:szCs w:val="20"/>
                <w:vertAlign w:val="baseline"/>
                <w:lang w:val="en-US" w:eastAsia="zh-CN"/>
              </w:rPr>
              <w:t>275.1</w:t>
            </w:r>
          </w:p>
        </w:tc>
        <w:tc>
          <w:tcPr>
            <w:tcW w:w="562" w:type="pc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default" w:ascii="宋体" w:hAnsi="宋体" w:eastAsia="宋体" w:cs="宋体"/>
                <w:sz w:val="20"/>
                <w:szCs w:val="20"/>
                <w:vertAlign w:val="baseline"/>
                <w:lang w:val="en-US" w:eastAsia="zh-CN"/>
              </w:rPr>
            </w:pPr>
            <w:r>
              <w:rPr>
                <w:rFonts w:hint="eastAsia" w:ascii="宋体" w:hAnsi="宋体" w:eastAsia="宋体" w:cs="宋体"/>
                <w:sz w:val="20"/>
                <w:szCs w:val="20"/>
                <w:vertAlign w:val="baseline"/>
                <w:lang w:val="en-US" w:eastAsia="zh-CN"/>
              </w:rPr>
              <w:t>275.1</w:t>
            </w:r>
          </w:p>
        </w:tc>
        <w:tc>
          <w:tcPr>
            <w:tcW w:w="588" w:type="pc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eastAsia" w:ascii="宋体" w:hAnsi="宋体" w:eastAsia="宋体" w:cs="宋体"/>
                <w:sz w:val="20"/>
                <w:szCs w:val="20"/>
                <w:vertAlign w:val="baseline"/>
              </w:rPr>
            </w:pPr>
          </w:p>
        </w:tc>
        <w:tc>
          <w:tcPr>
            <w:tcW w:w="473" w:type="pc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eastAsia" w:ascii="宋体" w:hAnsi="宋体" w:eastAsia="宋体" w:cs="宋体"/>
                <w:sz w:val="20"/>
                <w:szCs w:val="20"/>
                <w:vertAlign w:val="baseline"/>
              </w:rPr>
            </w:pPr>
          </w:p>
        </w:tc>
        <w:tc>
          <w:tcPr>
            <w:tcW w:w="493" w:type="pc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default" w:ascii="宋体" w:hAnsi="宋体" w:eastAsia="宋体" w:cs="宋体"/>
                <w:sz w:val="20"/>
                <w:szCs w:val="20"/>
                <w:vertAlign w:val="baseline"/>
                <w:lang w:val="en-US" w:eastAsia="zh-CN"/>
              </w:rPr>
            </w:pPr>
            <w:r>
              <w:rPr>
                <w:rFonts w:hint="eastAsia" w:ascii="宋体" w:hAnsi="宋体" w:eastAsia="宋体" w:cs="宋体"/>
                <w:sz w:val="20"/>
                <w:szCs w:val="20"/>
                <w:vertAlign w:val="baseline"/>
                <w:lang w:val="en-US" w:eastAsia="zh-CN"/>
              </w:rPr>
              <w:t>275.1</w:t>
            </w:r>
          </w:p>
        </w:tc>
        <w:tc>
          <w:tcPr>
            <w:tcW w:w="387" w:type="pc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default" w:ascii="宋体" w:hAnsi="宋体" w:eastAsia="宋体" w:cs="宋体"/>
                <w:sz w:val="20"/>
                <w:szCs w:val="20"/>
                <w:vertAlign w:val="baseline"/>
                <w:lang w:val="en-US" w:eastAsia="zh-CN"/>
              </w:rPr>
            </w:pPr>
            <w:r>
              <w:rPr>
                <w:rFonts w:hint="eastAsia" w:ascii="宋体" w:hAnsi="宋体" w:eastAsia="宋体" w:cs="宋体"/>
                <w:sz w:val="20"/>
                <w:szCs w:val="20"/>
                <w:vertAlign w:val="baseline"/>
                <w:lang w:val="en-US" w:eastAsia="zh-CN"/>
              </w:rPr>
              <w:t>100%</w:t>
            </w:r>
          </w:p>
        </w:tc>
        <w:tc>
          <w:tcPr>
            <w:tcW w:w="255" w:type="pc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default" w:ascii="宋体" w:hAnsi="宋体" w:eastAsia="宋体" w:cs="宋体"/>
                <w:sz w:val="20"/>
                <w:szCs w:val="20"/>
                <w:vertAlign w:val="baseline"/>
                <w:lang w:val="en-US" w:eastAsia="zh-CN"/>
              </w:rPr>
            </w:pPr>
            <w:r>
              <w:rPr>
                <w:rFonts w:hint="eastAsia" w:ascii="宋体" w:hAnsi="宋体" w:eastAsia="宋体" w:cs="宋体"/>
                <w:sz w:val="20"/>
                <w:szCs w:val="20"/>
                <w:vertAlign w:val="baseline"/>
                <w:lang w:val="en-US" w:eastAsia="zh-CN"/>
              </w:rPr>
              <w:t>94</w:t>
            </w:r>
          </w:p>
        </w:tc>
        <w:tc>
          <w:tcPr>
            <w:tcW w:w="242" w:type="pc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eastAsia" w:ascii="宋体" w:hAnsi="宋体" w:eastAsia="宋体" w:cs="宋体"/>
                <w:sz w:val="20"/>
                <w:szCs w:val="20"/>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51" w:type="pc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default" w:ascii="宋体" w:hAnsi="宋体" w:eastAsia="宋体" w:cs="宋体"/>
                <w:sz w:val="20"/>
                <w:szCs w:val="20"/>
                <w:vertAlign w:val="baseline"/>
                <w:lang w:val="en-US" w:eastAsia="zh-CN"/>
              </w:rPr>
            </w:pPr>
          </w:p>
        </w:tc>
        <w:tc>
          <w:tcPr>
            <w:tcW w:w="1007" w:type="pc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default" w:ascii="宋体" w:hAnsi="宋体" w:eastAsia="宋体" w:cs="宋体"/>
                <w:sz w:val="20"/>
                <w:szCs w:val="20"/>
                <w:vertAlign w:val="baseline"/>
                <w:lang w:val="en-US" w:eastAsia="zh-CN"/>
              </w:rPr>
            </w:pPr>
            <w:r>
              <w:rPr>
                <w:rFonts w:hint="eastAsia" w:ascii="宋体" w:hAnsi="宋体" w:eastAsia="宋体" w:cs="宋体"/>
                <w:sz w:val="20"/>
                <w:szCs w:val="20"/>
                <w:vertAlign w:val="baseline"/>
                <w:lang w:val="en-US" w:eastAsia="zh-CN"/>
              </w:rPr>
              <w:t>兰州新区高级中学</w:t>
            </w:r>
            <w:r>
              <w:rPr>
                <w:rFonts w:hint="eastAsia" w:ascii="宋体" w:hAnsi="宋体" w:eastAsia="宋体" w:cs="宋体"/>
                <w:sz w:val="22"/>
                <w:szCs w:val="22"/>
              </w:rPr>
              <w:t>2023年改善普通高中办学条件</w:t>
            </w:r>
          </w:p>
        </w:tc>
        <w:tc>
          <w:tcPr>
            <w:tcW w:w="433" w:type="pc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eastAsia" w:ascii="宋体" w:hAnsi="宋体" w:eastAsia="宋体" w:cs="宋体"/>
                <w:sz w:val="20"/>
                <w:szCs w:val="20"/>
                <w:vertAlign w:val="baseline"/>
              </w:rPr>
            </w:pPr>
            <w:r>
              <w:rPr>
                <w:rFonts w:hint="eastAsia" w:ascii="宋体" w:hAnsi="宋体" w:eastAsia="宋体" w:cs="宋体"/>
                <w:sz w:val="20"/>
                <w:szCs w:val="20"/>
                <w:vertAlign w:val="baseline"/>
                <w:lang w:val="en-US" w:eastAsia="zh-CN"/>
              </w:rPr>
              <w:t>兰州新区教育体育局（教育考试院）</w:t>
            </w:r>
          </w:p>
        </w:tc>
        <w:tc>
          <w:tcPr>
            <w:tcW w:w="306" w:type="pc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default" w:ascii="宋体" w:hAnsi="宋体" w:eastAsia="宋体" w:cs="宋体"/>
                <w:sz w:val="20"/>
                <w:szCs w:val="20"/>
                <w:vertAlign w:val="baseline"/>
                <w:lang w:val="en-US" w:eastAsia="zh-CN"/>
              </w:rPr>
            </w:pPr>
            <w:r>
              <w:rPr>
                <w:rFonts w:hint="eastAsia" w:ascii="宋体" w:hAnsi="宋体" w:eastAsia="宋体" w:cs="宋体"/>
                <w:sz w:val="20"/>
                <w:szCs w:val="20"/>
                <w:vertAlign w:val="baseline"/>
                <w:lang w:val="en-US" w:eastAsia="zh-CN"/>
              </w:rPr>
              <w:t>500</w:t>
            </w:r>
          </w:p>
        </w:tc>
        <w:tc>
          <w:tcPr>
            <w:tcW w:w="562" w:type="pc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default" w:ascii="宋体" w:hAnsi="宋体" w:eastAsia="宋体" w:cs="宋体"/>
                <w:sz w:val="20"/>
                <w:szCs w:val="20"/>
                <w:vertAlign w:val="baseline"/>
                <w:lang w:val="en-US" w:eastAsia="zh-CN"/>
              </w:rPr>
            </w:pPr>
            <w:r>
              <w:rPr>
                <w:rFonts w:hint="eastAsia" w:ascii="宋体" w:hAnsi="宋体" w:eastAsia="宋体" w:cs="宋体"/>
                <w:sz w:val="20"/>
                <w:szCs w:val="20"/>
                <w:vertAlign w:val="baseline"/>
                <w:lang w:val="en-US" w:eastAsia="zh-CN"/>
              </w:rPr>
              <w:t>500</w:t>
            </w:r>
          </w:p>
        </w:tc>
        <w:tc>
          <w:tcPr>
            <w:tcW w:w="588" w:type="pc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eastAsia" w:ascii="宋体" w:hAnsi="宋体" w:eastAsia="宋体" w:cs="宋体"/>
                <w:sz w:val="20"/>
                <w:szCs w:val="20"/>
                <w:vertAlign w:val="baseline"/>
              </w:rPr>
            </w:pPr>
          </w:p>
        </w:tc>
        <w:tc>
          <w:tcPr>
            <w:tcW w:w="473" w:type="pc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eastAsia" w:ascii="宋体" w:hAnsi="宋体" w:eastAsia="宋体" w:cs="宋体"/>
                <w:sz w:val="20"/>
                <w:szCs w:val="20"/>
                <w:vertAlign w:val="baseline"/>
              </w:rPr>
            </w:pPr>
          </w:p>
        </w:tc>
        <w:tc>
          <w:tcPr>
            <w:tcW w:w="493" w:type="pc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default" w:ascii="宋体" w:hAnsi="宋体" w:eastAsia="宋体" w:cs="宋体"/>
                <w:sz w:val="20"/>
                <w:szCs w:val="20"/>
                <w:vertAlign w:val="baseline"/>
                <w:lang w:val="en-US" w:eastAsia="zh-CN"/>
              </w:rPr>
            </w:pPr>
            <w:r>
              <w:rPr>
                <w:rFonts w:hint="eastAsia" w:ascii="宋体" w:hAnsi="宋体" w:eastAsia="宋体" w:cs="宋体"/>
                <w:sz w:val="20"/>
                <w:szCs w:val="20"/>
                <w:vertAlign w:val="baseline"/>
                <w:lang w:val="en-US" w:eastAsia="zh-CN"/>
              </w:rPr>
              <w:t>200</w:t>
            </w:r>
          </w:p>
        </w:tc>
        <w:tc>
          <w:tcPr>
            <w:tcW w:w="387" w:type="pc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default" w:ascii="宋体" w:hAnsi="宋体" w:eastAsia="宋体" w:cs="宋体"/>
                <w:sz w:val="20"/>
                <w:szCs w:val="20"/>
                <w:vertAlign w:val="baseline"/>
                <w:lang w:val="en-US" w:eastAsia="zh-CN"/>
              </w:rPr>
            </w:pPr>
            <w:r>
              <w:rPr>
                <w:rFonts w:hint="eastAsia" w:ascii="宋体" w:hAnsi="宋体" w:eastAsia="宋体" w:cs="宋体"/>
                <w:sz w:val="20"/>
                <w:szCs w:val="20"/>
                <w:vertAlign w:val="baseline"/>
                <w:lang w:val="en-US" w:eastAsia="zh-CN"/>
              </w:rPr>
              <w:t>40%</w:t>
            </w:r>
          </w:p>
        </w:tc>
        <w:tc>
          <w:tcPr>
            <w:tcW w:w="255" w:type="pc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default" w:ascii="宋体" w:hAnsi="宋体" w:eastAsia="宋体" w:cs="宋体"/>
                <w:sz w:val="20"/>
                <w:szCs w:val="20"/>
                <w:vertAlign w:val="baseline"/>
                <w:lang w:val="en-US" w:eastAsia="zh-CN"/>
              </w:rPr>
            </w:pPr>
            <w:r>
              <w:rPr>
                <w:rFonts w:hint="eastAsia" w:ascii="宋体" w:hAnsi="宋体" w:eastAsia="宋体" w:cs="宋体"/>
                <w:sz w:val="20"/>
                <w:szCs w:val="20"/>
                <w:vertAlign w:val="baseline"/>
                <w:lang w:val="en-US" w:eastAsia="zh-CN"/>
              </w:rPr>
              <w:t>68</w:t>
            </w:r>
          </w:p>
        </w:tc>
        <w:tc>
          <w:tcPr>
            <w:tcW w:w="242" w:type="pc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eastAsia" w:ascii="宋体" w:hAnsi="宋体" w:eastAsia="宋体" w:cs="宋体"/>
                <w:sz w:val="20"/>
                <w:szCs w:val="20"/>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51" w:type="pc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eastAsia" w:ascii="宋体" w:hAnsi="宋体" w:eastAsia="宋体" w:cs="宋体"/>
                <w:sz w:val="20"/>
                <w:szCs w:val="20"/>
                <w:vertAlign w:val="baseline"/>
                <w:lang w:val="en-US" w:eastAsia="zh-CN"/>
              </w:rPr>
            </w:pPr>
          </w:p>
        </w:tc>
        <w:tc>
          <w:tcPr>
            <w:tcW w:w="1007" w:type="pc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default" w:ascii="宋体" w:hAnsi="宋体" w:eastAsia="宋体" w:cs="宋体"/>
                <w:sz w:val="20"/>
                <w:szCs w:val="20"/>
                <w:vertAlign w:val="baseline"/>
                <w:lang w:val="en-US" w:eastAsia="zh-CN"/>
              </w:rPr>
            </w:pPr>
          </w:p>
        </w:tc>
        <w:tc>
          <w:tcPr>
            <w:tcW w:w="433" w:type="pc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eastAsia" w:ascii="宋体" w:hAnsi="宋体" w:eastAsia="宋体" w:cs="宋体"/>
                <w:sz w:val="20"/>
                <w:szCs w:val="20"/>
                <w:vertAlign w:val="baseline"/>
              </w:rPr>
            </w:pPr>
          </w:p>
        </w:tc>
        <w:tc>
          <w:tcPr>
            <w:tcW w:w="306" w:type="pc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eastAsia" w:ascii="宋体" w:hAnsi="宋体" w:eastAsia="宋体" w:cs="宋体"/>
                <w:sz w:val="20"/>
                <w:szCs w:val="20"/>
                <w:vertAlign w:val="baseline"/>
              </w:rPr>
            </w:pPr>
          </w:p>
        </w:tc>
        <w:tc>
          <w:tcPr>
            <w:tcW w:w="562" w:type="pc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eastAsia" w:ascii="宋体" w:hAnsi="宋体" w:eastAsia="宋体" w:cs="宋体"/>
                <w:sz w:val="20"/>
                <w:szCs w:val="20"/>
                <w:vertAlign w:val="baseline"/>
              </w:rPr>
            </w:pPr>
          </w:p>
        </w:tc>
        <w:tc>
          <w:tcPr>
            <w:tcW w:w="588" w:type="pc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eastAsia" w:ascii="宋体" w:hAnsi="宋体" w:eastAsia="宋体" w:cs="宋体"/>
                <w:sz w:val="20"/>
                <w:szCs w:val="20"/>
                <w:vertAlign w:val="baseline"/>
              </w:rPr>
            </w:pPr>
          </w:p>
        </w:tc>
        <w:tc>
          <w:tcPr>
            <w:tcW w:w="473" w:type="pc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eastAsia" w:ascii="宋体" w:hAnsi="宋体" w:eastAsia="宋体" w:cs="宋体"/>
                <w:sz w:val="20"/>
                <w:szCs w:val="20"/>
                <w:vertAlign w:val="baseline"/>
              </w:rPr>
            </w:pPr>
          </w:p>
        </w:tc>
        <w:tc>
          <w:tcPr>
            <w:tcW w:w="493" w:type="pc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eastAsia" w:ascii="宋体" w:hAnsi="宋体" w:eastAsia="宋体" w:cs="宋体"/>
                <w:sz w:val="20"/>
                <w:szCs w:val="20"/>
                <w:vertAlign w:val="baseline"/>
              </w:rPr>
            </w:pPr>
          </w:p>
        </w:tc>
        <w:tc>
          <w:tcPr>
            <w:tcW w:w="387" w:type="pc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eastAsia" w:ascii="宋体" w:hAnsi="宋体" w:eastAsia="宋体" w:cs="宋体"/>
                <w:sz w:val="20"/>
                <w:szCs w:val="20"/>
                <w:vertAlign w:val="baseline"/>
              </w:rPr>
            </w:pPr>
          </w:p>
        </w:tc>
        <w:tc>
          <w:tcPr>
            <w:tcW w:w="255" w:type="pc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eastAsia" w:ascii="宋体" w:hAnsi="宋体" w:eastAsia="宋体" w:cs="宋体"/>
                <w:sz w:val="20"/>
                <w:szCs w:val="20"/>
                <w:vertAlign w:val="baseline"/>
              </w:rPr>
            </w:pPr>
          </w:p>
        </w:tc>
        <w:tc>
          <w:tcPr>
            <w:tcW w:w="242" w:type="pc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eastAsia" w:ascii="宋体" w:hAnsi="宋体" w:eastAsia="宋体" w:cs="宋体"/>
                <w:sz w:val="20"/>
                <w:szCs w:val="20"/>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51" w:type="pc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eastAsia" w:ascii="宋体" w:hAnsi="宋体" w:eastAsia="宋体" w:cs="宋体"/>
                <w:sz w:val="20"/>
                <w:szCs w:val="20"/>
                <w:vertAlign w:val="baseline"/>
              </w:rPr>
            </w:pPr>
          </w:p>
        </w:tc>
        <w:tc>
          <w:tcPr>
            <w:tcW w:w="1007" w:type="pc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eastAsia" w:ascii="宋体" w:hAnsi="宋体" w:eastAsia="宋体" w:cs="宋体"/>
                <w:sz w:val="20"/>
                <w:szCs w:val="20"/>
                <w:vertAlign w:val="baseline"/>
              </w:rPr>
            </w:pPr>
          </w:p>
        </w:tc>
        <w:tc>
          <w:tcPr>
            <w:tcW w:w="433" w:type="pc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eastAsia" w:ascii="宋体" w:hAnsi="宋体" w:eastAsia="宋体" w:cs="宋体"/>
                <w:sz w:val="20"/>
                <w:szCs w:val="20"/>
                <w:vertAlign w:val="baseline"/>
              </w:rPr>
            </w:pPr>
          </w:p>
        </w:tc>
        <w:tc>
          <w:tcPr>
            <w:tcW w:w="306" w:type="pc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eastAsia" w:ascii="宋体" w:hAnsi="宋体" w:eastAsia="宋体" w:cs="宋体"/>
                <w:sz w:val="20"/>
                <w:szCs w:val="20"/>
                <w:vertAlign w:val="baseline"/>
              </w:rPr>
            </w:pPr>
          </w:p>
        </w:tc>
        <w:tc>
          <w:tcPr>
            <w:tcW w:w="562" w:type="pc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eastAsia" w:ascii="宋体" w:hAnsi="宋体" w:eastAsia="宋体" w:cs="宋体"/>
                <w:sz w:val="20"/>
                <w:szCs w:val="20"/>
                <w:vertAlign w:val="baseline"/>
              </w:rPr>
            </w:pPr>
          </w:p>
        </w:tc>
        <w:tc>
          <w:tcPr>
            <w:tcW w:w="588" w:type="pc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eastAsia" w:ascii="宋体" w:hAnsi="宋体" w:eastAsia="宋体" w:cs="宋体"/>
                <w:sz w:val="20"/>
                <w:szCs w:val="20"/>
                <w:vertAlign w:val="baseline"/>
              </w:rPr>
            </w:pPr>
          </w:p>
        </w:tc>
        <w:tc>
          <w:tcPr>
            <w:tcW w:w="473" w:type="pc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eastAsia" w:ascii="宋体" w:hAnsi="宋体" w:eastAsia="宋体" w:cs="宋体"/>
                <w:sz w:val="20"/>
                <w:szCs w:val="20"/>
                <w:vertAlign w:val="baseline"/>
              </w:rPr>
            </w:pPr>
          </w:p>
        </w:tc>
        <w:tc>
          <w:tcPr>
            <w:tcW w:w="493" w:type="pc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eastAsia" w:ascii="宋体" w:hAnsi="宋体" w:eastAsia="宋体" w:cs="宋体"/>
                <w:sz w:val="20"/>
                <w:szCs w:val="20"/>
                <w:vertAlign w:val="baseline"/>
              </w:rPr>
            </w:pPr>
          </w:p>
        </w:tc>
        <w:tc>
          <w:tcPr>
            <w:tcW w:w="387" w:type="pc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eastAsia" w:ascii="宋体" w:hAnsi="宋体" w:eastAsia="宋体" w:cs="宋体"/>
                <w:sz w:val="20"/>
                <w:szCs w:val="20"/>
                <w:vertAlign w:val="baseline"/>
              </w:rPr>
            </w:pPr>
          </w:p>
        </w:tc>
        <w:tc>
          <w:tcPr>
            <w:tcW w:w="255" w:type="pc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eastAsia" w:ascii="宋体" w:hAnsi="宋体" w:eastAsia="宋体" w:cs="宋体"/>
                <w:sz w:val="20"/>
                <w:szCs w:val="20"/>
                <w:vertAlign w:val="baseline"/>
              </w:rPr>
            </w:pPr>
          </w:p>
        </w:tc>
        <w:tc>
          <w:tcPr>
            <w:tcW w:w="242" w:type="pc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eastAsia" w:ascii="宋体" w:hAnsi="宋体" w:eastAsia="宋体" w:cs="宋体"/>
                <w:sz w:val="20"/>
                <w:szCs w:val="20"/>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51" w:type="pc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eastAsia" w:ascii="宋体" w:hAnsi="宋体" w:eastAsia="宋体" w:cs="宋体"/>
                <w:sz w:val="20"/>
                <w:szCs w:val="20"/>
                <w:vertAlign w:val="baseline"/>
              </w:rPr>
            </w:pPr>
          </w:p>
        </w:tc>
        <w:tc>
          <w:tcPr>
            <w:tcW w:w="1007" w:type="pc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eastAsia" w:ascii="宋体" w:hAnsi="宋体" w:eastAsia="宋体" w:cs="宋体"/>
                <w:sz w:val="20"/>
                <w:szCs w:val="20"/>
                <w:vertAlign w:val="baseline"/>
              </w:rPr>
            </w:pPr>
          </w:p>
        </w:tc>
        <w:tc>
          <w:tcPr>
            <w:tcW w:w="433" w:type="pc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eastAsia" w:ascii="宋体" w:hAnsi="宋体" w:eastAsia="宋体" w:cs="宋体"/>
                <w:sz w:val="20"/>
                <w:szCs w:val="20"/>
                <w:vertAlign w:val="baseline"/>
              </w:rPr>
            </w:pPr>
          </w:p>
        </w:tc>
        <w:tc>
          <w:tcPr>
            <w:tcW w:w="306" w:type="pc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eastAsia" w:ascii="宋体" w:hAnsi="宋体" w:eastAsia="宋体" w:cs="宋体"/>
                <w:sz w:val="20"/>
                <w:szCs w:val="20"/>
                <w:vertAlign w:val="baseline"/>
              </w:rPr>
            </w:pPr>
          </w:p>
        </w:tc>
        <w:tc>
          <w:tcPr>
            <w:tcW w:w="562" w:type="pc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eastAsia" w:ascii="宋体" w:hAnsi="宋体" w:eastAsia="宋体" w:cs="宋体"/>
                <w:sz w:val="20"/>
                <w:szCs w:val="20"/>
                <w:vertAlign w:val="baseline"/>
              </w:rPr>
            </w:pPr>
          </w:p>
        </w:tc>
        <w:tc>
          <w:tcPr>
            <w:tcW w:w="588" w:type="pc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eastAsia" w:ascii="宋体" w:hAnsi="宋体" w:eastAsia="宋体" w:cs="宋体"/>
                <w:sz w:val="20"/>
                <w:szCs w:val="20"/>
                <w:vertAlign w:val="baseline"/>
              </w:rPr>
            </w:pPr>
          </w:p>
        </w:tc>
        <w:tc>
          <w:tcPr>
            <w:tcW w:w="473" w:type="pc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eastAsia" w:ascii="宋体" w:hAnsi="宋体" w:eastAsia="宋体" w:cs="宋体"/>
                <w:sz w:val="20"/>
                <w:szCs w:val="20"/>
                <w:vertAlign w:val="baseline"/>
              </w:rPr>
            </w:pPr>
          </w:p>
        </w:tc>
        <w:tc>
          <w:tcPr>
            <w:tcW w:w="493" w:type="pc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eastAsia" w:ascii="宋体" w:hAnsi="宋体" w:eastAsia="宋体" w:cs="宋体"/>
                <w:sz w:val="20"/>
                <w:szCs w:val="20"/>
                <w:vertAlign w:val="baseline"/>
              </w:rPr>
            </w:pPr>
          </w:p>
        </w:tc>
        <w:tc>
          <w:tcPr>
            <w:tcW w:w="387" w:type="pc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eastAsia" w:ascii="宋体" w:hAnsi="宋体" w:eastAsia="宋体" w:cs="宋体"/>
                <w:sz w:val="20"/>
                <w:szCs w:val="20"/>
                <w:vertAlign w:val="baseline"/>
              </w:rPr>
            </w:pPr>
          </w:p>
        </w:tc>
        <w:tc>
          <w:tcPr>
            <w:tcW w:w="255" w:type="pc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eastAsia" w:ascii="宋体" w:hAnsi="宋体" w:eastAsia="宋体" w:cs="宋体"/>
                <w:sz w:val="20"/>
                <w:szCs w:val="20"/>
                <w:vertAlign w:val="baseline"/>
              </w:rPr>
            </w:pPr>
          </w:p>
        </w:tc>
        <w:tc>
          <w:tcPr>
            <w:tcW w:w="242" w:type="pc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eastAsia" w:ascii="宋体" w:hAnsi="宋体" w:eastAsia="宋体" w:cs="宋体"/>
                <w:sz w:val="20"/>
                <w:szCs w:val="20"/>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51" w:type="pc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eastAsia" w:ascii="宋体" w:hAnsi="宋体" w:eastAsia="宋体" w:cs="宋体"/>
                <w:sz w:val="20"/>
                <w:szCs w:val="20"/>
                <w:vertAlign w:val="baseline"/>
              </w:rPr>
            </w:pPr>
          </w:p>
        </w:tc>
        <w:tc>
          <w:tcPr>
            <w:tcW w:w="1007" w:type="pc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eastAsia" w:ascii="宋体" w:hAnsi="宋体" w:eastAsia="宋体" w:cs="宋体"/>
                <w:sz w:val="20"/>
                <w:szCs w:val="20"/>
                <w:vertAlign w:val="baseline"/>
              </w:rPr>
            </w:pPr>
          </w:p>
        </w:tc>
        <w:tc>
          <w:tcPr>
            <w:tcW w:w="433" w:type="pc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eastAsia" w:ascii="宋体" w:hAnsi="宋体" w:eastAsia="宋体" w:cs="宋体"/>
                <w:sz w:val="20"/>
                <w:szCs w:val="20"/>
                <w:vertAlign w:val="baseline"/>
              </w:rPr>
            </w:pPr>
          </w:p>
        </w:tc>
        <w:tc>
          <w:tcPr>
            <w:tcW w:w="306" w:type="pc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eastAsia" w:ascii="宋体" w:hAnsi="宋体" w:eastAsia="宋体" w:cs="宋体"/>
                <w:sz w:val="20"/>
                <w:szCs w:val="20"/>
                <w:vertAlign w:val="baseline"/>
              </w:rPr>
            </w:pPr>
          </w:p>
        </w:tc>
        <w:tc>
          <w:tcPr>
            <w:tcW w:w="562" w:type="pc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eastAsia" w:ascii="宋体" w:hAnsi="宋体" w:eastAsia="宋体" w:cs="宋体"/>
                <w:sz w:val="20"/>
                <w:szCs w:val="20"/>
                <w:vertAlign w:val="baseline"/>
              </w:rPr>
            </w:pPr>
          </w:p>
        </w:tc>
        <w:tc>
          <w:tcPr>
            <w:tcW w:w="588" w:type="pc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eastAsia" w:ascii="宋体" w:hAnsi="宋体" w:eastAsia="宋体" w:cs="宋体"/>
                <w:sz w:val="20"/>
                <w:szCs w:val="20"/>
                <w:vertAlign w:val="baseline"/>
              </w:rPr>
            </w:pPr>
          </w:p>
        </w:tc>
        <w:tc>
          <w:tcPr>
            <w:tcW w:w="473" w:type="pc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eastAsia" w:ascii="宋体" w:hAnsi="宋体" w:eastAsia="宋体" w:cs="宋体"/>
                <w:sz w:val="20"/>
                <w:szCs w:val="20"/>
                <w:vertAlign w:val="baseline"/>
              </w:rPr>
            </w:pPr>
          </w:p>
        </w:tc>
        <w:tc>
          <w:tcPr>
            <w:tcW w:w="493" w:type="pc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eastAsia" w:ascii="宋体" w:hAnsi="宋体" w:eastAsia="宋体" w:cs="宋体"/>
                <w:sz w:val="20"/>
                <w:szCs w:val="20"/>
                <w:vertAlign w:val="baseline"/>
              </w:rPr>
            </w:pPr>
          </w:p>
        </w:tc>
        <w:tc>
          <w:tcPr>
            <w:tcW w:w="387" w:type="pc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eastAsia" w:ascii="宋体" w:hAnsi="宋体" w:eastAsia="宋体" w:cs="宋体"/>
                <w:sz w:val="20"/>
                <w:szCs w:val="20"/>
                <w:vertAlign w:val="baseline"/>
              </w:rPr>
            </w:pPr>
          </w:p>
        </w:tc>
        <w:tc>
          <w:tcPr>
            <w:tcW w:w="255" w:type="pc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eastAsia" w:ascii="宋体" w:hAnsi="宋体" w:eastAsia="宋体" w:cs="宋体"/>
                <w:sz w:val="20"/>
                <w:szCs w:val="20"/>
                <w:vertAlign w:val="baseline"/>
              </w:rPr>
            </w:pPr>
          </w:p>
        </w:tc>
        <w:tc>
          <w:tcPr>
            <w:tcW w:w="242" w:type="pc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eastAsia" w:ascii="宋体" w:hAnsi="宋体" w:eastAsia="宋体" w:cs="宋体"/>
                <w:sz w:val="20"/>
                <w:szCs w:val="20"/>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51" w:type="pc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eastAsia" w:ascii="宋体" w:hAnsi="宋体" w:eastAsia="宋体" w:cs="宋体"/>
                <w:sz w:val="20"/>
                <w:szCs w:val="20"/>
                <w:vertAlign w:val="baseline"/>
              </w:rPr>
            </w:pPr>
          </w:p>
        </w:tc>
        <w:tc>
          <w:tcPr>
            <w:tcW w:w="1007" w:type="pc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eastAsia" w:ascii="宋体" w:hAnsi="宋体" w:eastAsia="宋体" w:cs="宋体"/>
                <w:sz w:val="20"/>
                <w:szCs w:val="20"/>
                <w:vertAlign w:val="baseline"/>
              </w:rPr>
            </w:pPr>
          </w:p>
        </w:tc>
        <w:tc>
          <w:tcPr>
            <w:tcW w:w="433" w:type="pc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eastAsia" w:ascii="宋体" w:hAnsi="宋体" w:eastAsia="宋体" w:cs="宋体"/>
                <w:sz w:val="20"/>
                <w:szCs w:val="20"/>
                <w:vertAlign w:val="baseline"/>
              </w:rPr>
            </w:pPr>
          </w:p>
        </w:tc>
        <w:tc>
          <w:tcPr>
            <w:tcW w:w="306" w:type="pc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eastAsia" w:ascii="宋体" w:hAnsi="宋体" w:eastAsia="宋体" w:cs="宋体"/>
                <w:sz w:val="20"/>
                <w:szCs w:val="20"/>
                <w:vertAlign w:val="baseline"/>
              </w:rPr>
            </w:pPr>
          </w:p>
        </w:tc>
        <w:tc>
          <w:tcPr>
            <w:tcW w:w="562" w:type="pc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eastAsia" w:ascii="宋体" w:hAnsi="宋体" w:eastAsia="宋体" w:cs="宋体"/>
                <w:sz w:val="20"/>
                <w:szCs w:val="20"/>
                <w:vertAlign w:val="baseline"/>
              </w:rPr>
            </w:pPr>
          </w:p>
        </w:tc>
        <w:tc>
          <w:tcPr>
            <w:tcW w:w="588" w:type="pc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eastAsia" w:ascii="宋体" w:hAnsi="宋体" w:eastAsia="宋体" w:cs="宋体"/>
                <w:sz w:val="20"/>
                <w:szCs w:val="20"/>
                <w:vertAlign w:val="baseline"/>
              </w:rPr>
            </w:pPr>
          </w:p>
        </w:tc>
        <w:tc>
          <w:tcPr>
            <w:tcW w:w="473" w:type="pc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eastAsia" w:ascii="宋体" w:hAnsi="宋体" w:eastAsia="宋体" w:cs="宋体"/>
                <w:sz w:val="20"/>
                <w:szCs w:val="20"/>
                <w:vertAlign w:val="baseline"/>
              </w:rPr>
            </w:pPr>
          </w:p>
        </w:tc>
        <w:tc>
          <w:tcPr>
            <w:tcW w:w="493" w:type="pc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eastAsia" w:ascii="宋体" w:hAnsi="宋体" w:eastAsia="宋体" w:cs="宋体"/>
                <w:sz w:val="20"/>
                <w:szCs w:val="20"/>
                <w:vertAlign w:val="baseline"/>
              </w:rPr>
            </w:pPr>
          </w:p>
        </w:tc>
        <w:tc>
          <w:tcPr>
            <w:tcW w:w="387" w:type="pc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eastAsia" w:ascii="宋体" w:hAnsi="宋体" w:eastAsia="宋体" w:cs="宋体"/>
                <w:sz w:val="20"/>
                <w:szCs w:val="20"/>
                <w:vertAlign w:val="baseline"/>
              </w:rPr>
            </w:pPr>
          </w:p>
        </w:tc>
        <w:tc>
          <w:tcPr>
            <w:tcW w:w="255" w:type="pc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eastAsia" w:ascii="宋体" w:hAnsi="宋体" w:eastAsia="宋体" w:cs="宋体"/>
                <w:sz w:val="20"/>
                <w:szCs w:val="20"/>
                <w:vertAlign w:val="baseline"/>
              </w:rPr>
            </w:pPr>
          </w:p>
        </w:tc>
        <w:tc>
          <w:tcPr>
            <w:tcW w:w="242" w:type="pc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eastAsia" w:ascii="宋体" w:hAnsi="宋体" w:eastAsia="宋体" w:cs="宋体"/>
                <w:sz w:val="20"/>
                <w:szCs w:val="20"/>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51" w:type="pc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eastAsia" w:ascii="宋体" w:hAnsi="宋体" w:eastAsia="宋体" w:cs="宋体"/>
                <w:sz w:val="20"/>
                <w:szCs w:val="20"/>
                <w:vertAlign w:val="baseline"/>
              </w:rPr>
            </w:pPr>
          </w:p>
        </w:tc>
        <w:tc>
          <w:tcPr>
            <w:tcW w:w="1007" w:type="pc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eastAsia" w:ascii="宋体" w:hAnsi="宋体" w:eastAsia="宋体" w:cs="宋体"/>
                <w:sz w:val="20"/>
                <w:szCs w:val="20"/>
                <w:vertAlign w:val="baseline"/>
              </w:rPr>
            </w:pPr>
          </w:p>
        </w:tc>
        <w:tc>
          <w:tcPr>
            <w:tcW w:w="433" w:type="pc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eastAsia" w:ascii="宋体" w:hAnsi="宋体" w:eastAsia="宋体" w:cs="宋体"/>
                <w:sz w:val="20"/>
                <w:szCs w:val="20"/>
                <w:vertAlign w:val="baseline"/>
              </w:rPr>
            </w:pPr>
          </w:p>
        </w:tc>
        <w:tc>
          <w:tcPr>
            <w:tcW w:w="306" w:type="pc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eastAsia" w:ascii="宋体" w:hAnsi="宋体" w:eastAsia="宋体" w:cs="宋体"/>
                <w:sz w:val="20"/>
                <w:szCs w:val="20"/>
                <w:vertAlign w:val="baseline"/>
              </w:rPr>
            </w:pPr>
          </w:p>
        </w:tc>
        <w:tc>
          <w:tcPr>
            <w:tcW w:w="562" w:type="pc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eastAsia" w:ascii="宋体" w:hAnsi="宋体" w:eastAsia="宋体" w:cs="宋体"/>
                <w:sz w:val="20"/>
                <w:szCs w:val="20"/>
                <w:vertAlign w:val="baseline"/>
              </w:rPr>
            </w:pPr>
          </w:p>
        </w:tc>
        <w:tc>
          <w:tcPr>
            <w:tcW w:w="588" w:type="pc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eastAsia" w:ascii="宋体" w:hAnsi="宋体" w:eastAsia="宋体" w:cs="宋体"/>
                <w:sz w:val="20"/>
                <w:szCs w:val="20"/>
                <w:vertAlign w:val="baseline"/>
              </w:rPr>
            </w:pPr>
          </w:p>
        </w:tc>
        <w:tc>
          <w:tcPr>
            <w:tcW w:w="473" w:type="pc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eastAsia" w:ascii="宋体" w:hAnsi="宋体" w:eastAsia="宋体" w:cs="宋体"/>
                <w:sz w:val="20"/>
                <w:szCs w:val="20"/>
                <w:vertAlign w:val="baseline"/>
              </w:rPr>
            </w:pPr>
          </w:p>
        </w:tc>
        <w:tc>
          <w:tcPr>
            <w:tcW w:w="493" w:type="pc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eastAsia" w:ascii="宋体" w:hAnsi="宋体" w:eastAsia="宋体" w:cs="宋体"/>
                <w:sz w:val="20"/>
                <w:szCs w:val="20"/>
                <w:vertAlign w:val="baseline"/>
              </w:rPr>
            </w:pPr>
          </w:p>
        </w:tc>
        <w:tc>
          <w:tcPr>
            <w:tcW w:w="387" w:type="pc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eastAsia" w:ascii="宋体" w:hAnsi="宋体" w:eastAsia="宋体" w:cs="宋体"/>
                <w:sz w:val="20"/>
                <w:szCs w:val="20"/>
                <w:vertAlign w:val="baseline"/>
              </w:rPr>
            </w:pPr>
          </w:p>
        </w:tc>
        <w:tc>
          <w:tcPr>
            <w:tcW w:w="255" w:type="pc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eastAsia" w:ascii="宋体" w:hAnsi="宋体" w:eastAsia="宋体" w:cs="宋体"/>
                <w:sz w:val="20"/>
                <w:szCs w:val="20"/>
                <w:vertAlign w:val="baseline"/>
              </w:rPr>
            </w:pPr>
          </w:p>
        </w:tc>
        <w:tc>
          <w:tcPr>
            <w:tcW w:w="242" w:type="pc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eastAsia" w:ascii="宋体" w:hAnsi="宋体" w:eastAsia="宋体" w:cs="宋体"/>
                <w:sz w:val="20"/>
                <w:szCs w:val="20"/>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51" w:type="pc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eastAsia" w:ascii="宋体" w:hAnsi="宋体" w:eastAsia="宋体" w:cs="宋体"/>
                <w:sz w:val="20"/>
                <w:szCs w:val="20"/>
                <w:vertAlign w:val="baseline"/>
              </w:rPr>
            </w:pPr>
          </w:p>
        </w:tc>
        <w:tc>
          <w:tcPr>
            <w:tcW w:w="1007" w:type="pc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eastAsia" w:ascii="宋体" w:hAnsi="宋体" w:eastAsia="宋体" w:cs="宋体"/>
                <w:sz w:val="20"/>
                <w:szCs w:val="20"/>
                <w:vertAlign w:val="baseline"/>
              </w:rPr>
            </w:pPr>
          </w:p>
        </w:tc>
        <w:tc>
          <w:tcPr>
            <w:tcW w:w="433" w:type="pc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eastAsia" w:ascii="宋体" w:hAnsi="宋体" w:eastAsia="宋体" w:cs="宋体"/>
                <w:sz w:val="20"/>
                <w:szCs w:val="20"/>
                <w:vertAlign w:val="baseline"/>
              </w:rPr>
            </w:pPr>
          </w:p>
        </w:tc>
        <w:tc>
          <w:tcPr>
            <w:tcW w:w="306" w:type="pc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eastAsia" w:ascii="宋体" w:hAnsi="宋体" w:eastAsia="宋体" w:cs="宋体"/>
                <w:sz w:val="20"/>
                <w:szCs w:val="20"/>
                <w:vertAlign w:val="baseline"/>
              </w:rPr>
            </w:pPr>
          </w:p>
        </w:tc>
        <w:tc>
          <w:tcPr>
            <w:tcW w:w="562" w:type="pc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eastAsia" w:ascii="宋体" w:hAnsi="宋体" w:eastAsia="宋体" w:cs="宋体"/>
                <w:sz w:val="20"/>
                <w:szCs w:val="20"/>
                <w:vertAlign w:val="baseline"/>
              </w:rPr>
            </w:pPr>
          </w:p>
        </w:tc>
        <w:tc>
          <w:tcPr>
            <w:tcW w:w="588" w:type="pc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eastAsia" w:ascii="宋体" w:hAnsi="宋体" w:eastAsia="宋体" w:cs="宋体"/>
                <w:sz w:val="20"/>
                <w:szCs w:val="20"/>
                <w:vertAlign w:val="baseline"/>
              </w:rPr>
            </w:pPr>
          </w:p>
        </w:tc>
        <w:tc>
          <w:tcPr>
            <w:tcW w:w="473" w:type="pc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eastAsia" w:ascii="宋体" w:hAnsi="宋体" w:eastAsia="宋体" w:cs="宋体"/>
                <w:sz w:val="20"/>
                <w:szCs w:val="20"/>
                <w:vertAlign w:val="baseline"/>
              </w:rPr>
            </w:pPr>
          </w:p>
        </w:tc>
        <w:tc>
          <w:tcPr>
            <w:tcW w:w="493" w:type="pc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eastAsia" w:ascii="宋体" w:hAnsi="宋体" w:eastAsia="宋体" w:cs="宋体"/>
                <w:sz w:val="20"/>
                <w:szCs w:val="20"/>
                <w:vertAlign w:val="baseline"/>
              </w:rPr>
            </w:pPr>
          </w:p>
        </w:tc>
        <w:tc>
          <w:tcPr>
            <w:tcW w:w="387" w:type="pc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eastAsia" w:ascii="宋体" w:hAnsi="宋体" w:eastAsia="宋体" w:cs="宋体"/>
                <w:sz w:val="20"/>
                <w:szCs w:val="20"/>
                <w:vertAlign w:val="baseline"/>
              </w:rPr>
            </w:pPr>
          </w:p>
        </w:tc>
        <w:tc>
          <w:tcPr>
            <w:tcW w:w="255" w:type="pc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eastAsia" w:ascii="宋体" w:hAnsi="宋体" w:eastAsia="宋体" w:cs="宋体"/>
                <w:sz w:val="20"/>
                <w:szCs w:val="20"/>
                <w:vertAlign w:val="baseline"/>
              </w:rPr>
            </w:pPr>
          </w:p>
        </w:tc>
        <w:tc>
          <w:tcPr>
            <w:tcW w:w="242" w:type="pc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eastAsia" w:ascii="宋体" w:hAnsi="宋体" w:eastAsia="宋体" w:cs="宋体"/>
                <w:sz w:val="20"/>
                <w:szCs w:val="20"/>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51" w:type="pc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eastAsia" w:ascii="宋体" w:hAnsi="宋体" w:eastAsia="宋体" w:cs="宋体"/>
                <w:sz w:val="20"/>
                <w:szCs w:val="20"/>
                <w:vertAlign w:val="baseline"/>
              </w:rPr>
            </w:pPr>
          </w:p>
        </w:tc>
        <w:tc>
          <w:tcPr>
            <w:tcW w:w="1007" w:type="pc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eastAsia" w:ascii="宋体" w:hAnsi="宋体" w:eastAsia="宋体" w:cs="宋体"/>
                <w:sz w:val="20"/>
                <w:szCs w:val="20"/>
                <w:vertAlign w:val="baseline"/>
              </w:rPr>
            </w:pPr>
          </w:p>
        </w:tc>
        <w:tc>
          <w:tcPr>
            <w:tcW w:w="433" w:type="pc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eastAsia" w:ascii="宋体" w:hAnsi="宋体" w:eastAsia="宋体" w:cs="宋体"/>
                <w:sz w:val="20"/>
                <w:szCs w:val="20"/>
                <w:vertAlign w:val="baseline"/>
              </w:rPr>
            </w:pPr>
          </w:p>
        </w:tc>
        <w:tc>
          <w:tcPr>
            <w:tcW w:w="306" w:type="pc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eastAsia" w:ascii="宋体" w:hAnsi="宋体" w:eastAsia="宋体" w:cs="宋体"/>
                <w:sz w:val="20"/>
                <w:szCs w:val="20"/>
                <w:vertAlign w:val="baseline"/>
              </w:rPr>
            </w:pPr>
          </w:p>
        </w:tc>
        <w:tc>
          <w:tcPr>
            <w:tcW w:w="562" w:type="pc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eastAsia" w:ascii="宋体" w:hAnsi="宋体" w:eastAsia="宋体" w:cs="宋体"/>
                <w:sz w:val="20"/>
                <w:szCs w:val="20"/>
                <w:vertAlign w:val="baseline"/>
              </w:rPr>
            </w:pPr>
          </w:p>
        </w:tc>
        <w:tc>
          <w:tcPr>
            <w:tcW w:w="588" w:type="pc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eastAsia" w:ascii="宋体" w:hAnsi="宋体" w:eastAsia="宋体" w:cs="宋体"/>
                <w:sz w:val="20"/>
                <w:szCs w:val="20"/>
                <w:vertAlign w:val="baseline"/>
              </w:rPr>
            </w:pPr>
          </w:p>
        </w:tc>
        <w:tc>
          <w:tcPr>
            <w:tcW w:w="473" w:type="pc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eastAsia" w:ascii="宋体" w:hAnsi="宋体" w:eastAsia="宋体" w:cs="宋体"/>
                <w:sz w:val="20"/>
                <w:szCs w:val="20"/>
                <w:vertAlign w:val="baseline"/>
              </w:rPr>
            </w:pPr>
          </w:p>
        </w:tc>
        <w:tc>
          <w:tcPr>
            <w:tcW w:w="493" w:type="pc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eastAsia" w:ascii="宋体" w:hAnsi="宋体" w:eastAsia="宋体" w:cs="宋体"/>
                <w:sz w:val="20"/>
                <w:szCs w:val="20"/>
                <w:vertAlign w:val="baseline"/>
              </w:rPr>
            </w:pPr>
          </w:p>
        </w:tc>
        <w:tc>
          <w:tcPr>
            <w:tcW w:w="387" w:type="pc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eastAsia" w:ascii="宋体" w:hAnsi="宋体" w:eastAsia="宋体" w:cs="宋体"/>
                <w:sz w:val="20"/>
                <w:szCs w:val="20"/>
                <w:vertAlign w:val="baseline"/>
              </w:rPr>
            </w:pPr>
          </w:p>
        </w:tc>
        <w:tc>
          <w:tcPr>
            <w:tcW w:w="255" w:type="pc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eastAsia" w:ascii="宋体" w:hAnsi="宋体" w:eastAsia="宋体" w:cs="宋体"/>
                <w:sz w:val="20"/>
                <w:szCs w:val="20"/>
                <w:vertAlign w:val="baseline"/>
              </w:rPr>
            </w:pPr>
          </w:p>
        </w:tc>
        <w:tc>
          <w:tcPr>
            <w:tcW w:w="242" w:type="pc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eastAsia" w:ascii="宋体" w:hAnsi="宋体" w:eastAsia="宋体" w:cs="宋体"/>
                <w:sz w:val="20"/>
                <w:szCs w:val="20"/>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691" w:type="pct"/>
            <w:gridSpan w:val="3"/>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eastAsia" w:ascii="宋体" w:hAnsi="宋体" w:eastAsia="宋体" w:cs="宋体"/>
                <w:sz w:val="20"/>
                <w:szCs w:val="20"/>
                <w:vertAlign w:val="baseline"/>
                <w:lang w:val="en-US" w:eastAsia="zh-CN"/>
              </w:rPr>
            </w:pPr>
            <w:r>
              <w:rPr>
                <w:rFonts w:hint="eastAsia" w:ascii="宋体" w:hAnsi="宋体" w:eastAsia="宋体" w:cs="宋体"/>
                <w:sz w:val="20"/>
                <w:szCs w:val="20"/>
                <w:vertAlign w:val="baseline"/>
                <w:lang w:val="en-US" w:eastAsia="zh-CN"/>
              </w:rPr>
              <w:t>合计</w:t>
            </w:r>
          </w:p>
        </w:tc>
        <w:tc>
          <w:tcPr>
            <w:tcW w:w="306" w:type="pc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eastAsia" w:ascii="宋体" w:hAnsi="宋体" w:eastAsia="宋体" w:cs="宋体"/>
                <w:sz w:val="20"/>
                <w:szCs w:val="20"/>
                <w:vertAlign w:val="baseline"/>
              </w:rPr>
            </w:pPr>
          </w:p>
        </w:tc>
        <w:tc>
          <w:tcPr>
            <w:tcW w:w="562" w:type="pc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eastAsia" w:ascii="宋体" w:hAnsi="宋体" w:eastAsia="宋体" w:cs="宋体"/>
                <w:sz w:val="20"/>
                <w:szCs w:val="20"/>
                <w:vertAlign w:val="baseline"/>
              </w:rPr>
            </w:pPr>
          </w:p>
        </w:tc>
        <w:tc>
          <w:tcPr>
            <w:tcW w:w="588" w:type="pc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eastAsia" w:ascii="宋体" w:hAnsi="宋体" w:eastAsia="宋体" w:cs="宋体"/>
                <w:sz w:val="20"/>
                <w:szCs w:val="20"/>
                <w:vertAlign w:val="baseline"/>
              </w:rPr>
            </w:pPr>
          </w:p>
        </w:tc>
        <w:tc>
          <w:tcPr>
            <w:tcW w:w="473" w:type="pc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eastAsia" w:ascii="宋体" w:hAnsi="宋体" w:eastAsia="宋体" w:cs="宋体"/>
                <w:sz w:val="20"/>
                <w:szCs w:val="20"/>
                <w:vertAlign w:val="baseline"/>
              </w:rPr>
            </w:pPr>
          </w:p>
        </w:tc>
        <w:tc>
          <w:tcPr>
            <w:tcW w:w="493" w:type="pc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eastAsia" w:ascii="宋体" w:hAnsi="宋体" w:eastAsia="宋体" w:cs="宋体"/>
                <w:sz w:val="20"/>
                <w:szCs w:val="20"/>
                <w:vertAlign w:val="baseline"/>
              </w:rPr>
            </w:pPr>
          </w:p>
        </w:tc>
        <w:tc>
          <w:tcPr>
            <w:tcW w:w="387" w:type="pc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eastAsia" w:ascii="宋体" w:hAnsi="宋体" w:eastAsia="宋体" w:cs="宋体"/>
                <w:sz w:val="20"/>
                <w:szCs w:val="20"/>
                <w:vertAlign w:val="baseline"/>
              </w:rPr>
            </w:pPr>
          </w:p>
        </w:tc>
        <w:tc>
          <w:tcPr>
            <w:tcW w:w="255" w:type="pc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eastAsia" w:ascii="宋体" w:hAnsi="宋体" w:eastAsia="宋体" w:cs="宋体"/>
                <w:sz w:val="20"/>
                <w:szCs w:val="20"/>
                <w:vertAlign w:val="baseline"/>
              </w:rPr>
            </w:pPr>
          </w:p>
        </w:tc>
        <w:tc>
          <w:tcPr>
            <w:tcW w:w="242" w:type="pc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firstLine="0" w:firstLineChars="0"/>
              <w:jc w:val="center"/>
              <w:textAlignment w:val="baseline"/>
              <w:rPr>
                <w:rFonts w:hint="eastAsia" w:ascii="宋体" w:hAnsi="宋体" w:eastAsia="宋体" w:cs="宋体"/>
                <w:sz w:val="20"/>
                <w:szCs w:val="20"/>
                <w:vertAlign w:val="baseline"/>
              </w:rPr>
            </w:pPr>
          </w:p>
        </w:tc>
      </w:tr>
    </w:tbl>
    <w:p>
      <w:r>
        <w:rPr>
          <w:rFonts w:hint="eastAsia" w:eastAsia="宋体" w:cs="Arial"/>
          <w:sz w:val="21"/>
          <w:szCs w:val="21"/>
          <w:lang w:val="en-US" w:eastAsia="zh-CN"/>
        </w:rPr>
        <w:t>注:1.单位项目自评合计得分以各项目资金占比为权重，对各项目自评分值加权平均计算。</w:t>
      </w:r>
    </w:p>
    <w:p>
      <w:pPr>
        <w:pStyle w:val="2"/>
        <w:rPr>
          <w:rFonts w:hint="default"/>
          <w:lang w:val="en-US" w:eastAsia="zh-CN"/>
        </w:rPr>
      </w:pPr>
    </w:p>
    <w:sectPr>
      <w:pgSz w:w="11906" w:h="16838"/>
      <w:pgMar w:top="1440" w:right="1797" w:bottom="1440" w:left="179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大标宋简体">
    <w:panose1 w:val="02010601030101010101"/>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Y5ZDlkOWExNWFlYTc1OTI5ZDE4MGRjZDM2ZWVhYjIifQ=="/>
  </w:docVars>
  <w:rsids>
    <w:rsidRoot w:val="004A5669"/>
    <w:rsid w:val="00011449"/>
    <w:rsid w:val="0004160E"/>
    <w:rsid w:val="000918ED"/>
    <w:rsid w:val="000D5B9D"/>
    <w:rsid w:val="000D5D38"/>
    <w:rsid w:val="000D6B73"/>
    <w:rsid w:val="00146E34"/>
    <w:rsid w:val="0016075B"/>
    <w:rsid w:val="001B050A"/>
    <w:rsid w:val="002363EE"/>
    <w:rsid w:val="0024448F"/>
    <w:rsid w:val="0029737C"/>
    <w:rsid w:val="003A1163"/>
    <w:rsid w:val="004052EE"/>
    <w:rsid w:val="004341D5"/>
    <w:rsid w:val="00442566"/>
    <w:rsid w:val="004A5669"/>
    <w:rsid w:val="004D5E38"/>
    <w:rsid w:val="004F0E66"/>
    <w:rsid w:val="00500154"/>
    <w:rsid w:val="005145C4"/>
    <w:rsid w:val="00590F59"/>
    <w:rsid w:val="005B1C27"/>
    <w:rsid w:val="005B587B"/>
    <w:rsid w:val="00626B6B"/>
    <w:rsid w:val="00655350"/>
    <w:rsid w:val="006A4163"/>
    <w:rsid w:val="006F3194"/>
    <w:rsid w:val="007B6004"/>
    <w:rsid w:val="00802895"/>
    <w:rsid w:val="008524E7"/>
    <w:rsid w:val="00867B6D"/>
    <w:rsid w:val="008C3750"/>
    <w:rsid w:val="009068B1"/>
    <w:rsid w:val="00952359"/>
    <w:rsid w:val="0097474C"/>
    <w:rsid w:val="009D36B8"/>
    <w:rsid w:val="00A82ADE"/>
    <w:rsid w:val="00AD0618"/>
    <w:rsid w:val="00AD2288"/>
    <w:rsid w:val="00AE3E94"/>
    <w:rsid w:val="00B06C64"/>
    <w:rsid w:val="00B3425B"/>
    <w:rsid w:val="00B83667"/>
    <w:rsid w:val="00BB6275"/>
    <w:rsid w:val="00BD22F1"/>
    <w:rsid w:val="00BF059A"/>
    <w:rsid w:val="00C06BC7"/>
    <w:rsid w:val="00CE3BFD"/>
    <w:rsid w:val="00CF3B40"/>
    <w:rsid w:val="00D0094F"/>
    <w:rsid w:val="00D01218"/>
    <w:rsid w:val="00D03762"/>
    <w:rsid w:val="00D36BC8"/>
    <w:rsid w:val="00D60293"/>
    <w:rsid w:val="00D724B8"/>
    <w:rsid w:val="00DD382B"/>
    <w:rsid w:val="00E25323"/>
    <w:rsid w:val="00E3138C"/>
    <w:rsid w:val="00E33F47"/>
    <w:rsid w:val="00E50373"/>
    <w:rsid w:val="00E82F6B"/>
    <w:rsid w:val="00EA6CFB"/>
    <w:rsid w:val="00ED635F"/>
    <w:rsid w:val="00FA4717"/>
    <w:rsid w:val="00FF4577"/>
    <w:rsid w:val="024C0097"/>
    <w:rsid w:val="052D5268"/>
    <w:rsid w:val="07B3005A"/>
    <w:rsid w:val="0E1449E3"/>
    <w:rsid w:val="1B402F36"/>
    <w:rsid w:val="200C50E2"/>
    <w:rsid w:val="28F14906"/>
    <w:rsid w:val="28F3209F"/>
    <w:rsid w:val="2CA91F31"/>
    <w:rsid w:val="2D8225E0"/>
    <w:rsid w:val="2F5C7C51"/>
    <w:rsid w:val="2FE91BD9"/>
    <w:rsid w:val="32344B6C"/>
    <w:rsid w:val="36204B35"/>
    <w:rsid w:val="3998116F"/>
    <w:rsid w:val="3AB60F8A"/>
    <w:rsid w:val="3DC47494"/>
    <w:rsid w:val="3E6527A9"/>
    <w:rsid w:val="3F7D2395"/>
    <w:rsid w:val="3FC64AD2"/>
    <w:rsid w:val="40893537"/>
    <w:rsid w:val="463742FB"/>
    <w:rsid w:val="4EF00620"/>
    <w:rsid w:val="52F537F4"/>
    <w:rsid w:val="583F303F"/>
    <w:rsid w:val="5C0937F8"/>
    <w:rsid w:val="5EF375D3"/>
    <w:rsid w:val="65EC7977"/>
    <w:rsid w:val="72150C69"/>
    <w:rsid w:val="79196D8E"/>
    <w:rsid w:val="7B0C0063"/>
    <w:rsid w:val="7B454F96"/>
    <w:rsid w:val="7D9575FA"/>
    <w:rsid w:val="7E10228F"/>
    <w:rsid w:val="7E791DE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0" w:semiHidden="0"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6"/>
    <w:basedOn w:val="1"/>
    <w:next w:val="1"/>
    <w:unhideWhenUsed/>
    <w:qFormat/>
    <w:uiPriority w:val="0"/>
    <w:pPr>
      <w:keepNext/>
      <w:keepLines/>
      <w:spacing w:before="240" w:beforeLines="0" w:beforeAutospacing="0" w:after="64" w:afterLines="0" w:afterAutospacing="0" w:line="317" w:lineRule="auto"/>
      <w:outlineLvl w:val="5"/>
    </w:pPr>
    <w:rPr>
      <w:rFonts w:ascii="Arial" w:hAnsi="Arial" w:eastAsia="黑体"/>
      <w:b/>
      <w:sz w:val="24"/>
    </w:rPr>
  </w:style>
  <w:style w:type="character" w:default="1" w:styleId="9">
    <w:name w:val="Default Paragraph Font"/>
    <w:autoRedefine/>
    <w:semiHidden/>
    <w:unhideWhenUsed/>
    <w:qFormat/>
    <w:uiPriority w:val="1"/>
  </w:style>
  <w:style w:type="table" w:default="1" w:styleId="7">
    <w:name w:val="Normal Table"/>
    <w:autoRedefine/>
    <w:semiHidden/>
    <w:unhideWhenUsed/>
    <w:qFormat/>
    <w:uiPriority w:val="99"/>
    <w:tblPr>
      <w:tblCellMar>
        <w:top w:w="0" w:type="dxa"/>
        <w:left w:w="108" w:type="dxa"/>
        <w:bottom w:w="0" w:type="dxa"/>
        <w:right w:w="108" w:type="dxa"/>
      </w:tblCellMar>
    </w:tblPr>
  </w:style>
  <w:style w:type="paragraph" w:styleId="3">
    <w:name w:val="Body Text"/>
    <w:basedOn w:val="1"/>
    <w:autoRedefine/>
    <w:semiHidden/>
    <w:qFormat/>
    <w:uiPriority w:val="0"/>
    <w:rPr>
      <w:rFonts w:ascii="宋体" w:hAnsi="宋体" w:eastAsia="宋体" w:cs="宋体"/>
      <w:sz w:val="21"/>
      <w:szCs w:val="21"/>
      <w:lang w:val="en-US" w:eastAsia="en-US" w:bidi="ar-SA"/>
    </w:rPr>
  </w:style>
  <w:style w:type="paragraph" w:styleId="4">
    <w:name w:val="Balloon Text"/>
    <w:basedOn w:val="1"/>
    <w:link w:val="12"/>
    <w:autoRedefine/>
    <w:semiHidden/>
    <w:unhideWhenUsed/>
    <w:qFormat/>
    <w:uiPriority w:val="99"/>
    <w:rPr>
      <w:sz w:val="18"/>
      <w:szCs w:val="18"/>
    </w:rPr>
  </w:style>
  <w:style w:type="paragraph" w:styleId="5">
    <w:name w:val="footer"/>
    <w:basedOn w:val="1"/>
    <w:link w:val="11"/>
    <w:autoRedefine/>
    <w:unhideWhenUsed/>
    <w:qFormat/>
    <w:uiPriority w:val="99"/>
    <w:pPr>
      <w:tabs>
        <w:tab w:val="center" w:pos="4153"/>
        <w:tab w:val="right" w:pos="8306"/>
      </w:tabs>
      <w:snapToGrid w:val="0"/>
      <w:jc w:val="left"/>
    </w:pPr>
    <w:rPr>
      <w:sz w:val="18"/>
      <w:szCs w:val="18"/>
    </w:rPr>
  </w:style>
  <w:style w:type="paragraph" w:styleId="6">
    <w:name w:val="header"/>
    <w:basedOn w:val="1"/>
    <w:link w:val="10"/>
    <w:autoRedefine/>
    <w:unhideWhenUsed/>
    <w:qFormat/>
    <w:uiPriority w:val="99"/>
    <w:pPr>
      <w:pBdr>
        <w:bottom w:val="single" w:color="auto" w:sz="6" w:space="1"/>
      </w:pBdr>
      <w:tabs>
        <w:tab w:val="center" w:pos="4153"/>
        <w:tab w:val="right" w:pos="8306"/>
      </w:tabs>
      <w:snapToGrid w:val="0"/>
      <w:jc w:val="center"/>
    </w:pPr>
    <w:rPr>
      <w:sz w:val="18"/>
      <w:szCs w:val="18"/>
    </w:rPr>
  </w:style>
  <w:style w:type="table" w:styleId="8">
    <w:name w:val="Table Grid"/>
    <w:basedOn w:val="7"/>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0">
    <w:name w:val="页眉 Char"/>
    <w:basedOn w:val="9"/>
    <w:link w:val="6"/>
    <w:autoRedefine/>
    <w:qFormat/>
    <w:uiPriority w:val="99"/>
    <w:rPr>
      <w:sz w:val="18"/>
      <w:szCs w:val="18"/>
    </w:rPr>
  </w:style>
  <w:style w:type="character" w:customStyle="1" w:styleId="11">
    <w:name w:val="页脚 Char"/>
    <w:basedOn w:val="9"/>
    <w:link w:val="5"/>
    <w:autoRedefine/>
    <w:qFormat/>
    <w:uiPriority w:val="99"/>
    <w:rPr>
      <w:sz w:val="18"/>
      <w:szCs w:val="18"/>
    </w:rPr>
  </w:style>
  <w:style w:type="character" w:customStyle="1" w:styleId="12">
    <w:name w:val="批注框文本 Char"/>
    <w:basedOn w:val="9"/>
    <w:link w:val="4"/>
    <w:autoRedefine/>
    <w:semiHidden/>
    <w:qFormat/>
    <w:uiPriority w:val="99"/>
    <w:rPr>
      <w:sz w:val="18"/>
      <w:szCs w:val="18"/>
    </w:rPr>
  </w:style>
  <w:style w:type="paragraph" w:customStyle="1" w:styleId="13">
    <w:name w:val="样式1"/>
    <w:basedOn w:val="1"/>
    <w:autoRedefine/>
    <w:qFormat/>
    <w:uiPriority w:val="0"/>
    <w:rPr>
      <w:rFonts w:eastAsia="仿宋_GB2312" w:cs="Times New Roman"/>
      <w:sz w:val="3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2.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697411C-42B1-4814-948B-5EA46A529027}">
  <ds:schemaRefs/>
</ds:datastoreItem>
</file>

<file path=docProps/app.xml><?xml version="1.0" encoding="utf-8"?>
<Properties xmlns="http://schemas.openxmlformats.org/officeDocument/2006/extended-properties" xmlns:vt="http://schemas.openxmlformats.org/officeDocument/2006/docPropsVTypes">
  <Template>Normal</Template>
  <Company>Windows 10</Company>
  <Pages>4</Pages>
  <Words>1468</Words>
  <Characters>1638</Characters>
  <Lines>17</Lines>
  <Paragraphs>4</Paragraphs>
  <TotalTime>9</TotalTime>
  <ScaleCrop>false</ScaleCrop>
  <LinksUpToDate>false</LinksUpToDate>
  <CharactersWithSpaces>1639</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2021-10-30T03:25:00Z</dcterms:created>
  <dc:creator>Windows 10</dc:creator>
  <cp:lastModifiedBy>震</cp:lastModifiedBy>
  <cp:lastPrinted>2024-06-28T08:30:49Z</cp:lastPrinted>
  <dcterms:modified xsi:type="dcterms:W3CDTF">2024-06-28T08:31:52Z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376C9B5DA10140B99F0D85594D713513</vt:lpwstr>
  </property>
</Properties>
</file>