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FEFE2">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兰州新区公安局2023年度部门整体支出</w:t>
      </w:r>
    </w:p>
    <w:p w14:paraId="52B30D03">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绩效评价报告</w:t>
      </w:r>
    </w:p>
    <w:p w14:paraId="0B7359DD">
      <w:pPr>
        <w:bidi w:val="0"/>
        <w:rPr>
          <w:rFonts w:hint="eastAsia"/>
          <w:lang w:val="en-US" w:eastAsia="zh-CN"/>
        </w:rPr>
      </w:pPr>
    </w:p>
    <w:tbl>
      <w:tblPr>
        <w:tblStyle w:val="11"/>
        <w:tblW w:w="88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994"/>
        <w:gridCol w:w="903"/>
        <w:gridCol w:w="1842"/>
        <w:gridCol w:w="1860"/>
        <w:gridCol w:w="2517"/>
      </w:tblGrid>
      <w:tr w14:paraId="70958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814" w:type="dxa"/>
            <w:gridSpan w:val="6"/>
            <w:tcBorders>
              <w:tl2br w:val="nil"/>
              <w:tr2bl w:val="nil"/>
            </w:tcBorders>
            <w:shd w:val="clear" w:color="auto" w:fill="FFFFFF"/>
            <w:vAlign w:val="center"/>
          </w:tcPr>
          <w:p w14:paraId="15B43130">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14:paraId="164AC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38251CE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2"/>
            <w:tcBorders>
              <w:tl2br w:val="nil"/>
              <w:tr2bl w:val="nil"/>
            </w:tcBorders>
            <w:shd w:val="clear" w:color="auto" w:fill="FFFFFF"/>
            <w:vAlign w:val="center"/>
          </w:tcPr>
          <w:p w14:paraId="6E05070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3"/>
            <w:tcBorders>
              <w:tl2br w:val="nil"/>
              <w:tr2bl w:val="nil"/>
            </w:tcBorders>
            <w:shd w:val="clear" w:color="auto" w:fill="FFFFFF"/>
            <w:vAlign w:val="center"/>
          </w:tcPr>
          <w:p w14:paraId="38A7FA8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兰州新区公安局2023年度部门整体支出绩效评价</w:t>
            </w:r>
          </w:p>
        </w:tc>
      </w:tr>
      <w:tr w14:paraId="3A5DF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3634631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2"/>
            <w:tcBorders>
              <w:tl2br w:val="nil"/>
              <w:tr2bl w:val="nil"/>
            </w:tcBorders>
            <w:shd w:val="clear" w:color="auto" w:fill="FFFFFF"/>
            <w:vAlign w:val="center"/>
          </w:tcPr>
          <w:p w14:paraId="4242403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tcBorders>
              <w:tl2br w:val="nil"/>
              <w:tr2bl w:val="nil"/>
            </w:tcBorders>
            <w:shd w:val="clear" w:color="auto" w:fill="FFFFFF"/>
            <w:vAlign w:val="center"/>
          </w:tcPr>
          <w:p w14:paraId="2158A77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tcBorders>
              <w:tl2br w:val="nil"/>
              <w:tr2bl w:val="nil"/>
            </w:tcBorders>
            <w:shd w:val="clear" w:color="auto" w:fill="FFFFFF"/>
            <w:vAlign w:val="center"/>
          </w:tcPr>
          <w:p w14:paraId="3BD5617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tcBorders>
              <w:tl2br w:val="nil"/>
              <w:tr2bl w:val="nil"/>
            </w:tcBorders>
            <w:shd w:val="clear" w:color="auto" w:fill="FFFFFF"/>
            <w:vAlign w:val="center"/>
          </w:tcPr>
          <w:p w14:paraId="1041789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14:paraId="5891F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5C017AC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2"/>
            <w:tcBorders>
              <w:tl2br w:val="nil"/>
              <w:tr2bl w:val="nil"/>
            </w:tcBorders>
            <w:shd w:val="clear" w:color="auto" w:fill="FFFFFF"/>
            <w:vAlign w:val="center"/>
          </w:tcPr>
          <w:p w14:paraId="04BEB9B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3"/>
            <w:tcBorders>
              <w:tl2br w:val="nil"/>
              <w:tr2bl w:val="nil"/>
            </w:tcBorders>
            <w:shd w:val="clear" w:color="auto" w:fill="FFFFFF"/>
            <w:vAlign w:val="center"/>
          </w:tcPr>
          <w:p w14:paraId="3524BFD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兰州新区公安局</w:t>
            </w:r>
          </w:p>
        </w:tc>
      </w:tr>
      <w:tr w14:paraId="4D6AA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14:paraId="790CBE1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5"/>
            <w:tcBorders>
              <w:tl2br w:val="nil"/>
              <w:tr2bl w:val="nil"/>
            </w:tcBorders>
            <w:shd w:val="clear" w:color="auto" w:fill="FFFFFF"/>
            <w:vAlign w:val="center"/>
          </w:tcPr>
          <w:p w14:paraId="147B0CB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通过综合分析兰州新区公安局部门整体支出预算编制的合理性和科学性、预算执行的时效性、预算控制和监督的有效性，以及部门基本运转、履职尽责和履职效能等情况；同时重点关注内部控制管理情况，全面考核部门整体支出和履职职能的匹配程度，及时发现部门存在的不足和问题，提出合理意见建议，从而提升部门整体预算绩效管理水平，提高财政资金使用效益。</w:t>
            </w:r>
          </w:p>
        </w:tc>
      </w:tr>
      <w:tr w14:paraId="5FF76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14:paraId="112AEB0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2"/>
            <w:tcBorders>
              <w:tl2br w:val="nil"/>
              <w:tr2bl w:val="nil"/>
            </w:tcBorders>
            <w:shd w:val="clear" w:color="auto" w:fill="FFFFFF"/>
            <w:vAlign w:val="center"/>
          </w:tcPr>
          <w:p w14:paraId="2915E90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预算安排资金</w:t>
            </w:r>
          </w:p>
        </w:tc>
        <w:tc>
          <w:tcPr>
            <w:tcW w:w="1842" w:type="dxa"/>
            <w:tcBorders>
              <w:tl2br w:val="nil"/>
              <w:tr2bl w:val="nil"/>
            </w:tcBorders>
            <w:shd w:val="clear" w:color="auto" w:fill="FFFFFF"/>
            <w:vAlign w:val="center"/>
          </w:tcPr>
          <w:p w14:paraId="3C408A3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24889.74</w:t>
            </w:r>
          </w:p>
        </w:tc>
        <w:tc>
          <w:tcPr>
            <w:tcW w:w="1860" w:type="dxa"/>
            <w:tcBorders>
              <w:tl2br w:val="nil"/>
              <w:tr2bl w:val="nil"/>
            </w:tcBorders>
            <w:shd w:val="clear" w:color="auto" w:fill="FFFFFF"/>
            <w:vAlign w:val="center"/>
          </w:tcPr>
          <w:p w14:paraId="1160B95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实际到位资金</w:t>
            </w:r>
          </w:p>
        </w:tc>
        <w:tc>
          <w:tcPr>
            <w:tcW w:w="2517" w:type="dxa"/>
            <w:tcBorders>
              <w:tl2br w:val="nil"/>
              <w:tr2bl w:val="nil"/>
            </w:tcBorders>
            <w:shd w:val="clear" w:color="auto" w:fill="FFFFFF"/>
            <w:vAlign w:val="center"/>
          </w:tcPr>
          <w:p w14:paraId="673811E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24889.74</w:t>
            </w:r>
          </w:p>
        </w:tc>
      </w:tr>
      <w:tr w14:paraId="63930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178CBAD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14:paraId="18097C6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其中：市级资金</w:t>
            </w:r>
          </w:p>
        </w:tc>
        <w:tc>
          <w:tcPr>
            <w:tcW w:w="1842" w:type="dxa"/>
            <w:tcBorders>
              <w:tl2br w:val="nil"/>
              <w:tr2bl w:val="nil"/>
            </w:tcBorders>
            <w:shd w:val="clear" w:color="auto" w:fill="FFFFFF"/>
            <w:vAlign w:val="center"/>
          </w:tcPr>
          <w:p w14:paraId="03BEE29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c>
          <w:tcPr>
            <w:tcW w:w="1860" w:type="dxa"/>
            <w:tcBorders>
              <w:tl2br w:val="nil"/>
              <w:tr2bl w:val="nil"/>
            </w:tcBorders>
            <w:shd w:val="clear" w:color="auto" w:fill="FFFFFF"/>
            <w:vAlign w:val="center"/>
          </w:tcPr>
          <w:p w14:paraId="4A0977E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其中：市级资金</w:t>
            </w:r>
          </w:p>
        </w:tc>
        <w:tc>
          <w:tcPr>
            <w:tcW w:w="2517" w:type="dxa"/>
            <w:tcBorders>
              <w:tl2br w:val="nil"/>
              <w:tr2bl w:val="nil"/>
            </w:tcBorders>
            <w:shd w:val="clear" w:color="auto" w:fill="FFFFFF"/>
            <w:vAlign w:val="center"/>
          </w:tcPr>
          <w:p w14:paraId="0C44BB2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0</w:t>
            </w:r>
          </w:p>
        </w:tc>
      </w:tr>
      <w:tr w14:paraId="31C6E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289C66B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14:paraId="1DE242DE">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县级资金</w:t>
            </w:r>
          </w:p>
        </w:tc>
        <w:tc>
          <w:tcPr>
            <w:tcW w:w="1842" w:type="dxa"/>
            <w:tcBorders>
              <w:tl2br w:val="nil"/>
              <w:tr2bl w:val="nil"/>
            </w:tcBorders>
            <w:shd w:val="clear" w:color="auto" w:fill="FFFFFF"/>
            <w:vAlign w:val="center"/>
          </w:tcPr>
          <w:p w14:paraId="767128A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24889.74</w:t>
            </w:r>
          </w:p>
        </w:tc>
        <w:tc>
          <w:tcPr>
            <w:tcW w:w="1860" w:type="dxa"/>
            <w:tcBorders>
              <w:tl2br w:val="nil"/>
              <w:tr2bl w:val="nil"/>
            </w:tcBorders>
            <w:shd w:val="clear" w:color="auto" w:fill="FFFFFF"/>
            <w:vAlign w:val="center"/>
          </w:tcPr>
          <w:p w14:paraId="6A65C4E5">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vertAlign w:val="baseline"/>
                <w:lang w:val="en-US" w:eastAsia="zh-CN" w:bidi="ar-SA"/>
              </w:rPr>
            </w:pPr>
            <w:r>
              <w:rPr>
                <w:rFonts w:hint="eastAsia" w:ascii="宋体" w:hAnsi="宋体" w:eastAsia="宋体" w:cs="宋体"/>
                <w:b w:val="0"/>
                <w:bCs w:val="0"/>
                <w:color w:val="000000"/>
                <w:sz w:val="24"/>
                <w:szCs w:val="24"/>
                <w:vertAlign w:val="baseline"/>
                <w:lang w:val="en-US" w:eastAsia="zh-CN"/>
              </w:rPr>
              <w:t>县级资金</w:t>
            </w:r>
          </w:p>
        </w:tc>
        <w:tc>
          <w:tcPr>
            <w:tcW w:w="2517" w:type="dxa"/>
            <w:tcBorders>
              <w:tl2br w:val="nil"/>
              <w:tr2bl w:val="nil"/>
            </w:tcBorders>
            <w:shd w:val="clear" w:color="auto" w:fill="FFFFFF"/>
            <w:vAlign w:val="center"/>
          </w:tcPr>
          <w:p w14:paraId="197B176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kern w:val="2"/>
                <w:sz w:val="24"/>
                <w:szCs w:val="24"/>
                <w:vertAlign w:val="baseline"/>
                <w:lang w:val="en-US" w:eastAsia="zh-CN" w:bidi="ar-SA"/>
              </w:rPr>
            </w:pPr>
            <w:r>
              <w:rPr>
                <w:rFonts w:hint="eastAsia" w:ascii="宋体" w:hAnsi="宋体" w:eastAsia="宋体" w:cs="宋体"/>
                <w:b w:val="0"/>
                <w:color w:val="000000"/>
                <w:sz w:val="24"/>
                <w:szCs w:val="24"/>
                <w:vertAlign w:val="baseline"/>
                <w:lang w:val="en-US" w:eastAsia="zh-CN"/>
              </w:rPr>
              <w:t>24889.74</w:t>
            </w:r>
          </w:p>
        </w:tc>
      </w:tr>
      <w:tr w14:paraId="47B31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1C59D8D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14:paraId="7C39E91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实际支出资金</w:t>
            </w:r>
          </w:p>
        </w:tc>
        <w:tc>
          <w:tcPr>
            <w:tcW w:w="1842" w:type="dxa"/>
            <w:tcBorders>
              <w:tl2br w:val="nil"/>
              <w:tr2bl w:val="nil"/>
            </w:tcBorders>
            <w:shd w:val="clear" w:color="auto" w:fill="FFFFFF"/>
            <w:vAlign w:val="center"/>
          </w:tcPr>
          <w:p w14:paraId="5531916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24889.74</w:t>
            </w:r>
          </w:p>
        </w:tc>
        <w:tc>
          <w:tcPr>
            <w:tcW w:w="1860" w:type="dxa"/>
            <w:tcBorders>
              <w:tl2br w:val="nil"/>
              <w:tr2bl w:val="nil"/>
            </w:tcBorders>
            <w:shd w:val="clear" w:color="auto" w:fill="FFFFFF"/>
            <w:vAlign w:val="center"/>
          </w:tcPr>
          <w:p w14:paraId="0718DB3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结余资金</w:t>
            </w:r>
          </w:p>
        </w:tc>
        <w:tc>
          <w:tcPr>
            <w:tcW w:w="2517" w:type="dxa"/>
            <w:tcBorders>
              <w:tl2br w:val="nil"/>
              <w:tr2bl w:val="nil"/>
            </w:tcBorders>
            <w:shd w:val="clear" w:color="auto" w:fill="FFFFFF"/>
            <w:vAlign w:val="center"/>
          </w:tcPr>
          <w:p w14:paraId="7A53266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0</w:t>
            </w:r>
          </w:p>
        </w:tc>
      </w:tr>
      <w:tr w14:paraId="4A268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14:paraId="007F52A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2"/>
            <w:tcBorders>
              <w:tl2br w:val="nil"/>
              <w:tr2bl w:val="nil"/>
            </w:tcBorders>
            <w:shd w:val="clear" w:color="auto" w:fill="FFFFFF"/>
            <w:vAlign w:val="center"/>
          </w:tcPr>
          <w:p w14:paraId="2D383B1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预算执行率</w:t>
            </w:r>
          </w:p>
        </w:tc>
        <w:tc>
          <w:tcPr>
            <w:tcW w:w="6219" w:type="dxa"/>
            <w:gridSpan w:val="3"/>
            <w:tcBorders>
              <w:tl2br w:val="nil"/>
              <w:tr2bl w:val="nil"/>
            </w:tcBorders>
            <w:shd w:val="clear" w:color="auto" w:fill="FFFFFF"/>
            <w:vAlign w:val="center"/>
          </w:tcPr>
          <w:p w14:paraId="05361D4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100%</w:t>
            </w:r>
          </w:p>
        </w:tc>
      </w:tr>
      <w:tr w14:paraId="1FED3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814" w:type="dxa"/>
            <w:gridSpan w:val="6"/>
            <w:tcBorders>
              <w:tl2br w:val="nil"/>
              <w:tr2bl w:val="nil"/>
            </w:tcBorders>
            <w:shd w:val="clear" w:color="auto" w:fill="FFFFFF"/>
            <w:vAlign w:val="center"/>
          </w:tcPr>
          <w:p w14:paraId="09592EC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二、部门整体绩效目标</w:t>
            </w:r>
          </w:p>
        </w:tc>
      </w:tr>
      <w:tr w14:paraId="6E0DE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2" w:type="dxa"/>
            <w:gridSpan w:val="2"/>
            <w:tcBorders>
              <w:tl2br w:val="nil"/>
              <w:tr2bl w:val="nil"/>
            </w:tcBorders>
            <w:shd w:val="clear" w:color="auto" w:fill="FFFFFF"/>
            <w:vAlign w:val="center"/>
          </w:tcPr>
          <w:p w14:paraId="6A6E109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4"/>
            <w:tcBorders>
              <w:tl2br w:val="nil"/>
              <w:tr2bl w:val="nil"/>
            </w:tcBorders>
            <w:shd w:val="clear" w:color="auto" w:fill="FFFFFF"/>
            <w:vAlign w:val="center"/>
          </w:tcPr>
          <w:p w14:paraId="3DAB637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根据兰州新区公安局《2023年度部门整体支出绩效目标申报表》，总结并梳理出兰州新区公安局2023年度部门整体支出绩效目标为：</w:t>
            </w:r>
          </w:p>
          <w:p w14:paraId="5DA1930A">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预防、制止和侦查违法犯罪活动；</w:t>
            </w:r>
          </w:p>
          <w:p w14:paraId="1A568C45">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维护社会治安秩序，制止危害社会治安秩序的行为；</w:t>
            </w:r>
          </w:p>
          <w:p w14:paraId="7DB7307B">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掌握影响稳定、危害国内安全和治安稳定的情况，分析预测形势，制定对策并组织实施；</w:t>
            </w:r>
          </w:p>
          <w:p w14:paraId="70D9680E">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负责辖区刑事案件、政治案件、经济案件的侦办，以及对治安案件的查处工作；</w:t>
            </w:r>
          </w:p>
          <w:p w14:paraId="7270ED5A">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组织集中行动，参与处置重大事件、严重危害社会的聚众闹事、骚乱事件和重大治安案件；</w:t>
            </w:r>
          </w:p>
          <w:p w14:paraId="01945857">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依法管理社会治安、户政、特种行业、出入境、外国人居留等工作；</w:t>
            </w:r>
          </w:p>
          <w:p w14:paraId="364F5E21">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管理辖区道路交通安全，维护交通秩序，处理交通事故，负责机动车辆和驾驶员管理工作；</w:t>
            </w:r>
          </w:p>
          <w:p w14:paraId="7B93614E">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负责辖区的禁毒工作，严厉打击和查禁种植、吸、制、贩毒活动，监督麻醉药品、精神药品的安全管理及易制毒化学品管制工作；</w:t>
            </w:r>
          </w:p>
          <w:p w14:paraId="5A72D37A">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指导和监督国家机关、社会团体、企事业单位和重点建设工程的治安保卫工作，指导群众性组织的治安防范工作；</w:t>
            </w:r>
          </w:p>
          <w:p w14:paraId="72B47DCB">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负责公安信息网络和信息通信的管理，组织实施对公共信息网络和国际互联网的安全监察工作；</w:t>
            </w:r>
          </w:p>
          <w:p w14:paraId="2A61F787">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负责刑事拘留、提请逮捕案件的审核报批，检查监督辖区公安执法活动；</w:t>
            </w:r>
          </w:p>
          <w:p w14:paraId="6067BC73">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承办新区党工委、管委会和上级机关交办的其他事项。</w:t>
            </w:r>
          </w:p>
          <w:p w14:paraId="5D04535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宋体" w:hAnsi="宋体" w:eastAsia="宋体" w:cs="宋体"/>
                <w:b/>
                <w:bCs/>
                <w:sz w:val="24"/>
                <w:szCs w:val="24"/>
                <w:lang w:val="en-US" w:eastAsia="zh-CN"/>
              </w:rPr>
            </w:pPr>
          </w:p>
        </w:tc>
      </w:tr>
      <w:tr w14:paraId="0DA0B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14" w:type="dxa"/>
            <w:gridSpan w:val="6"/>
            <w:tcBorders>
              <w:tl2br w:val="nil"/>
              <w:tr2bl w:val="nil"/>
            </w:tcBorders>
            <w:shd w:val="clear" w:color="auto" w:fill="FFFFFF"/>
            <w:vAlign w:val="center"/>
          </w:tcPr>
          <w:p w14:paraId="0C182BAC">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14:paraId="73DF2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692" w:type="dxa"/>
            <w:gridSpan w:val="2"/>
            <w:tcBorders>
              <w:tl2br w:val="nil"/>
              <w:tr2bl w:val="nil"/>
            </w:tcBorders>
            <w:shd w:val="clear" w:color="auto" w:fill="FFFFFF"/>
            <w:vAlign w:val="center"/>
          </w:tcPr>
          <w:p w14:paraId="1EB3249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4"/>
            <w:tcBorders>
              <w:tl2br w:val="nil"/>
              <w:tr2bl w:val="nil"/>
            </w:tcBorders>
            <w:shd w:val="clear" w:color="auto" w:fill="FFFFFF"/>
            <w:vAlign w:val="center"/>
          </w:tcPr>
          <w:p w14:paraId="3E83632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兰州新区公安局2023年度部门全年预算资金24889.74万元。</w:t>
            </w:r>
          </w:p>
        </w:tc>
      </w:tr>
      <w:tr w14:paraId="3985F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692" w:type="dxa"/>
            <w:gridSpan w:val="2"/>
            <w:tcBorders>
              <w:tl2br w:val="nil"/>
              <w:tr2bl w:val="nil"/>
            </w:tcBorders>
            <w:shd w:val="clear" w:color="auto" w:fill="FFFFFF"/>
            <w:vAlign w:val="center"/>
          </w:tcPr>
          <w:p w14:paraId="40601C1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4"/>
            <w:tcBorders>
              <w:tl2br w:val="nil"/>
              <w:tr2bl w:val="nil"/>
            </w:tcBorders>
            <w:shd w:val="clear" w:color="auto" w:fill="FFFFFF"/>
            <w:vAlign w:val="center"/>
          </w:tcPr>
          <w:p w14:paraId="5373374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1.《中华人民共和国预算法》；</w:t>
            </w:r>
          </w:p>
          <w:p w14:paraId="5512FB9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2.《中共中央 国务院关于全面实施预算绩效管理的意见》（中发〔2018〕34号）；</w:t>
            </w:r>
          </w:p>
          <w:p w14:paraId="0617F653">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3.《财政部关于印发&lt;预算绩效评价共性指标体系框架&gt;的通知》（财预〔2013〕53号）；</w:t>
            </w:r>
          </w:p>
          <w:p w14:paraId="00282906">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4.《财政部关于规范绩效评价结果等级划分标准的通知》（财预便〔2017〕44号）；</w:t>
            </w:r>
          </w:p>
          <w:p w14:paraId="262B5547">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5.《甘肃省委 省政府关于全面实施预算绩效管理的实施意见》（甘发〔2018〕32号）；</w:t>
            </w:r>
          </w:p>
          <w:p w14:paraId="5A0B4842">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6.《兰州新区公安局关于印发&lt;兰州新区全面推进预算绩效管理实施细则&gt;的通知》;</w:t>
            </w:r>
          </w:p>
          <w:p w14:paraId="09E493CB">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7.《兰州新区公安局财务制度汇编》</w:t>
            </w:r>
          </w:p>
          <w:p w14:paraId="4710AE4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8.部门2023年度预决算公开报表及情况说明；</w:t>
            </w:r>
          </w:p>
          <w:p w14:paraId="653872FE">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9.2023年度预算执行情况绩效目标表、自评报告、自评表等；</w:t>
            </w:r>
          </w:p>
          <w:p w14:paraId="35D51FD1">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11.各项支出财务凭证等其他相关资料。</w:t>
            </w:r>
          </w:p>
        </w:tc>
      </w:tr>
      <w:tr w14:paraId="0E29F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692" w:type="dxa"/>
            <w:gridSpan w:val="2"/>
            <w:tcBorders>
              <w:tl2br w:val="nil"/>
              <w:tr2bl w:val="nil"/>
            </w:tcBorders>
            <w:shd w:val="clear" w:color="auto" w:fill="FFFFFF"/>
            <w:vAlign w:val="center"/>
          </w:tcPr>
          <w:p w14:paraId="3602883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7A83E71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4"/>
            <w:tcBorders>
              <w:tl2br w:val="nil"/>
              <w:tr2bl w:val="nil"/>
            </w:tcBorders>
            <w:shd w:val="clear" w:color="auto" w:fill="FFFFFF"/>
            <w:vAlign w:val="center"/>
          </w:tcPr>
          <w:p w14:paraId="0CFBA96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绩效评价指标体系设计思路主要是根据兰州新区公安局的基本职能，围绕部门年度工作计划、绩效目标设定、预算编制、预算执行、履职完成情况及履职效益发挥情况等重要内容，结合绩效评价指标体系的设计原则及设计方法，主要从部门规划、运行成本、管理效率、履职效能、履职效应、可持续发展能力及满意度</w:t>
            </w:r>
            <w:r>
              <w:rPr>
                <w:rFonts w:hint="eastAsia" w:ascii="宋体" w:hAnsi="宋体" w:eastAsia="宋体" w:cs="宋体"/>
                <w:b w:val="0"/>
                <w:bCs w:val="0"/>
                <w:color w:val="FF0000"/>
                <w:sz w:val="24"/>
                <w:szCs w:val="24"/>
                <w:lang w:val="en-US" w:eastAsia="zh-CN"/>
              </w:rPr>
              <w:t>七个</w:t>
            </w:r>
            <w:r>
              <w:rPr>
                <w:rFonts w:hint="eastAsia" w:ascii="宋体" w:hAnsi="宋体" w:eastAsia="宋体" w:cs="宋体"/>
                <w:b w:val="0"/>
                <w:bCs w:val="0"/>
                <w:sz w:val="24"/>
                <w:szCs w:val="24"/>
                <w:lang w:val="en-US" w:eastAsia="zh-CN"/>
              </w:rPr>
              <w:t>方面评价公安局2023年度部门整体工作，指标体系的数据源于各科室履职各项资料、基础数据表及分析情况等资料。</w:t>
            </w:r>
          </w:p>
        </w:tc>
      </w:tr>
      <w:tr w14:paraId="474DA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692" w:type="dxa"/>
            <w:gridSpan w:val="2"/>
            <w:tcBorders>
              <w:tl2br w:val="nil"/>
              <w:tr2bl w:val="nil"/>
            </w:tcBorders>
            <w:shd w:val="clear" w:color="auto" w:fill="FFFFFF"/>
            <w:vAlign w:val="center"/>
          </w:tcPr>
          <w:p w14:paraId="5C5FFCC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4"/>
            <w:tcBorders>
              <w:tl2br w:val="nil"/>
              <w:tr2bl w:val="nil"/>
            </w:tcBorders>
            <w:shd w:val="clear" w:color="auto" w:fill="FFFFFF"/>
            <w:vAlign w:val="center"/>
          </w:tcPr>
          <w:p w14:paraId="7C41E030">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比较法、因素分析法、公众评判法。</w:t>
            </w:r>
          </w:p>
        </w:tc>
      </w:tr>
      <w:tr w14:paraId="38814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jc w:val="center"/>
        </w:trPr>
        <w:tc>
          <w:tcPr>
            <w:tcW w:w="1692" w:type="dxa"/>
            <w:gridSpan w:val="2"/>
            <w:tcBorders>
              <w:tl2br w:val="nil"/>
              <w:tr2bl w:val="nil"/>
            </w:tcBorders>
            <w:shd w:val="clear" w:color="auto" w:fill="FFFFFF"/>
            <w:vAlign w:val="center"/>
          </w:tcPr>
          <w:p w14:paraId="43453EA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14:paraId="45C3520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4"/>
            <w:tcBorders>
              <w:tl2br w:val="nil"/>
              <w:tr2bl w:val="nil"/>
            </w:tcBorders>
            <w:shd w:val="clear" w:color="auto" w:fill="FFFFFF"/>
            <w:vAlign w:val="center"/>
          </w:tcPr>
          <w:p w14:paraId="7C594059">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按照绩效评价指标体系对部门整体绩效评价资料进行逐一整理，便于后期从评价资料中提取所需数据信息；对照评分标准，从已整理资料中提取与对应指标有关的数据信息，统计分析该指标的得分情况和扣分原因。</w:t>
            </w:r>
          </w:p>
        </w:tc>
      </w:tr>
      <w:tr w14:paraId="76C7F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1692" w:type="dxa"/>
            <w:gridSpan w:val="2"/>
            <w:tcBorders>
              <w:tl2br w:val="nil"/>
              <w:tr2bl w:val="nil"/>
            </w:tcBorders>
            <w:shd w:val="clear" w:color="auto" w:fill="FFFFFF"/>
            <w:vAlign w:val="center"/>
          </w:tcPr>
          <w:p w14:paraId="30FCFE1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14:paraId="1B05745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4"/>
            <w:tcBorders>
              <w:tl2br w:val="nil"/>
              <w:tr2bl w:val="nil"/>
            </w:tcBorders>
            <w:shd w:val="clear" w:color="auto" w:fill="FFFFFF"/>
            <w:vAlign w:val="top"/>
          </w:tcPr>
          <w:p w14:paraId="6C9C42E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1.前期准备阶段。</w:t>
            </w:r>
            <w:r>
              <w:rPr>
                <w:rFonts w:hint="eastAsia" w:ascii="宋体" w:hAnsi="宋体" w:eastAsia="宋体" w:cs="宋体"/>
                <w:b w:val="0"/>
                <w:bCs w:val="0"/>
                <w:sz w:val="24"/>
                <w:szCs w:val="24"/>
                <w:lang w:val="en-US" w:eastAsia="zh-CN"/>
              </w:rPr>
              <w:t>根据各项预算年度目标，针对性地设计评价指标体系和资料收集清单；同时通过查阅相关政策制度，根据预算实施情况，分析各科室预算执行效果及目标确定评价要点。</w:t>
            </w:r>
          </w:p>
          <w:p w14:paraId="49B3315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2.</w:t>
            </w:r>
            <w:r>
              <w:rPr>
                <w:rFonts w:hint="eastAsia" w:ascii="宋体" w:hAnsi="宋体" w:eastAsia="宋体" w:cs="宋体"/>
                <w:b/>
                <w:bCs/>
                <w:sz w:val="24"/>
                <w:szCs w:val="24"/>
                <w:lang w:val="en-US" w:eastAsia="zh-CN"/>
              </w:rPr>
              <w:t>组织实施阶段。</w:t>
            </w:r>
            <w:r>
              <w:rPr>
                <w:rFonts w:hint="eastAsia" w:ascii="宋体" w:hAnsi="宋体" w:eastAsia="宋体" w:cs="宋体"/>
                <w:b w:val="0"/>
                <w:bCs w:val="0"/>
                <w:sz w:val="24"/>
                <w:szCs w:val="24"/>
                <w:lang w:val="en-US" w:eastAsia="zh-CN"/>
              </w:rPr>
              <w:t>根据评价工作安排，对其中19个预算项目进行公开评价，并对财务及资产管理制度是否健全、执行是否有效、项目实施是否达到目标值、效益发挥是否达到预期目标进行重点查看。</w:t>
            </w:r>
          </w:p>
          <w:p w14:paraId="1B4340D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3.</w:t>
            </w:r>
            <w:r>
              <w:rPr>
                <w:rFonts w:hint="eastAsia" w:ascii="宋体" w:hAnsi="宋体" w:eastAsia="宋体" w:cs="宋体"/>
                <w:b/>
                <w:bCs/>
                <w:sz w:val="24"/>
                <w:szCs w:val="24"/>
                <w:lang w:val="en-US" w:eastAsia="zh-CN"/>
              </w:rPr>
              <w:t>数据分析阶段。</w:t>
            </w:r>
            <w:r>
              <w:rPr>
                <w:rFonts w:hint="eastAsia" w:ascii="宋体" w:hAnsi="宋体" w:eastAsia="宋体" w:cs="宋体"/>
                <w:b w:val="0"/>
                <w:bCs w:val="0"/>
                <w:sz w:val="24"/>
                <w:szCs w:val="24"/>
                <w:lang w:val="en-US" w:eastAsia="zh-CN"/>
              </w:rPr>
              <w:t>通过前期收集的资料，对提供的数据资料进行分析，提取有用的信息，形成分析结论。</w:t>
            </w:r>
          </w:p>
          <w:p w14:paraId="072DC25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b w:val="0"/>
                <w:bCs w:val="0"/>
                <w:sz w:val="24"/>
                <w:szCs w:val="24"/>
                <w:lang w:val="en-US" w:eastAsia="zh-CN"/>
              </w:rPr>
            </w:pPr>
            <w:r>
              <w:rPr>
                <w:rFonts w:hint="eastAsia" w:ascii="宋体" w:hAnsi="宋体" w:eastAsia="宋体" w:cs="宋体"/>
                <w:b/>
                <w:bCs/>
                <w:kern w:val="2"/>
                <w:sz w:val="24"/>
                <w:szCs w:val="24"/>
                <w:lang w:val="en-US" w:eastAsia="zh-CN" w:bidi="ar-SA"/>
              </w:rPr>
              <w:t>4.</w:t>
            </w:r>
            <w:r>
              <w:rPr>
                <w:rFonts w:hint="eastAsia" w:ascii="宋体" w:hAnsi="宋体" w:eastAsia="宋体" w:cs="宋体"/>
                <w:b/>
                <w:bCs/>
                <w:sz w:val="24"/>
                <w:szCs w:val="24"/>
                <w:lang w:val="en-US" w:eastAsia="zh-CN"/>
              </w:rPr>
              <w:t>撰写报告阶段。</w:t>
            </w:r>
            <w:r>
              <w:rPr>
                <w:rFonts w:hint="eastAsia" w:ascii="宋体" w:hAnsi="宋体" w:eastAsia="宋体" w:cs="宋体"/>
                <w:b w:val="0"/>
                <w:bCs w:val="0"/>
                <w:sz w:val="24"/>
                <w:szCs w:val="24"/>
                <w:lang w:val="en-US" w:eastAsia="zh-CN"/>
              </w:rPr>
              <w:t>根据收集的各项资料，按照绩效评价要求和规定的文本格式撰写兰州新区公安局2023年度部门整体支出绩效评价报告。</w:t>
            </w:r>
          </w:p>
        </w:tc>
      </w:tr>
      <w:tr w14:paraId="31ED6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14" w:type="dxa"/>
            <w:gridSpan w:val="6"/>
            <w:tcBorders>
              <w:tl2br w:val="nil"/>
              <w:tr2bl w:val="nil"/>
            </w:tcBorders>
            <w:shd w:val="clear" w:color="auto" w:fill="FFFFFF"/>
            <w:vAlign w:val="center"/>
          </w:tcPr>
          <w:p w14:paraId="5CC18FD5">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四、存在问题</w:t>
            </w:r>
          </w:p>
        </w:tc>
      </w:tr>
      <w:tr w14:paraId="13446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jc w:val="center"/>
        </w:trPr>
        <w:tc>
          <w:tcPr>
            <w:tcW w:w="8814" w:type="dxa"/>
            <w:gridSpan w:val="6"/>
            <w:tcBorders>
              <w:tl2br w:val="nil"/>
              <w:tr2bl w:val="nil"/>
            </w:tcBorders>
            <w:shd w:val="clear" w:color="auto" w:fill="FFFFFF"/>
            <w:vAlign w:val="center"/>
          </w:tcPr>
          <w:p w14:paraId="32BCF65E">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 预算资金未按照年初计划执行存在偏差。（</w:t>
            </w:r>
            <w:r>
              <w:rPr>
                <w:rFonts w:hint="eastAsia" w:ascii="宋体" w:hAnsi="宋体" w:eastAsia="宋体" w:cs="宋体"/>
                <w:b w:val="0"/>
                <w:bCs w:val="0"/>
                <w:color w:val="000000" w:themeColor="text1"/>
                <w:sz w:val="24"/>
                <w:szCs w:val="24"/>
                <w:lang w:val="en-US" w:eastAsia="zh-CN"/>
                <w14:textFill>
                  <w14:solidFill>
                    <w14:schemeClr w14:val="tx1"/>
                  </w14:solidFill>
                </w14:textFill>
              </w:rPr>
              <w:t>1）办公用房租赁费在绩效指标中整体情况较好，但由于财力问题导致局机关、车管所租赁费支出与年初计划存在差异，下一步将积极对接财政对2023年未支付的经费统筹到2024年进行支付并对2024年项目经费做好支付计划安排。（2）禁毒经费在绩效指标中整体情况较好，但2023年度我局优先使用政法转移支付资金支出部分禁毒经费，导致与年初计划存在差异，下一步将认真统筹禁毒经费并对2024年项目经费做好支付计划安排。（3）2023年公安出入境证件工本费在绩效指标中整体情况中等，由于该经费于2023年10月份下达，导致经费支付缓慢，下一步将建议各科室合理制定项目前期计划和目标，建立有效的项目监督管理机制，确保各项工作任务和目标顺利完成。</w:t>
            </w:r>
          </w:p>
        </w:tc>
      </w:tr>
      <w:tr w14:paraId="2C46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814" w:type="dxa"/>
            <w:gridSpan w:val="6"/>
            <w:tcBorders>
              <w:tl2br w:val="nil"/>
              <w:tr2bl w:val="nil"/>
            </w:tcBorders>
            <w:shd w:val="clear" w:color="auto" w:fill="FFFFFF"/>
            <w:vAlign w:val="center"/>
          </w:tcPr>
          <w:p w14:paraId="15A654BD">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五、相关建议</w:t>
            </w:r>
          </w:p>
        </w:tc>
      </w:tr>
      <w:tr w14:paraId="1ED68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5" w:hRule="atLeast"/>
          <w:jc w:val="center"/>
        </w:trPr>
        <w:tc>
          <w:tcPr>
            <w:tcW w:w="8814" w:type="dxa"/>
            <w:gridSpan w:val="6"/>
            <w:tcBorders>
              <w:tl2br w:val="nil"/>
              <w:tr2bl w:val="nil"/>
            </w:tcBorders>
            <w:shd w:val="clear" w:color="auto" w:fill="FFFFFF"/>
            <w:vAlign w:val="center"/>
          </w:tcPr>
          <w:p w14:paraId="1971D31F">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1.规范项目实施进度管理，进一步提升履职效能。</w:t>
            </w:r>
            <w:r>
              <w:rPr>
                <w:rFonts w:hint="eastAsia" w:ascii="宋体" w:hAnsi="宋体" w:eastAsia="宋体" w:cs="宋体"/>
                <w:b w:val="0"/>
                <w:bCs w:val="0"/>
                <w:sz w:val="24"/>
                <w:szCs w:val="24"/>
                <w:lang w:val="en-US" w:eastAsia="zh-CN"/>
              </w:rPr>
              <w:t>建议各科室合理制定项目前期计划和目标，建立有效的项目监督管理机制，确保各项工作任务和目标顺利完成。具体包括聚焦部门职能、部门规划和年度重点工作任务、预算安排，提炼出明确可考核的部门整体和项目绩效目标、指标，强化预算与绩效管理一体化，从而有效提升部门履职效能。因特殊原因确实无法按计划完成的工作需及时作出调整，确保部门履职工作效应的有效发挥。</w:t>
            </w:r>
          </w:p>
          <w:p w14:paraId="26D8C925">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2.贯彻全面实施预算绩效管理政策，严格做好各项绩效管理工作。</w:t>
            </w:r>
            <w:r>
              <w:rPr>
                <w:rFonts w:hint="eastAsia" w:ascii="宋体" w:hAnsi="宋体" w:eastAsia="宋体" w:cs="宋体"/>
                <w:b w:val="0"/>
                <w:bCs w:val="0"/>
                <w:sz w:val="24"/>
                <w:szCs w:val="24"/>
                <w:lang w:val="en-US" w:eastAsia="zh-CN"/>
              </w:rPr>
              <w:t>建议各科室严格按照“谁支出、谁负责”的原则，完善全面预算绩效管理，综合科是本单位预算绩效管理的牵头科室，业务科室是本单位预算绩效管理的具体实施科室，承担编报绩效目标、实施绩效跟踪、开展绩效评价等预算绩效管理职责，确保各项要求落到实处，建立健全本单位预算绩效管理工作机制，确保各科室年初设置明确绩效目标，并对绩效目标实现程度和预算执行进度实行“双监控”，以便发现问题、分析原因并及时纠正；同时有效实现项目绩效自评全覆盖，如实反映绩效目标实现结果，对绩效目标未达成或目标制定明显不合理的，及时作出说明并提出改进措施，提高部门履职效能和公共服务供给质量。</w:t>
            </w:r>
          </w:p>
        </w:tc>
      </w:tr>
      <w:tr w14:paraId="1A009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814" w:type="dxa"/>
            <w:gridSpan w:val="6"/>
            <w:tcBorders>
              <w:tl2br w:val="nil"/>
              <w:tr2bl w:val="nil"/>
            </w:tcBorders>
            <w:shd w:val="clear" w:color="auto" w:fill="FFFFFF"/>
            <w:vAlign w:val="center"/>
          </w:tcPr>
          <w:p w14:paraId="32F9843F">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14:paraId="09FBE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7" w:hRule="atLeast"/>
          <w:jc w:val="center"/>
        </w:trPr>
        <w:tc>
          <w:tcPr>
            <w:tcW w:w="8814" w:type="dxa"/>
            <w:gridSpan w:val="6"/>
            <w:tcBorders>
              <w:tl2br w:val="nil"/>
              <w:tr2bl w:val="nil"/>
            </w:tcBorders>
            <w:shd w:val="clear" w:color="auto" w:fill="FFFFFF"/>
            <w:vAlign w:val="center"/>
          </w:tcPr>
          <w:p w14:paraId="79A90DA4">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无</w:t>
            </w:r>
          </w:p>
        </w:tc>
      </w:tr>
    </w:tbl>
    <w:p w14:paraId="126C12DB">
      <w:pPr>
        <w:bidi w:val="0"/>
        <w:ind w:left="0" w:leftChars="0" w:firstLine="0" w:firstLineChars="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9EED9">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896779">
                          <w:pPr>
                            <w:pStyle w:val="7"/>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2896779">
                    <w:pPr>
                      <w:pStyle w:val="7"/>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3D4115"/>
    <w:multiLevelType w:val="singleLevel"/>
    <w:tmpl w:val="973D411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hNzNkOGNlNDZjZDJiNDFjNTc4NTY1MWQxZTg4MDkifQ=="/>
  </w:docVars>
  <w:rsids>
    <w:rsidRoot w:val="50362AE6"/>
    <w:rsid w:val="00D76A86"/>
    <w:rsid w:val="01D874CD"/>
    <w:rsid w:val="036E0F6F"/>
    <w:rsid w:val="03973FA9"/>
    <w:rsid w:val="06EB3426"/>
    <w:rsid w:val="07C81D7B"/>
    <w:rsid w:val="0A2A723E"/>
    <w:rsid w:val="0A2E5489"/>
    <w:rsid w:val="0A3F5E74"/>
    <w:rsid w:val="0C0A7D34"/>
    <w:rsid w:val="112F6356"/>
    <w:rsid w:val="12313CD8"/>
    <w:rsid w:val="13750B42"/>
    <w:rsid w:val="157E565E"/>
    <w:rsid w:val="16553E2F"/>
    <w:rsid w:val="1BC01759"/>
    <w:rsid w:val="1BD82927"/>
    <w:rsid w:val="1C7D48CD"/>
    <w:rsid w:val="1CB00227"/>
    <w:rsid w:val="1D01233B"/>
    <w:rsid w:val="1E4A5D6E"/>
    <w:rsid w:val="20176124"/>
    <w:rsid w:val="24D55C78"/>
    <w:rsid w:val="266B6E4E"/>
    <w:rsid w:val="26BE4453"/>
    <w:rsid w:val="272D2898"/>
    <w:rsid w:val="27F03E2A"/>
    <w:rsid w:val="28EA6A6E"/>
    <w:rsid w:val="28EF2E48"/>
    <w:rsid w:val="2A805ED8"/>
    <w:rsid w:val="2A9C35C4"/>
    <w:rsid w:val="2CB76567"/>
    <w:rsid w:val="2F4B5CAF"/>
    <w:rsid w:val="3246394F"/>
    <w:rsid w:val="32A76310"/>
    <w:rsid w:val="332736B7"/>
    <w:rsid w:val="39390DDD"/>
    <w:rsid w:val="399649CA"/>
    <w:rsid w:val="39D03040"/>
    <w:rsid w:val="41055F0D"/>
    <w:rsid w:val="417C1E8F"/>
    <w:rsid w:val="48054931"/>
    <w:rsid w:val="485D55BF"/>
    <w:rsid w:val="4BA61945"/>
    <w:rsid w:val="4CF65190"/>
    <w:rsid w:val="50362AE6"/>
    <w:rsid w:val="50447C2B"/>
    <w:rsid w:val="52555572"/>
    <w:rsid w:val="533D715B"/>
    <w:rsid w:val="54C310C9"/>
    <w:rsid w:val="54E92EBD"/>
    <w:rsid w:val="55F56D34"/>
    <w:rsid w:val="573F7050"/>
    <w:rsid w:val="5915699E"/>
    <w:rsid w:val="5C641B24"/>
    <w:rsid w:val="5D0D0C07"/>
    <w:rsid w:val="5F851FA3"/>
    <w:rsid w:val="5FEE39B7"/>
    <w:rsid w:val="619736C1"/>
    <w:rsid w:val="62564F40"/>
    <w:rsid w:val="65CD64C7"/>
    <w:rsid w:val="680C3C00"/>
    <w:rsid w:val="6FD325B2"/>
    <w:rsid w:val="6FF269CE"/>
    <w:rsid w:val="70721B59"/>
    <w:rsid w:val="726448F9"/>
    <w:rsid w:val="74030452"/>
    <w:rsid w:val="76EF360E"/>
    <w:rsid w:val="775D21EC"/>
    <w:rsid w:val="77B04009"/>
    <w:rsid w:val="77B82F42"/>
    <w:rsid w:val="781E54A5"/>
    <w:rsid w:val="78D17D78"/>
    <w:rsid w:val="7AE07C8F"/>
    <w:rsid w:val="7B033EBC"/>
    <w:rsid w:val="7D1828E9"/>
    <w:rsid w:val="DEFFF553"/>
    <w:rsid w:val="EB5767E6"/>
    <w:rsid w:val="F7AF8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3"/>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semiHidden/>
    <w:unhideWhenUsed/>
    <w:qFormat/>
    <w:uiPriority w:val="0"/>
    <w:pPr>
      <w:keepNext/>
      <w:keepLines/>
      <w:spacing w:beforeLines="0" w:beforeAutospacing="0" w:afterLines="0" w:afterAutospacing="0" w:line="360" w:lineRule="auto"/>
      <w:outlineLvl w:val="2"/>
    </w:pPr>
    <w:rPr>
      <w:b/>
    </w:rPr>
  </w:style>
  <w:style w:type="paragraph" w:styleId="6">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index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2753</Words>
  <Characters>2924</Characters>
  <Lines>0</Lines>
  <Paragraphs>0</Paragraphs>
  <TotalTime>2</TotalTime>
  <ScaleCrop>false</ScaleCrop>
  <LinksUpToDate>false</LinksUpToDate>
  <CharactersWithSpaces>2927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2023-10-27T14:19:00Z</dcterms:created>
  <dc:creator>阁下。</dc:creator>
  <cp:lastModifiedBy>吃肥皂吐泡泡</cp:lastModifiedBy>
  <cp:lastPrinted>2024-09-24T02:30:29Z</cp:lastPrinted>
  <dcterms:modified xsi:type="dcterms:W3CDTF">2024-09-24T02:32:01Z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957531D816D84DE98858295C50E97B6C_11</vt:lpwstr>
  </property>
</Properties>
</file>