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jc w:val="center"/>
        <w:rPr>
          <w:rFonts w:hint="eastAsia" w:ascii="方正小标宋简体" w:hAnsi="华文中宋" w:eastAsia="方正小标宋简体" w:cs="华文中宋"/>
          <w:b/>
          <w:color w:val="auto"/>
          <w:sz w:val="36"/>
          <w:szCs w:val="36"/>
          <w:lang w:val="en-US" w:eastAsia="zh-CN"/>
        </w:rPr>
      </w:pPr>
      <w:r>
        <w:rPr>
          <w:rFonts w:hint="eastAsia" w:ascii="方正小标宋简体" w:hAnsi="华文中宋" w:eastAsia="方正小标宋简体" w:cs="华文中宋"/>
          <w:b/>
          <w:color w:val="auto"/>
          <w:sz w:val="36"/>
          <w:szCs w:val="36"/>
          <w:lang w:val="en-US" w:eastAsia="zh-CN"/>
        </w:rPr>
        <w:t>兰州新区党工委办公室2023年度部门整体支出</w:t>
      </w:r>
    </w:p>
    <w:p>
      <w:pPr>
        <w:ind w:left="0" w:leftChars="0" w:firstLine="0" w:firstLineChars="0"/>
        <w:jc w:val="center"/>
        <w:rPr>
          <w:rFonts w:hint="eastAsia" w:ascii="方正小标宋简体" w:hAnsi="华文中宋" w:eastAsia="方正小标宋简体" w:cs="华文中宋"/>
          <w:b/>
          <w:color w:val="auto"/>
          <w:sz w:val="36"/>
          <w:szCs w:val="36"/>
          <w:lang w:val="en-US" w:eastAsia="zh-CN"/>
        </w:rPr>
      </w:pPr>
      <w:r>
        <w:rPr>
          <w:rFonts w:hint="eastAsia" w:ascii="方正小标宋简体" w:hAnsi="华文中宋" w:eastAsia="方正小标宋简体" w:cs="华文中宋"/>
          <w:b/>
          <w:color w:val="auto"/>
          <w:sz w:val="36"/>
          <w:szCs w:val="36"/>
          <w:lang w:val="en-US" w:eastAsia="zh-CN"/>
        </w:rPr>
        <w:t>绩效评价报告</w:t>
      </w:r>
    </w:p>
    <w:p>
      <w:pPr>
        <w:bidi w:val="0"/>
        <w:rPr>
          <w:rFonts w:hint="eastAsia"/>
          <w:lang w:val="en-US" w:eastAsia="zh-CN"/>
        </w:rPr>
      </w:pPr>
    </w:p>
    <w:tbl>
      <w:tblPr>
        <w:tblStyle w:val="11"/>
        <w:tblW w:w="8814" w:type="dxa"/>
        <w:jc w:val="center"/>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698"/>
        <w:gridCol w:w="994"/>
        <w:gridCol w:w="903"/>
        <w:gridCol w:w="1842"/>
        <w:gridCol w:w="1860"/>
        <w:gridCol w:w="2517"/>
      </w:tblGrid>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28" w:hRule="atLeast"/>
          <w:jc w:val="center"/>
        </w:trPr>
        <w:tc>
          <w:tcPr>
            <w:tcW w:w="8814" w:type="dxa"/>
            <w:gridSpan w:val="6"/>
            <w:tcBorders>
              <w:tl2br w:val="nil"/>
              <w:tr2bl w:val="nil"/>
            </w:tcBorders>
            <w:shd w:val="clear" w:color="auto" w:fill="FFFFFF"/>
            <w:vAlign w:val="center"/>
          </w:tcPr>
          <w:p>
            <w:pPr>
              <w:bidi w:val="0"/>
              <w:ind w:left="0" w:leftChars="0" w:firstLine="0" w:firstLineChars="0"/>
              <w:jc w:val="center"/>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bCs/>
                <w:sz w:val="24"/>
                <w:szCs w:val="24"/>
                <w:lang w:val="en-US" w:eastAsia="zh-CN"/>
              </w:rPr>
              <w:t>一、部门整体基本情况</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restar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基本情况</w:t>
            </w:r>
          </w:p>
        </w:tc>
        <w:tc>
          <w:tcPr>
            <w:tcW w:w="1897"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项目名称</w:t>
            </w:r>
          </w:p>
        </w:tc>
        <w:tc>
          <w:tcPr>
            <w:tcW w:w="6219"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兰州新区党工委办公室2023年度部门整体支出绩效评价</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p>
        </w:tc>
        <w:tc>
          <w:tcPr>
            <w:tcW w:w="1897"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评价年度</w:t>
            </w:r>
          </w:p>
        </w:tc>
        <w:tc>
          <w:tcPr>
            <w:tcW w:w="1842"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2023年度</w:t>
            </w:r>
          </w:p>
        </w:tc>
        <w:tc>
          <w:tcPr>
            <w:tcW w:w="1860"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评价类型</w:t>
            </w:r>
          </w:p>
        </w:tc>
        <w:tc>
          <w:tcPr>
            <w:tcW w:w="251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单位自行评价</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p>
        </w:tc>
        <w:tc>
          <w:tcPr>
            <w:tcW w:w="1897"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评价对象名称</w:t>
            </w:r>
          </w:p>
        </w:tc>
        <w:tc>
          <w:tcPr>
            <w:tcW w:w="6219"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兰州新区党工委办公室</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98"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实施目的</w:t>
            </w:r>
          </w:p>
        </w:tc>
        <w:tc>
          <w:tcPr>
            <w:tcW w:w="8116" w:type="dxa"/>
            <w:gridSpan w:val="5"/>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通过综合分析兰州新区党工委办公室部门整体支出预算编制的合理性和科学性、预算执行的时效性、预算控制和监督的有效性，以及部门基本运转、履职尽责和履职效能等情况；同时重点</w:t>
            </w:r>
            <w:bookmarkStart w:id="0" w:name="_GoBack"/>
            <w:bookmarkEnd w:id="0"/>
            <w:r>
              <w:rPr>
                <w:rFonts w:hint="eastAsia" w:ascii="宋体" w:hAnsi="宋体" w:eastAsia="宋体" w:cs="宋体"/>
                <w:b w:val="0"/>
                <w:color w:val="000000"/>
                <w:sz w:val="24"/>
                <w:szCs w:val="24"/>
                <w:vertAlign w:val="baseline"/>
                <w:lang w:val="en-US" w:eastAsia="zh-CN"/>
              </w:rPr>
              <w:t>关注内部控制管理情况，全面考核部门整体支出和履职职能的匹配程度，及时发现部门存在的不足和问题，提出合理意见建议，从而提升部门整体预算绩效管理水平，提高财政资金使用效益。</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restar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资金情况（万元）</w:t>
            </w:r>
          </w:p>
        </w:tc>
        <w:tc>
          <w:tcPr>
            <w:tcW w:w="1897"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预算安排资金</w:t>
            </w:r>
          </w:p>
        </w:tc>
        <w:tc>
          <w:tcPr>
            <w:tcW w:w="1842"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5257.66</w:t>
            </w:r>
          </w:p>
        </w:tc>
        <w:tc>
          <w:tcPr>
            <w:tcW w:w="1860"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实际到位资金</w:t>
            </w:r>
          </w:p>
        </w:tc>
        <w:tc>
          <w:tcPr>
            <w:tcW w:w="251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5257.66</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其中：市级资金</w:t>
            </w:r>
          </w:p>
        </w:tc>
        <w:tc>
          <w:tcPr>
            <w:tcW w:w="1842"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0</w:t>
            </w:r>
          </w:p>
        </w:tc>
        <w:tc>
          <w:tcPr>
            <w:tcW w:w="1860"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bCs w:val="0"/>
                <w:color w:val="000000"/>
                <w:kern w:val="2"/>
                <w:sz w:val="24"/>
                <w:szCs w:val="24"/>
                <w:vertAlign w:val="baseline"/>
                <w:lang w:val="en-US" w:eastAsia="zh-CN" w:bidi="ar-SA"/>
              </w:rPr>
            </w:pPr>
            <w:r>
              <w:rPr>
                <w:rFonts w:hint="eastAsia" w:ascii="宋体" w:hAnsi="宋体" w:eastAsia="宋体" w:cs="宋体"/>
                <w:b w:val="0"/>
                <w:bCs w:val="0"/>
                <w:color w:val="000000"/>
                <w:sz w:val="24"/>
                <w:szCs w:val="24"/>
                <w:vertAlign w:val="baseline"/>
                <w:lang w:val="en-US" w:eastAsia="zh-CN"/>
              </w:rPr>
              <w:t>其中：市级资金</w:t>
            </w:r>
          </w:p>
        </w:tc>
        <w:tc>
          <w:tcPr>
            <w:tcW w:w="251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kern w:val="2"/>
                <w:sz w:val="24"/>
                <w:szCs w:val="24"/>
                <w:vertAlign w:val="baseline"/>
                <w:lang w:val="en-US" w:eastAsia="zh-CN" w:bidi="ar-SA"/>
              </w:rPr>
            </w:pPr>
            <w:r>
              <w:rPr>
                <w:rFonts w:hint="eastAsia" w:ascii="宋体" w:hAnsi="宋体" w:eastAsia="宋体" w:cs="宋体"/>
                <w:b w:val="0"/>
                <w:color w:val="000000"/>
                <w:sz w:val="24"/>
                <w:szCs w:val="24"/>
                <w:vertAlign w:val="baseline"/>
                <w:lang w:val="en-US" w:eastAsia="zh-CN"/>
              </w:rPr>
              <w:t>0</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县级资金</w:t>
            </w:r>
          </w:p>
        </w:tc>
        <w:tc>
          <w:tcPr>
            <w:tcW w:w="1842"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5257.66</w:t>
            </w:r>
          </w:p>
        </w:tc>
        <w:tc>
          <w:tcPr>
            <w:tcW w:w="1860"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hint="eastAsia" w:ascii="宋体" w:hAnsi="宋体" w:eastAsia="宋体" w:cs="宋体"/>
                <w:b w:val="0"/>
                <w:bCs w:val="0"/>
                <w:color w:val="000000"/>
                <w:kern w:val="2"/>
                <w:sz w:val="24"/>
                <w:szCs w:val="24"/>
                <w:vertAlign w:val="baseline"/>
                <w:lang w:val="en-US" w:eastAsia="zh-CN" w:bidi="ar-SA"/>
              </w:rPr>
            </w:pPr>
            <w:r>
              <w:rPr>
                <w:rFonts w:hint="eastAsia" w:ascii="宋体" w:hAnsi="宋体" w:eastAsia="宋体" w:cs="宋体"/>
                <w:b w:val="0"/>
                <w:bCs w:val="0"/>
                <w:color w:val="000000"/>
                <w:sz w:val="24"/>
                <w:szCs w:val="24"/>
                <w:vertAlign w:val="baseline"/>
                <w:lang w:val="en-US" w:eastAsia="zh-CN"/>
              </w:rPr>
              <w:t>县级资金</w:t>
            </w:r>
          </w:p>
        </w:tc>
        <w:tc>
          <w:tcPr>
            <w:tcW w:w="251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kern w:val="2"/>
                <w:sz w:val="24"/>
                <w:szCs w:val="24"/>
                <w:vertAlign w:val="baseline"/>
                <w:lang w:val="en-US" w:eastAsia="zh-CN" w:bidi="ar-SA"/>
              </w:rPr>
            </w:pPr>
            <w:r>
              <w:rPr>
                <w:rFonts w:hint="eastAsia" w:ascii="宋体" w:hAnsi="宋体" w:eastAsia="宋体" w:cs="宋体"/>
                <w:b w:val="0"/>
                <w:color w:val="000000"/>
                <w:sz w:val="24"/>
                <w:szCs w:val="24"/>
                <w:vertAlign w:val="baseline"/>
                <w:lang w:val="en-US" w:eastAsia="zh-CN"/>
              </w:rPr>
              <w:t>5257.66</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实际支出资金</w:t>
            </w:r>
          </w:p>
        </w:tc>
        <w:tc>
          <w:tcPr>
            <w:tcW w:w="1842"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5257.66</w:t>
            </w:r>
          </w:p>
        </w:tc>
        <w:tc>
          <w:tcPr>
            <w:tcW w:w="1860"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结余资金</w:t>
            </w:r>
          </w:p>
        </w:tc>
        <w:tc>
          <w:tcPr>
            <w:tcW w:w="251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0</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预算执行率</w:t>
            </w:r>
          </w:p>
        </w:tc>
        <w:tc>
          <w:tcPr>
            <w:tcW w:w="6219"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100%</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54" w:hRule="atLeast"/>
          <w:jc w:val="center"/>
        </w:trPr>
        <w:tc>
          <w:tcPr>
            <w:tcW w:w="8814" w:type="dxa"/>
            <w:gridSpan w:val="6"/>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bCs/>
                <w:sz w:val="24"/>
                <w:szCs w:val="24"/>
                <w:lang w:val="en-US" w:eastAsia="zh-CN"/>
              </w:rPr>
              <w:t>二、部门整体绩效目标</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1692"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年度绩效目标</w:t>
            </w:r>
          </w:p>
        </w:tc>
        <w:tc>
          <w:tcPr>
            <w:tcW w:w="7122"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根据兰州新区党工委办公室《2023年度部门整体支出绩效目标申报表》，总结并梳理出兰州新区党工委办公室2023年度部门整体支出绩效目标为：</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1.保障新区党工委及党工委办公室各类公务、商务活动正常开展。</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2.严格按照合同，有计划支出，年底达到全部支出。</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3.根据全年党工委及党工委办公室领导慰问工作安排，按时支付慰问经费。</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4.保障新区党工委及党工委办公室各类会议正常开展。</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5.高质量完成党工委及党工委办公室各类文件印刷，保障机关公文格式规范。</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6.实现纸质归档文件与电子档案双重保管，提高文书档案查阅效率。</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7.完成在新区协同办公系统嵌入督查督办信息化平台系统。</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8.围绕兰州新区中心工作，深度挖掘兰州新区新闻，打造新媒体传播矩阵，刊发大量正面报道，不定期积极策划选题，组织一线采访，传播兰州新区声音，有效提升兰州新区的社会影响力和美誉度，努力在省内外、国内外乃至海外创造积极正面的影响力，为兰州新区高质量快速发展凝聚强大正能量。</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default" w:ascii="宋体" w:hAnsi="宋体" w:eastAsia="宋体" w:cs="宋体"/>
                <w:b/>
                <w:bCs/>
                <w:sz w:val="24"/>
                <w:szCs w:val="24"/>
                <w:lang w:val="en-US" w:eastAsia="zh-CN"/>
              </w:rPr>
            </w:pPr>
            <w:r>
              <w:rPr>
                <w:rFonts w:hint="eastAsia" w:ascii="宋体" w:hAnsi="宋体" w:eastAsia="宋体" w:cs="宋体"/>
                <w:b w:val="0"/>
                <w:bCs w:val="0"/>
                <w:sz w:val="24"/>
                <w:szCs w:val="24"/>
                <w:lang w:val="en-US" w:eastAsia="zh-CN"/>
              </w:rPr>
              <w:t>9.围绕兰州新区中心工作，紧紧围绕新区党工委、管委会中心工作，强化担当、积极作为，牢守网络意识形态主阵地，加强网上宣传引导，防范舆情风险隐患，深化网络综合治理，夯实网络安全屏障，发挥信息化引领作用，全方位推动新区网信事业高质量发展，为新区“四区两新”建设贡献网信力量。</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6"/>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三、评价基本情况</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81" w:hRule="atLeast"/>
          <w:jc w:val="center"/>
        </w:trPr>
        <w:tc>
          <w:tcPr>
            <w:tcW w:w="1692"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评价范围</w:t>
            </w:r>
          </w:p>
        </w:tc>
        <w:tc>
          <w:tcPr>
            <w:tcW w:w="7122"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兰州新区党工委办公室2023年度部门全年预算资金5257.66万元。</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41" w:hRule="atLeast"/>
          <w:jc w:val="center"/>
        </w:trPr>
        <w:tc>
          <w:tcPr>
            <w:tcW w:w="1692"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评价依据</w:t>
            </w:r>
          </w:p>
        </w:tc>
        <w:tc>
          <w:tcPr>
            <w:tcW w:w="7122"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1.《中华人民共和国预算法》；</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2.《中共中央 国务院关于全面实施预算绩效管理的意见》（中发〔2018〕34号）；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3.《财政部关于印发&lt;预算绩效评价共性指标体系框架&gt;的通知》（财预〔2013〕53号）；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4.《财政部关于规范绩效评价结果等级划分标准的通知》（财预便〔2017〕44号）；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5.《甘肃省委 省政府关于全面实施预算绩效管理的实施意见》（甘发〔2018〕32号）；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6.《兰州新区管委会办公室关于印发&lt;兰州新区全面推进预算绩效管理实施细则&gt;的通知》;</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7.《兰州新区党工委办公室财务管理制度》</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8.部门2023年度预决算公开报表及情况说明；</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9.各内设机构年度工作计划及《兰州新区党工委办公室2023年度领导班子述职述廉报告》；</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10.2023年度预算执行情况绩效目标表、自评报告、自评表等；</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11.各项支出财务凭证等其他相关资料。</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41" w:hRule="atLeast"/>
          <w:jc w:val="center"/>
        </w:trPr>
        <w:tc>
          <w:tcPr>
            <w:tcW w:w="1692"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绩效评价</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指标体系</w:t>
            </w:r>
          </w:p>
        </w:tc>
        <w:tc>
          <w:tcPr>
            <w:tcW w:w="7122"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本次绩效评价指标体系设计思路主要是根据兰州新区党工委办公室的基本职能，围绕部门年度工作计划、绩效目标设定、预算编制、预算执行、履职完成情况及履职效益发挥情况等重要内容，结合绩效评价指标体系的设计原则及设计方法，主要从部门规划、运行成本、管理效率、履职效能、履职效应、可持续发展能力及满意度七个方面评价党工委办公室2023年度部门整体工作，指标体系的数据源于各科室履职各项资料、基础数据表及分析情况等资料。</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95" w:hRule="atLeast"/>
          <w:jc w:val="center"/>
        </w:trPr>
        <w:tc>
          <w:tcPr>
            <w:tcW w:w="1692"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评价方法</w:t>
            </w:r>
          </w:p>
        </w:tc>
        <w:tc>
          <w:tcPr>
            <w:tcW w:w="7122"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比较法、因素分析法、公众评判法。</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726" w:hRule="atLeast"/>
          <w:jc w:val="center"/>
        </w:trPr>
        <w:tc>
          <w:tcPr>
            <w:tcW w:w="1692"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数据采集及</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处理方法</w:t>
            </w:r>
          </w:p>
        </w:tc>
        <w:tc>
          <w:tcPr>
            <w:tcW w:w="7122"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按照绩效评价指标体系对部门整体绩效评价资料进行逐一整理，便于后期从评价资料中提取所需数据信息；对照评分标准，从已整理资料中提取与对应指标有关的数据信息，统计分析该指标的得分情况和扣分原因。</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41" w:hRule="atLeast"/>
          <w:jc w:val="center"/>
        </w:trPr>
        <w:tc>
          <w:tcPr>
            <w:tcW w:w="1692"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绩效评价</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工作过程</w:t>
            </w:r>
          </w:p>
        </w:tc>
        <w:tc>
          <w:tcPr>
            <w:tcW w:w="7122" w:type="dxa"/>
            <w:gridSpan w:val="4"/>
            <w:tcBorders>
              <w:tl2br w:val="nil"/>
              <w:tr2bl w:val="nil"/>
            </w:tcBorders>
            <w:shd w:val="clear" w:color="auto" w:fill="FFFFFF"/>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left"/>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1.前期准备阶段。</w:t>
            </w:r>
            <w:r>
              <w:rPr>
                <w:rFonts w:hint="eastAsia" w:ascii="宋体" w:hAnsi="宋体" w:eastAsia="宋体" w:cs="宋体"/>
                <w:b w:val="0"/>
                <w:bCs w:val="0"/>
                <w:sz w:val="24"/>
                <w:szCs w:val="24"/>
                <w:lang w:val="en-US" w:eastAsia="zh-CN"/>
              </w:rPr>
              <w:t>根据各项预算年度目标，针对性地设计评价指标体系和资料收集清单；同时通过查阅相关政策制度，根据预算实施情况，分析各科室预算执行效果及目标确定评价要点。</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left"/>
              <w:textAlignment w:val="auto"/>
              <w:rPr>
                <w:rFonts w:hint="eastAsia" w:ascii="宋体" w:hAnsi="宋体" w:eastAsia="宋体" w:cs="宋体"/>
                <w:b w:val="0"/>
                <w:bCs w:val="0"/>
                <w:sz w:val="24"/>
                <w:szCs w:val="24"/>
                <w:lang w:val="en-US" w:eastAsia="zh-CN"/>
              </w:rPr>
            </w:pPr>
            <w:r>
              <w:rPr>
                <w:rFonts w:hint="eastAsia" w:ascii="宋体" w:hAnsi="宋体" w:eastAsia="宋体" w:cs="宋体"/>
                <w:b/>
                <w:bCs/>
                <w:kern w:val="2"/>
                <w:sz w:val="24"/>
                <w:szCs w:val="24"/>
                <w:lang w:val="en-US" w:eastAsia="zh-CN" w:bidi="ar-SA"/>
              </w:rPr>
              <w:t>2.</w:t>
            </w:r>
            <w:r>
              <w:rPr>
                <w:rFonts w:hint="eastAsia" w:ascii="宋体" w:hAnsi="宋体" w:eastAsia="宋体" w:cs="宋体"/>
                <w:b/>
                <w:bCs/>
                <w:sz w:val="24"/>
                <w:szCs w:val="24"/>
                <w:lang w:val="en-US" w:eastAsia="zh-CN"/>
              </w:rPr>
              <w:t>组织实施阶段。</w:t>
            </w:r>
            <w:r>
              <w:rPr>
                <w:rFonts w:hint="eastAsia" w:ascii="宋体" w:hAnsi="宋体" w:eastAsia="宋体" w:cs="宋体"/>
                <w:b w:val="0"/>
                <w:bCs w:val="0"/>
                <w:sz w:val="24"/>
                <w:szCs w:val="24"/>
                <w:lang w:val="en-US" w:eastAsia="zh-CN"/>
              </w:rPr>
              <w:t>根据评价工作安排，对其中9个预算项目进行公开评价，并对财务及资产管理制度是否健全、执行是否有效、项目实施是否达到目标值、效益发挥是否达到预期目标进行重点查看。</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left"/>
              <w:textAlignment w:val="auto"/>
              <w:rPr>
                <w:rFonts w:hint="eastAsia" w:ascii="宋体" w:hAnsi="宋体" w:eastAsia="宋体" w:cs="宋体"/>
                <w:b w:val="0"/>
                <w:bCs w:val="0"/>
                <w:sz w:val="24"/>
                <w:szCs w:val="24"/>
                <w:lang w:val="en-US" w:eastAsia="zh-CN"/>
              </w:rPr>
            </w:pPr>
            <w:r>
              <w:rPr>
                <w:rFonts w:hint="eastAsia" w:ascii="宋体" w:hAnsi="宋体" w:eastAsia="宋体" w:cs="宋体"/>
                <w:b/>
                <w:bCs/>
                <w:kern w:val="2"/>
                <w:sz w:val="24"/>
                <w:szCs w:val="24"/>
                <w:lang w:val="en-US" w:eastAsia="zh-CN" w:bidi="ar-SA"/>
              </w:rPr>
              <w:t>3.</w:t>
            </w:r>
            <w:r>
              <w:rPr>
                <w:rFonts w:hint="eastAsia" w:ascii="宋体" w:hAnsi="宋体" w:eastAsia="宋体" w:cs="宋体"/>
                <w:b/>
                <w:bCs/>
                <w:sz w:val="24"/>
                <w:szCs w:val="24"/>
                <w:lang w:val="en-US" w:eastAsia="zh-CN"/>
              </w:rPr>
              <w:t>数据分析阶段。</w:t>
            </w:r>
            <w:r>
              <w:rPr>
                <w:rFonts w:hint="eastAsia" w:ascii="宋体" w:hAnsi="宋体" w:eastAsia="宋体" w:cs="宋体"/>
                <w:b w:val="0"/>
                <w:bCs w:val="0"/>
                <w:sz w:val="24"/>
                <w:szCs w:val="24"/>
                <w:lang w:val="en-US" w:eastAsia="zh-CN"/>
              </w:rPr>
              <w:t>通过前期收集的资料，对提供的数据资料进行分析，提取有用的信息，形成分析结论。</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left"/>
              <w:textAlignment w:val="auto"/>
              <w:rPr>
                <w:rFonts w:hint="eastAsia" w:ascii="宋体" w:hAnsi="宋体" w:eastAsia="宋体" w:cs="宋体"/>
                <w:b w:val="0"/>
                <w:bCs w:val="0"/>
                <w:sz w:val="24"/>
                <w:szCs w:val="24"/>
                <w:lang w:val="en-US" w:eastAsia="zh-CN"/>
              </w:rPr>
            </w:pPr>
            <w:r>
              <w:rPr>
                <w:rFonts w:hint="eastAsia" w:ascii="宋体" w:hAnsi="宋体" w:eastAsia="宋体" w:cs="宋体"/>
                <w:b/>
                <w:bCs/>
                <w:kern w:val="2"/>
                <w:sz w:val="24"/>
                <w:szCs w:val="24"/>
                <w:lang w:val="en-US" w:eastAsia="zh-CN" w:bidi="ar-SA"/>
              </w:rPr>
              <w:t>4.</w:t>
            </w:r>
            <w:r>
              <w:rPr>
                <w:rFonts w:hint="eastAsia" w:ascii="宋体" w:hAnsi="宋体" w:eastAsia="宋体" w:cs="宋体"/>
                <w:b/>
                <w:bCs/>
                <w:sz w:val="24"/>
                <w:szCs w:val="24"/>
                <w:lang w:val="en-US" w:eastAsia="zh-CN"/>
              </w:rPr>
              <w:t>撰写报告阶段。</w:t>
            </w:r>
            <w:r>
              <w:rPr>
                <w:rFonts w:hint="eastAsia" w:ascii="宋体" w:hAnsi="宋体" w:eastAsia="宋体" w:cs="宋体"/>
                <w:b w:val="0"/>
                <w:bCs w:val="0"/>
                <w:sz w:val="24"/>
                <w:szCs w:val="24"/>
                <w:lang w:val="en-US" w:eastAsia="zh-CN"/>
              </w:rPr>
              <w:t>根据收集的各项资料，按照绩效评价要求和规定的文本格式撰写兰州新区党工委办公室2023年度部门整体支出绩效评价报告。</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6"/>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四、存在问题</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174" w:hRule="atLeast"/>
          <w:jc w:val="center"/>
        </w:trPr>
        <w:tc>
          <w:tcPr>
            <w:tcW w:w="8814" w:type="dxa"/>
            <w:gridSpan w:val="6"/>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481" w:firstLineChars="200"/>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 xml:space="preserve"> 预算资金未按照年初计划执行存在偏差。（</w:t>
            </w:r>
            <w:r>
              <w:rPr>
                <w:rFonts w:hint="eastAsia" w:ascii="宋体" w:hAnsi="宋体" w:eastAsia="宋体" w:cs="宋体"/>
                <w:b w:val="0"/>
                <w:bCs w:val="0"/>
                <w:sz w:val="24"/>
                <w:szCs w:val="24"/>
                <w:lang w:val="en-US" w:eastAsia="zh-CN"/>
              </w:rPr>
              <w:t>1）2023年对外联络工作经费在绩效指标中整体情况较好，但由于财力问题导致9月-11月的经费支出与年初计划存在差异，下一步将积极对接财政对2023年未支付的经费统筹到2024年进行支付并对2024年项目经费做好支付计划安排。（2）2023年会议费在绩效指标中整体情况较好，但由于财力问题导致经费支出与年初计划存在差异，下一步将积极对接财政对2023年未支付的经费统筹到2024年进行支付并对2024年项目经费做好支付计划安排。（3）2023年文印费在绩效指标中整体情况较好，但由于财力问题导致7月-11月的经费支出与年初计划存在差异，下一步将积极对接财政对2023年未支付的经费统筹到2024年进行支付并对2024年项目经费做好支付计划安排。（4）2023年档案整理外包及档案数字化经费在绩效指标中整体情况较好，但由于财力问题导致部分档案整理费用支出与年初计划存在差异，下一步将积极对接财政对2023年未支付的经费统筹到2024年进行支付并对2024年项目经费做好支付计划安排。（5）宣传工作经费在绩效指标中整体情况较好，但由于财力问题经费支出与年初计划存在差异，下一步将积极对接财政对2023年未支付的经费统筹到2024年进行支付并对2024年项目经费做好支付计划安排。</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6"/>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五、相关建议</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835" w:hRule="atLeast"/>
          <w:jc w:val="center"/>
        </w:trPr>
        <w:tc>
          <w:tcPr>
            <w:tcW w:w="8814" w:type="dxa"/>
            <w:gridSpan w:val="6"/>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481"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1.规范项目实施进度管理，进一步提升履职效能。</w:t>
            </w:r>
            <w:r>
              <w:rPr>
                <w:rFonts w:hint="eastAsia" w:ascii="宋体" w:hAnsi="宋体" w:eastAsia="宋体" w:cs="宋体"/>
                <w:b w:val="0"/>
                <w:bCs w:val="0"/>
                <w:sz w:val="24"/>
                <w:szCs w:val="24"/>
                <w:lang w:val="en-US" w:eastAsia="zh-CN"/>
              </w:rPr>
              <w:t>建议各科室合理制定项目前期计划和目标，建立有效的项目监督管理机制，确保各项工作任务和目标顺利完成。具体包括聚焦部门职能、部门规划和年度重点工作任务、预算安排，提炼出明确可考核的部门整体和项目绩效目标、指标，强化预算与绩效管理一体化，从而有效提升部门履职效能。因特殊原因确实无法按计划完成的工作需及时作出调整，确保部门履职工作效应的有效发挥。</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81"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2.贯彻全面实施预算绩效管理政策，严格做好各项绩效管理工作。</w:t>
            </w:r>
            <w:r>
              <w:rPr>
                <w:rFonts w:hint="eastAsia" w:ascii="宋体" w:hAnsi="宋体" w:eastAsia="宋体" w:cs="宋体"/>
                <w:b w:val="0"/>
                <w:bCs w:val="0"/>
                <w:sz w:val="24"/>
                <w:szCs w:val="24"/>
                <w:lang w:val="en-US" w:eastAsia="zh-CN"/>
              </w:rPr>
              <w:t>建议各科室严格按照“谁支出、谁负责”的原则，完善全面预算绩效管理，综合科是本单位预算绩效管理的牵头科室，业务科室是本单位预算绩效管理的具体实施科室，承担编报绩效目标、实施绩效跟踪、开展绩效评价等预算绩效管理职责，确保各项要求落到实处，建立健全本单位预算绩效管理工作机制，确保各科室年初设置明确绩效目标，并对绩效目标实现程度和预算执行进度实行“双监控”，以便发现问题、分析原因并及时纠正；同时有效实现项目绩效自评全覆盖，如实反映绩效目标实现结果，对绩效目标未达成或目标制定明显不合理的，及时作出说明并提出改进措施，提高部门履职效能和公共服务供给质量。</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0" w:hRule="atLeast"/>
          <w:jc w:val="center"/>
        </w:trPr>
        <w:tc>
          <w:tcPr>
            <w:tcW w:w="8814" w:type="dxa"/>
            <w:gridSpan w:val="6"/>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七、其他需要说明的事项</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692" w:hRule="atLeast"/>
          <w:jc w:val="center"/>
        </w:trPr>
        <w:tc>
          <w:tcPr>
            <w:tcW w:w="8814" w:type="dxa"/>
            <w:gridSpan w:val="6"/>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无</w:t>
            </w:r>
          </w:p>
        </w:tc>
      </w:tr>
    </w:tbl>
    <w:p>
      <w:pPr>
        <w:bidi w:val="0"/>
        <w:ind w:left="0" w:leftChars="0" w:firstLine="0" w:firstLineChars="0"/>
      </w:pPr>
    </w:p>
    <w:sectPr>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华文中宋">
    <w:altName w:val="汉仪中宋简"/>
    <w:panose1 w:val="02010600040101010101"/>
    <w:charset w:val="86"/>
    <w:family w:val="auto"/>
    <w:pitch w:val="default"/>
    <w:sig w:usb0="00000000" w:usb1="0000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7"/>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UxMjUxY2YzZGU0YWZlMjRlM2I5NGNhODM5YTI5YjYifQ=="/>
  </w:docVars>
  <w:rsids>
    <w:rsidRoot w:val="50362AE6"/>
    <w:rsid w:val="00D76A86"/>
    <w:rsid w:val="01D874CD"/>
    <w:rsid w:val="036E0F6F"/>
    <w:rsid w:val="03973FA9"/>
    <w:rsid w:val="06EB3426"/>
    <w:rsid w:val="07C81D7B"/>
    <w:rsid w:val="0A2A723E"/>
    <w:rsid w:val="0A3F5E74"/>
    <w:rsid w:val="112F6356"/>
    <w:rsid w:val="13750B42"/>
    <w:rsid w:val="157E565E"/>
    <w:rsid w:val="15C32851"/>
    <w:rsid w:val="1BC01759"/>
    <w:rsid w:val="1BD82927"/>
    <w:rsid w:val="1C7D48CD"/>
    <w:rsid w:val="1D01233B"/>
    <w:rsid w:val="1E4A5D6E"/>
    <w:rsid w:val="20176124"/>
    <w:rsid w:val="24D55C78"/>
    <w:rsid w:val="266B6E4E"/>
    <w:rsid w:val="26BE4453"/>
    <w:rsid w:val="272D2898"/>
    <w:rsid w:val="27F03E2A"/>
    <w:rsid w:val="28EA6A6E"/>
    <w:rsid w:val="28EF2E48"/>
    <w:rsid w:val="2A805ED8"/>
    <w:rsid w:val="2CB76567"/>
    <w:rsid w:val="3246394F"/>
    <w:rsid w:val="32A76310"/>
    <w:rsid w:val="332736B7"/>
    <w:rsid w:val="399649CA"/>
    <w:rsid w:val="39D03040"/>
    <w:rsid w:val="41055F0D"/>
    <w:rsid w:val="417C1E8F"/>
    <w:rsid w:val="48054931"/>
    <w:rsid w:val="485D55BF"/>
    <w:rsid w:val="4BA61945"/>
    <w:rsid w:val="50362AE6"/>
    <w:rsid w:val="50447C2B"/>
    <w:rsid w:val="52555572"/>
    <w:rsid w:val="533D715B"/>
    <w:rsid w:val="54C310C9"/>
    <w:rsid w:val="54E92EBD"/>
    <w:rsid w:val="55F56D34"/>
    <w:rsid w:val="573F7050"/>
    <w:rsid w:val="5915699E"/>
    <w:rsid w:val="5C641B24"/>
    <w:rsid w:val="5F851FA3"/>
    <w:rsid w:val="5FEE39B7"/>
    <w:rsid w:val="619736C1"/>
    <w:rsid w:val="62564F40"/>
    <w:rsid w:val="65CD64C7"/>
    <w:rsid w:val="680C3C00"/>
    <w:rsid w:val="6FF269CE"/>
    <w:rsid w:val="70721B59"/>
    <w:rsid w:val="726448F9"/>
    <w:rsid w:val="74030452"/>
    <w:rsid w:val="76EF360E"/>
    <w:rsid w:val="775D21EC"/>
    <w:rsid w:val="77B04009"/>
    <w:rsid w:val="77B82F42"/>
    <w:rsid w:val="781E54A5"/>
    <w:rsid w:val="7AE07C8F"/>
    <w:rsid w:val="7D1828E9"/>
    <w:rsid w:val="DEFFF553"/>
    <w:rsid w:val="EB5767E6"/>
    <w:rsid w:val="F7AF83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640" w:firstLineChars="200"/>
      <w:jc w:val="both"/>
    </w:pPr>
    <w:rPr>
      <w:rFonts w:ascii="仿宋_GB2312" w:hAnsi="仿宋_GB2312" w:eastAsia="仿宋_GB2312" w:cs="仿宋_GB2312"/>
      <w:kern w:val="2"/>
      <w:sz w:val="32"/>
      <w:szCs w:val="32"/>
      <w:lang w:val="en-US" w:eastAsia="zh-CN" w:bidi="ar-SA"/>
    </w:rPr>
  </w:style>
  <w:style w:type="paragraph" w:styleId="3">
    <w:name w:val="heading 1"/>
    <w:basedOn w:val="1"/>
    <w:next w:val="1"/>
    <w:link w:val="13"/>
    <w:qFormat/>
    <w:uiPriority w:val="0"/>
    <w:pPr>
      <w:keepNext/>
      <w:keepLines/>
      <w:spacing w:line="360" w:lineRule="auto"/>
      <w:ind w:firstLine="480" w:firstLineChars="200"/>
      <w:jc w:val="both"/>
      <w:outlineLvl w:val="0"/>
    </w:pPr>
    <w:rPr>
      <w:rFonts w:ascii="黑体" w:hAnsi="黑体" w:eastAsia="黑体" w:cs="黑体"/>
      <w:kern w:val="44"/>
      <w:szCs w:val="32"/>
    </w:rPr>
  </w:style>
  <w:style w:type="paragraph" w:styleId="4">
    <w:name w:val="heading 2"/>
    <w:basedOn w:val="1"/>
    <w:next w:val="1"/>
    <w:semiHidden/>
    <w:unhideWhenUsed/>
    <w:qFormat/>
    <w:uiPriority w:val="0"/>
    <w:pPr>
      <w:topLinePunct/>
      <w:spacing w:before="0" w:beforeAutospacing="0" w:after="0" w:afterAutospacing="0"/>
      <w:jc w:val="left"/>
      <w:outlineLvl w:val="1"/>
    </w:pPr>
    <w:rPr>
      <w:rFonts w:hint="eastAsia" w:ascii="楷体" w:hAnsi="楷体" w:eastAsia="楷体" w:cs="楷体"/>
      <w:b/>
      <w:bCs/>
      <w:kern w:val="0"/>
      <w:lang w:bidi="ar"/>
    </w:rPr>
  </w:style>
  <w:style w:type="paragraph" w:styleId="5">
    <w:name w:val="heading 3"/>
    <w:basedOn w:val="1"/>
    <w:next w:val="1"/>
    <w:semiHidden/>
    <w:unhideWhenUsed/>
    <w:qFormat/>
    <w:uiPriority w:val="0"/>
    <w:pPr>
      <w:keepNext/>
      <w:keepLines/>
      <w:spacing w:beforeLines="0" w:beforeAutospacing="0" w:afterLines="0" w:afterAutospacing="0" w:line="360" w:lineRule="auto"/>
      <w:outlineLvl w:val="2"/>
    </w:pPr>
    <w:rPr>
      <w:b/>
    </w:rPr>
  </w:style>
  <w:style w:type="paragraph" w:styleId="6">
    <w:name w:val="heading 6"/>
    <w:basedOn w:val="1"/>
    <w:next w:val="1"/>
    <w:semiHidden/>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toc 3"/>
    <w:basedOn w:val="1"/>
    <w:next w:val="1"/>
    <w:qFormat/>
    <w:uiPriority w:val="0"/>
    <w:pPr>
      <w:ind w:left="840"/>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index 1"/>
    <w:basedOn w:val="1"/>
    <w:next w:val="1"/>
    <w:qFormat/>
    <w:uiPriority w:val="0"/>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标题 1 Char"/>
    <w:link w:val="3"/>
    <w:qFormat/>
    <w:uiPriority w:val="0"/>
    <w:rPr>
      <w:rFonts w:ascii="黑体" w:hAnsi="黑体" w:eastAsia="黑体" w:cs="黑体"/>
      <w:kern w:val="44"/>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Office_11.8.2.9864_F1E327BC-269C-435d-A152-05C5408002CA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2023-10-27T22:19:00Z</dcterms:created>
  <dc:creator>阁下。</dc:creator>
  <cp:lastModifiedBy>lzxq</cp:lastModifiedBy>
  <dcterms:modified xsi:type="dcterms:W3CDTF">2024-09-23T10:42:31Z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y fmtid="{D5CDD505-2E9C-101B-9397-08002B2CF9AE}" pid="3" name="ICV">
    <vt:lpwstr>957531D816D84DE98858295C50E97B6C_11</vt:lpwstr>
  </property>
</Properties>
</file>