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1E92" w:rsidRDefault="00DD1E92">
      <w:pPr>
        <w:spacing w:line="20" w:lineRule="exact"/>
      </w:pPr>
    </w:p>
    <w:p w:rsidR="00DD1E92" w:rsidRDefault="002D235D" w:rsidP="002D235D">
      <w:pPr>
        <w:widowControl/>
        <w:spacing w:line="600" w:lineRule="exact"/>
        <w:jc w:val="left"/>
        <w:rPr>
          <w:rFonts w:ascii="黑体" w:eastAsia="黑体" w:hAnsi="黑体" w:cs="黑体"/>
          <w:b/>
          <w:bCs/>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DD1E92" w:rsidRDefault="002D235D">
      <w:pPr>
        <w:adjustRightInd w:val="0"/>
        <w:snapToGrid w:val="0"/>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kern w:val="0"/>
          <w:sz w:val="44"/>
          <w:szCs w:val="44"/>
        </w:rPr>
        <w:t>相关税收优惠政策</w:t>
      </w:r>
    </w:p>
    <w:p w:rsidR="00DD1E92" w:rsidRDefault="00DD1E92">
      <w:pPr>
        <w:pStyle w:val="2"/>
      </w:pP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符合条件的绿色矿山企业可享受以下企业所得税优惠政策：</w:t>
      </w:r>
    </w:p>
    <w:p w:rsidR="00DD1E92" w:rsidRDefault="002D235D">
      <w:pPr>
        <w:pStyle w:val="a9"/>
        <w:adjustRightInd w:val="0"/>
        <w:snapToGrid w:val="0"/>
        <w:spacing w:before="0" w:beforeAutospacing="0" w:after="0" w:afterAutospacing="0" w:line="600" w:lineRule="exact"/>
        <w:ind w:firstLineChars="200" w:firstLine="640"/>
        <w:jc w:val="both"/>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企业购置并实际使用国家发布最新版《环境保护专用设备企业所得税优惠目录》、《节能节水专用设备企业所得税优惠目录》和《安全生产专用设备企业所得税优惠目录》规定的环境保护、节能节水、安全生产等专用设备的，该专用设备投资额的</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可以从企业当年的应纳税额中抵免；当年不足抵免的，可以在以后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个纳税年度结转抵免。（省财政厅、省税务局、省发展改革委、省工信厅、省生态环境厅负责）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以《资源综合利用企业所得税优惠目录》规定的资源作为主要原材料，且目录所列原材料占生产产品材料的比例不得低于《资源综合利用企业所得税优惠目录》规定的标准，生产国家非限制和禁止并符合国家和行业相关标准的产品取得的收入，减按</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计入收入总额。（省财政厅、省税务局、省发展改革委、省生态环境厅负责）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）企业在</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2027</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日期间发生的节能节水、环境保护和安全生产专用设备数字化、智能化改造投入，不超过该专用设备购置时原计税基础</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的部分，可按照</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比例抵免企业当年应纳税额。企业</w:t>
      </w:r>
      <w:r>
        <w:rPr>
          <w:rFonts w:ascii="仿宋_GB2312" w:eastAsia="仿宋_GB2312" w:hAnsi="仿宋_GB2312" w:cs="仿宋_GB2312" w:hint="eastAsia"/>
          <w:sz w:val="32"/>
          <w:szCs w:val="32"/>
        </w:rPr>
        <w:t>当年应纳税额不足抵免的，可以向以后年度结转，但结转年限最长不得超过五年。（省财政厅、省税务局负责）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绿色矿山企业厂区（包括生产、办公及生活区）以外的公共绿化用地和向社会开放的公园用地，暂免征收城镇土地使用税。（省税务局、省自然资源厅负责）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符合条件的绿色矿山企业可享受以下资源税优惠政策：</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）煤炭开采企业因安全生产需要抽采的煤成（层）气，免征资源税。（省税务局、省应急厅、省能源局、省自然资源厅负责）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）从衰竭期矿山开采的矿产品，减征</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资源税。（省税务局、省自然资源厅负责）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）纳税人开采</w:t>
      </w:r>
      <w:r>
        <w:rPr>
          <w:rFonts w:ascii="仿宋_GB2312" w:eastAsia="仿宋_GB2312" w:hAnsi="仿宋_GB2312" w:cs="仿宋_GB2312" w:hint="eastAsia"/>
          <w:sz w:val="32"/>
          <w:szCs w:val="32"/>
        </w:rPr>
        <w:t>销售伴生矿，伴生矿与主矿产品销售额分开核算的，对伴生矿暂不计征资源税；没有分开核算的，伴生矿按主矿产品的税目和适用税率计征资源税。开采低品位矿，按其应纳税额的</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％减征资源税。纳税人开采尾矿，免征资源税。（省税务局、省自然资源厅负责）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符合条件的绿色矿山企业可享受以下增值税优惠政策：</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）销售自产的资源综合利用产品和提供资源综合利用劳务，可享受增值税即征即退政策。（省税务局、省自然资源厅负责）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）污水处理厂出水、工业排水（矿井水）、生活污水、垃圾处理厂渗透（滤）液等项目生产再生水，可以享受增值税即</w:t>
      </w:r>
      <w:r>
        <w:rPr>
          <w:rFonts w:ascii="仿宋_GB2312" w:eastAsia="仿宋_GB2312" w:hAnsi="仿宋_GB2312" w:cs="仿宋_GB2312" w:hint="eastAsia"/>
          <w:sz w:val="32"/>
          <w:szCs w:val="32"/>
        </w:rPr>
        <w:t>征即退政策，或选择享受免征增值税。（省财政厅、省税务局负责）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）垃圾处理、污泥处理处置劳务、污水处理劳务项目，可以享受增值税即征即退或选择享受免征增值税。（省财政厅、省税务局负责）</w:t>
      </w:r>
    </w:p>
    <w:p w:rsidR="00DD1E92" w:rsidRDefault="002D235D">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4</w:t>
      </w:r>
      <w:r>
        <w:rPr>
          <w:rFonts w:ascii="仿宋_GB2312" w:eastAsia="仿宋_GB2312" w:hAnsi="仿宋_GB2312" w:cs="仿宋_GB2312" w:hint="eastAsia"/>
          <w:kern w:val="0"/>
          <w:sz w:val="32"/>
          <w:szCs w:val="32"/>
        </w:rPr>
        <w:t>）使用废渣生产建材，产品原料中废渣含量达到</w:t>
      </w:r>
      <w:r>
        <w:rPr>
          <w:rFonts w:ascii="仿宋_GB2312" w:eastAsia="仿宋_GB2312" w:hAnsi="仿宋_GB2312" w:cs="仿宋_GB2312" w:hint="eastAsia"/>
          <w:kern w:val="0"/>
          <w:sz w:val="32"/>
          <w:szCs w:val="32"/>
        </w:rPr>
        <w:t>70%</w:t>
      </w:r>
      <w:r>
        <w:rPr>
          <w:rFonts w:ascii="仿宋_GB2312" w:eastAsia="仿宋_GB2312" w:hAnsi="仿宋_GB2312" w:cs="仿宋_GB2312" w:hint="eastAsia"/>
          <w:kern w:val="0"/>
          <w:sz w:val="32"/>
          <w:szCs w:val="32"/>
        </w:rPr>
        <w:t>以上的，可享受增值税即征即退</w:t>
      </w:r>
      <w:r>
        <w:rPr>
          <w:rFonts w:ascii="仿宋_GB2312" w:eastAsia="仿宋_GB2312" w:hAnsi="仿宋_GB2312" w:cs="仿宋_GB2312" w:hint="eastAsia"/>
          <w:kern w:val="0"/>
          <w:sz w:val="32"/>
          <w:szCs w:val="32"/>
        </w:rPr>
        <w:t>70%</w:t>
      </w:r>
      <w:r>
        <w:rPr>
          <w:rFonts w:ascii="仿宋_GB2312" w:eastAsia="仿宋_GB2312" w:hAnsi="仿宋_GB2312" w:cs="仿宋_GB2312" w:hint="eastAsia"/>
          <w:kern w:val="0"/>
          <w:sz w:val="32"/>
          <w:szCs w:val="32"/>
        </w:rPr>
        <w:t>政策。（</w:t>
      </w:r>
      <w:r>
        <w:rPr>
          <w:rFonts w:ascii="仿宋_GB2312" w:eastAsia="仿宋_GB2312" w:hAnsi="仿宋_GB2312" w:cs="仿宋_GB2312" w:hint="eastAsia"/>
          <w:sz w:val="32"/>
          <w:szCs w:val="32"/>
        </w:rPr>
        <w:t>省财政厅、省税务局负责</w:t>
      </w:r>
      <w:r>
        <w:rPr>
          <w:rFonts w:ascii="仿宋_GB2312" w:eastAsia="仿宋_GB2312" w:hAnsi="仿宋_GB2312" w:cs="仿宋_GB2312" w:hint="eastAsia"/>
          <w:kern w:val="0"/>
          <w:sz w:val="32"/>
          <w:szCs w:val="32"/>
        </w:rPr>
        <w:t>）</w:t>
      </w:r>
    </w:p>
    <w:p w:rsidR="00DD1E92" w:rsidRDefault="002D235D">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5</w:t>
      </w:r>
      <w:r>
        <w:rPr>
          <w:rFonts w:ascii="仿宋_GB2312" w:eastAsia="仿宋_GB2312" w:hAnsi="仿宋_GB2312" w:cs="仿宋_GB2312" w:hint="eastAsia"/>
          <w:kern w:val="0"/>
          <w:sz w:val="32"/>
          <w:szCs w:val="32"/>
        </w:rPr>
        <w:t>）使用废渣生产</w:t>
      </w:r>
      <w:r>
        <w:rPr>
          <w:rFonts w:ascii="仿宋_GB2312" w:eastAsia="仿宋_GB2312" w:hAnsi="仿宋_GB2312" w:cs="仿宋_GB2312" w:hint="eastAsia"/>
          <w:kern w:val="0"/>
          <w:sz w:val="32"/>
          <w:szCs w:val="32"/>
        </w:rPr>
        <w:t>1.42.5</w:t>
      </w:r>
      <w:r>
        <w:rPr>
          <w:rFonts w:ascii="仿宋_GB2312" w:eastAsia="仿宋_GB2312" w:hAnsi="仿宋_GB2312" w:cs="仿宋_GB2312" w:hint="eastAsia"/>
          <w:kern w:val="0"/>
          <w:sz w:val="32"/>
          <w:szCs w:val="32"/>
        </w:rPr>
        <w:t>及以上等级水泥，原料中废渣含量达到</w:t>
      </w:r>
      <w:r>
        <w:rPr>
          <w:rFonts w:ascii="仿宋_GB2312" w:eastAsia="仿宋_GB2312" w:hAnsi="仿宋_GB2312" w:cs="仿宋_GB2312" w:hint="eastAsia"/>
          <w:kern w:val="0"/>
          <w:sz w:val="32"/>
          <w:szCs w:val="32"/>
        </w:rPr>
        <w:t>20%</w:t>
      </w:r>
      <w:r>
        <w:rPr>
          <w:rFonts w:ascii="仿宋_GB2312" w:eastAsia="仿宋_GB2312" w:hAnsi="仿宋_GB2312" w:cs="仿宋_GB2312" w:hint="eastAsia"/>
          <w:kern w:val="0"/>
          <w:sz w:val="32"/>
          <w:szCs w:val="32"/>
        </w:rPr>
        <w:t>以上，生产其他水泥、水泥熟料，原料中废渣含量达到</w:t>
      </w:r>
      <w:r>
        <w:rPr>
          <w:rFonts w:ascii="仿宋_GB2312" w:eastAsia="仿宋_GB2312" w:hAnsi="仿宋_GB2312" w:cs="仿宋_GB2312" w:hint="eastAsia"/>
          <w:kern w:val="0"/>
          <w:sz w:val="32"/>
          <w:szCs w:val="32"/>
        </w:rPr>
        <w:t>40%</w:t>
      </w:r>
      <w:r>
        <w:rPr>
          <w:rFonts w:ascii="仿宋_GB2312" w:eastAsia="仿宋_GB2312" w:hAnsi="仿宋_GB2312" w:cs="仿宋_GB2312" w:hint="eastAsia"/>
          <w:kern w:val="0"/>
          <w:sz w:val="32"/>
          <w:szCs w:val="32"/>
        </w:rPr>
        <w:t>以上的，可享受增值税即征即退</w:t>
      </w:r>
      <w:r>
        <w:rPr>
          <w:rFonts w:ascii="仿宋_GB2312" w:eastAsia="仿宋_GB2312" w:hAnsi="仿宋_GB2312" w:cs="仿宋_GB2312" w:hint="eastAsia"/>
          <w:kern w:val="0"/>
          <w:sz w:val="32"/>
          <w:szCs w:val="32"/>
        </w:rPr>
        <w:t>70%</w:t>
      </w:r>
      <w:r>
        <w:rPr>
          <w:rFonts w:ascii="仿宋_GB2312" w:eastAsia="仿宋_GB2312" w:hAnsi="仿宋_GB2312" w:cs="仿宋_GB2312" w:hint="eastAsia"/>
          <w:kern w:val="0"/>
          <w:sz w:val="32"/>
          <w:szCs w:val="32"/>
        </w:rPr>
        <w:t>政策。（</w:t>
      </w:r>
      <w:r>
        <w:rPr>
          <w:rFonts w:ascii="仿宋_GB2312" w:eastAsia="仿宋_GB2312" w:hAnsi="仿宋_GB2312" w:cs="仿宋_GB2312" w:hint="eastAsia"/>
          <w:sz w:val="32"/>
          <w:szCs w:val="32"/>
        </w:rPr>
        <w:t>省财政厅、省税务局</w:t>
      </w:r>
      <w:r>
        <w:rPr>
          <w:rFonts w:ascii="仿宋_GB2312" w:eastAsia="仿宋_GB2312" w:hAnsi="仿宋_GB2312" w:cs="仿宋_GB2312" w:hint="eastAsia"/>
          <w:kern w:val="0"/>
          <w:sz w:val="32"/>
          <w:szCs w:val="32"/>
        </w:rPr>
        <w:t>负责）</w:t>
      </w:r>
    </w:p>
    <w:p w:rsidR="00DD1E92" w:rsidRDefault="002D235D">
      <w:pPr>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6</w:t>
      </w:r>
      <w:r>
        <w:rPr>
          <w:rFonts w:ascii="仿宋_GB2312" w:eastAsia="仿宋_GB2312" w:hAnsi="仿宋_GB2312" w:cs="仿宋_GB2312" w:hint="eastAsia"/>
          <w:kern w:val="0"/>
          <w:sz w:val="32"/>
          <w:szCs w:val="32"/>
        </w:rPr>
        <w:t>）符合条件的供热企业向居民供热取得的采暖费收入免征增值税。（</w:t>
      </w:r>
      <w:r>
        <w:rPr>
          <w:rFonts w:ascii="仿宋_GB2312" w:eastAsia="仿宋_GB2312" w:hAnsi="仿宋_GB2312" w:cs="仿宋_GB2312" w:hint="eastAsia"/>
          <w:sz w:val="32"/>
          <w:szCs w:val="32"/>
        </w:rPr>
        <w:t>省财政厅、省税务局</w:t>
      </w:r>
      <w:r>
        <w:rPr>
          <w:rFonts w:ascii="仿宋_GB2312" w:eastAsia="仿宋_GB2312" w:hAnsi="仿宋_GB2312" w:cs="仿宋_GB2312" w:hint="eastAsia"/>
          <w:kern w:val="0"/>
          <w:sz w:val="32"/>
          <w:szCs w:val="32"/>
        </w:rPr>
        <w:t>负责）</w:t>
      </w:r>
    </w:p>
    <w:p w:rsidR="00DD1E92" w:rsidRDefault="002D235D">
      <w:pPr>
        <w:pStyle w:val="a9"/>
        <w:shd w:val="clear" w:color="auto" w:fill="FFFFFF"/>
        <w:adjustRightInd w:val="0"/>
        <w:snapToGrid w:val="0"/>
        <w:spacing w:before="0" w:beforeAutospacing="0" w:after="0" w:afterAutospacing="0" w:line="60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符合条件的绿色矿山企业可享受以下环境保护税优惠政策：</w:t>
      </w:r>
    </w:p>
    <w:p w:rsidR="00DD1E92" w:rsidRDefault="002D235D">
      <w:pPr>
        <w:shd w:val="clear" w:color="auto" w:fill="FFFFFF"/>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）企业综合利用的固体废物，符合国家和地方环境保护标准的，暂予免征环境保护税。（省税务局、省生态环境厅负责）</w:t>
      </w:r>
    </w:p>
    <w:p w:rsidR="00DD1E92" w:rsidRDefault="002D235D">
      <w:pPr>
        <w:shd w:val="clear" w:color="auto" w:fill="FFFFFF"/>
        <w:adjustRightInd w:val="0"/>
        <w:snapToGrid w:val="0"/>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）排放应税大气污染物或者水污染物的浓度值低于国家和地方规定的污染物排放标准减征环境保护税。（省税务局、省生态环境厅负责）</w:t>
      </w:r>
    </w:p>
    <w:p w:rsidR="00DD1E92" w:rsidRDefault="00DD1E92">
      <w:pPr>
        <w:shd w:val="clear" w:color="auto" w:fill="FFFFFF"/>
        <w:adjustRightInd w:val="0"/>
        <w:snapToGrid w:val="0"/>
        <w:spacing w:line="600" w:lineRule="exact"/>
        <w:rPr>
          <w:rFonts w:ascii="仿宋_GB2312" w:eastAsia="仿宋_GB2312" w:hAnsi="仿宋_GB2312" w:cs="仿宋_GB2312"/>
          <w:kern w:val="0"/>
          <w:sz w:val="32"/>
          <w:szCs w:val="32"/>
        </w:rPr>
      </w:pPr>
      <w:bookmarkStart w:id="0" w:name="_GoBack"/>
      <w:bookmarkEnd w:id="0"/>
    </w:p>
    <w:sectPr w:rsidR="00DD1E92">
      <w:headerReference w:type="even" r:id="rId8"/>
      <w:headerReference w:type="default" r:id="rId9"/>
      <w:footerReference w:type="even" r:id="rId10"/>
      <w:footerReference w:type="default" r:id="rId11"/>
      <w:headerReference w:type="first" r:id="rId12"/>
      <w:footerReference w:type="first" r:id="rId13"/>
      <w:pgSz w:w="11906" w:h="16838"/>
      <w:pgMar w:top="1440" w:right="1417" w:bottom="1701" w:left="1417" w:header="851" w:footer="1417" w:gutter="0"/>
      <w:pgNumType w:fmt="numberInDash"/>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F5FFE95B" w15:done="0"/>
  <w15:commentEx w15:paraId="FFF970CC" w15:done="0"/>
  <w15:commentEx w15:paraId="FF9FC73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2D235D">
      <w:r>
        <w:separator/>
      </w:r>
    </w:p>
  </w:endnote>
  <w:endnote w:type="continuationSeparator" w:id="0">
    <w:p w:rsidR="00000000" w:rsidRDefault="002D2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DD1E92">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2D235D">
    <w:pPr>
      <w:pStyle w:val="a8"/>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445135" cy="23050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D1E92" w:rsidRDefault="002D235D">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Pr>
                              <w:rStyle w:val="ab"/>
                              <w:rFonts w:ascii="宋体" w:hAnsi="宋体"/>
                              <w:noProof/>
                              <w:sz w:val="28"/>
                              <w:szCs w:val="28"/>
                            </w:rPr>
                            <w:t>- 1 -</w:t>
                          </w:r>
                          <w:r>
                            <w:rPr>
                              <w:rFonts w:ascii="宋体" w:hAnsi="宋体"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6.15pt;margin-top:0;width:35.05pt;height:18.15pt;z-index:25166233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cQVqwIAAK0FAAAOAAAAZHJzL2Uyb0RvYy54bWysVNtunDAQfa/Uf7D8TrjEbBYUNkqWpaqU&#10;XqSkH+AFs1gFG9nOQlrl3zs2y2aTqFLVlgdrsMdn5swcz+XV2LVoz5TmUmQ4PAswYqKUFRe7DH+7&#10;L7wlRtpQUdFWCpbhR6bx1er9u8uhT1kkG9lWTCEAETod+gw3xvSp7+uyYR3VZ7JnAg5rqTpq4Fft&#10;/ErRAdC71o+CYOEPUlW9kiXTGnbz6RCvHH5ds9J8qWvNDGozDLkZtyq3bu3qry5pulO0b3h5SIP+&#10;RRYd5QKCHqFyaih6UPwNVMdLJbWszVkpO1/WNS+Z4wBswuAVm7uG9sxxgeLo/lgm/f9gy8/7rwrx&#10;CnqHkaAdtOiejQbdyBERW52h1yk43fXgZkbYtp6Wqe5vZfldIyHXDRU7dq2UHBpGK8gutDf9k6sT&#10;jrYg2+GTrCAMfTDSAY216iwgFAMBOnTp8dgZm0oJm4TE4XmMUQlH0XkQB7GLQNP5cq+0+cBkh6yR&#10;YQWNd+B0f6uNTYams4uNJWTB29Y1vxUvNsBx2oHQcNWe2SRcL38mQbJZbpbEI9Fi45Egz73rYk28&#10;RRFexPl5vl7n4ZONG5K04VXFhA0z6yokf9a3g8InRRyVpWXLKwtnU9Jqt123Cu0p6Lpw36EgJ27+&#10;yzRcEYDLK0phRIKbKPGKxfLCIwWJveQiWHpBmNwki4AkJC9eUrrlgv07JTRkOImjeNLSb7kF7nvL&#10;jaYdNzA5Wt5leHl0oqlV4EZUrrWG8nayT0ph038uBbR7brTTq5XoJFYzbsfDwwAwq+WtrB5BwEqC&#10;wEClMPXAaKT6gdEAEyTDAkYcRu1HAU/ADpvZULOxnQ0qSriYYYPRZK7NNJQeesV3DeDOj+wanknB&#10;nYSfczg8LpgJjslhftmhc/rvvJ6n7OoXAAAA//8DAFBLAwQUAAYACAAAACEA0KJef9gAAAADAQAA&#10;DwAAAGRycy9kb3ducmV2LnhtbEyPwWrDMBBE74X+g9hCbo2cBpLgWA4l0EtvSUsht421sUyklZEU&#10;x/77qr20l4Vhhpm31W50VgwUYudZwWJegCBuvO64VfD58fa8ARETskbrmRRMFGFXPz5UWGp/5wMN&#10;x9SKXMKxRAUmpb6UMjaGHMa574mzd/HBYcoytFIHvOdyZ+VLUaykw47zgsGe9oaa6/HmFKzHL099&#10;pD2dLkMTTDdt7Puk1OxpfN2CSDSmvzD84Gd0qDPT2d9YR2EV5EfS783euliAOCtYrpYg60r+Z6+/&#10;AQAA//8DAFBLAQItABQABgAIAAAAIQC2gziS/gAAAOEBAAATAAAAAAAAAAAAAAAAAAAAAABbQ29u&#10;dGVudF9UeXBlc10ueG1sUEsBAi0AFAAGAAgAAAAhADj9If/WAAAAlAEAAAsAAAAAAAAAAAAAAAAA&#10;LwEAAF9yZWxzLy5yZWxzUEsBAi0AFAAGAAgAAAAhADJBxBWrAgAArQUAAA4AAAAAAAAAAAAAAAAA&#10;LgIAAGRycy9lMm9Eb2MueG1sUEsBAi0AFAAGAAgAAAAhANCiXn/YAAAAAwEAAA8AAAAAAAAAAAAA&#10;AAAABQUAAGRycy9kb3ducmV2LnhtbFBLBQYAAAAABAAEAPMAAAAKBgAAAAA=&#10;" filled="f" stroked="f">
              <v:textbox style="mso-fit-shape-to-text:t" inset="0,0,0,0">
                <w:txbxContent>
                  <w:p w:rsidR="00DD1E92" w:rsidRDefault="002D235D">
                    <w:pPr>
                      <w:pStyle w:val="a8"/>
                      <w:rPr>
                        <w:rStyle w:val="ab"/>
                        <w:rFonts w:ascii="宋体" w:hAnsi="宋体"/>
                        <w:sz w:val="28"/>
                        <w:szCs w:val="28"/>
                      </w:rPr>
                    </w:pPr>
                    <w:r>
                      <w:rPr>
                        <w:rFonts w:ascii="宋体" w:hAnsi="宋体" w:hint="eastAsia"/>
                        <w:sz w:val="28"/>
                        <w:szCs w:val="28"/>
                      </w:rPr>
                      <w:fldChar w:fldCharType="begin"/>
                    </w:r>
                    <w:r>
                      <w:rPr>
                        <w:rStyle w:val="ab"/>
                        <w:rFonts w:ascii="宋体" w:hAnsi="宋体" w:hint="eastAsia"/>
                        <w:sz w:val="28"/>
                        <w:szCs w:val="28"/>
                      </w:rPr>
                      <w:instrText xml:space="preserve">PAGE  </w:instrText>
                    </w:r>
                    <w:r>
                      <w:rPr>
                        <w:rFonts w:ascii="宋体" w:hAnsi="宋体" w:hint="eastAsia"/>
                        <w:sz w:val="28"/>
                        <w:szCs w:val="28"/>
                      </w:rPr>
                      <w:fldChar w:fldCharType="separate"/>
                    </w:r>
                    <w:r>
                      <w:rPr>
                        <w:rStyle w:val="ab"/>
                        <w:rFonts w:ascii="宋体" w:hAnsi="宋体"/>
                        <w:noProof/>
                        <w:sz w:val="28"/>
                        <w:szCs w:val="28"/>
                      </w:rPr>
                      <w:t>- 1 -</w:t>
                    </w:r>
                    <w:r>
                      <w:rPr>
                        <w:rFonts w:ascii="宋体" w:hAnsi="宋体"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DD1E9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2D235D">
      <w:r>
        <w:separator/>
      </w:r>
    </w:p>
  </w:footnote>
  <w:footnote w:type="continuationSeparator" w:id="0">
    <w:p w:rsidR="00000000" w:rsidRDefault="002D23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DD1E92">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DD1E92">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E92" w:rsidRDefault="00DD1E92">
    <w:pPr>
      <w:tabs>
        <w:tab w:val="center" w:pos="4153"/>
        <w:tab w:val="right" w:pos="8306"/>
      </w:tabs>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振宏">
    <w15:presenceInfo w15:providerId="None" w15:userId="魏振宏"/>
  </w15:person>
  <w15:person w15:author="王    君">
    <w15:presenceInfo w15:providerId="None" w15:userId="王    君"/>
  </w15:person>
  <w15:person w15:author="欣 苏">
    <w15:presenceInfo w15:providerId="Windows Live" w15:userId="f37b9dc1fd8488f0"/>
  </w15:person>
  <w15:person w15:author="企业用户_578737086">
    <w15:presenceInfo w15:providerId="None" w15:userId="企业用户_5787370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8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0E9"/>
    <w:rsid w:val="ADF698DC"/>
    <w:rsid w:val="AEBF9D7F"/>
    <w:rsid w:val="CD6F983C"/>
    <w:rsid w:val="DDBE57C9"/>
    <w:rsid w:val="EBFC2017"/>
    <w:rsid w:val="F7994947"/>
    <w:rsid w:val="F7EACB3D"/>
    <w:rsid w:val="FA6FBC52"/>
    <w:rsid w:val="FB750C13"/>
    <w:rsid w:val="FEB5F841"/>
    <w:rsid w:val="002D235D"/>
    <w:rsid w:val="00387B1A"/>
    <w:rsid w:val="0039170E"/>
    <w:rsid w:val="003A20E9"/>
    <w:rsid w:val="003A6AEC"/>
    <w:rsid w:val="00482664"/>
    <w:rsid w:val="004C1C86"/>
    <w:rsid w:val="00646F95"/>
    <w:rsid w:val="00670067"/>
    <w:rsid w:val="006D683E"/>
    <w:rsid w:val="007149F4"/>
    <w:rsid w:val="00747E01"/>
    <w:rsid w:val="008B72C2"/>
    <w:rsid w:val="00907F2F"/>
    <w:rsid w:val="00953E71"/>
    <w:rsid w:val="00A637C7"/>
    <w:rsid w:val="00AC77BA"/>
    <w:rsid w:val="00DD1E92"/>
    <w:rsid w:val="00E72A94"/>
    <w:rsid w:val="00ED48EB"/>
    <w:rsid w:val="00F078F1"/>
    <w:rsid w:val="00F17CB5"/>
    <w:rsid w:val="032E524B"/>
    <w:rsid w:val="12D91AD1"/>
    <w:rsid w:val="16134F2E"/>
    <w:rsid w:val="176ABAC1"/>
    <w:rsid w:val="29FB14F9"/>
    <w:rsid w:val="482B20A5"/>
    <w:rsid w:val="528D6451"/>
    <w:rsid w:val="52CF03B2"/>
    <w:rsid w:val="57A42930"/>
    <w:rsid w:val="59621864"/>
    <w:rsid w:val="6B3F35BE"/>
    <w:rsid w:val="6F7D239F"/>
    <w:rsid w:val="77DBDBFC"/>
    <w:rsid w:val="7B76059A"/>
    <w:rsid w:val="7D3F2505"/>
    <w:rsid w:val="7FDD9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2D235D"/>
    <w:rPr>
      <w:sz w:val="18"/>
      <w:szCs w:val="18"/>
    </w:rPr>
  </w:style>
  <w:style w:type="character" w:customStyle="1" w:styleId="Char1">
    <w:name w:val="批注框文本 Char"/>
    <w:basedOn w:val="a0"/>
    <w:link w:val="ae"/>
    <w:rsid w:val="002D235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semiHidden="1" w:uiPriority="99" w:unhideWhenUsed="1" w:qFormat="1"/>
    <w:lsdException w:name="header" w:qFormat="1"/>
    <w:lsdException w:name="footer" w:qFormat="1"/>
    <w:lsdException w:name="caption" w:semiHidden="1" w:unhideWhenUsed="1" w:qFormat="1"/>
    <w:lsdException w:name="annotation reference" w:semiHidden="1" w:uiPriority="99" w:unhideWhenUsed="1" w:qFormat="1"/>
    <w:lsdException w:name="Title" w:qFormat="1"/>
    <w:lsdException w:name="Default Paragraph Font" w:semiHidden="1" w:qFormat="1"/>
    <w:lsdException w:name="Body Text" w:uiPriority="99"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rPr>
      <w:rFonts w:ascii="Calibri" w:hAnsi="Calibri"/>
    </w:rPr>
  </w:style>
  <w:style w:type="paragraph" w:styleId="a4">
    <w:name w:val="Normal Indent"/>
    <w:basedOn w:val="a"/>
    <w:next w:val="a"/>
    <w:uiPriority w:val="99"/>
    <w:qFormat/>
    <w:pPr>
      <w:snapToGrid w:val="0"/>
      <w:ind w:firstLine="556"/>
    </w:pPr>
    <w:rPr>
      <w:rFonts w:ascii="仿宋_GB2312" w:eastAsia="仿宋_GB2312"/>
      <w:kern w:val="0"/>
      <w:szCs w:val="20"/>
      <w:lang w:val="zh-CN"/>
    </w:rPr>
  </w:style>
  <w:style w:type="paragraph" w:styleId="a5">
    <w:name w:val="Document Map"/>
    <w:basedOn w:val="a"/>
    <w:link w:val="Char"/>
    <w:rPr>
      <w:rFonts w:ascii="宋体"/>
      <w:sz w:val="18"/>
      <w:szCs w:val="18"/>
    </w:rPr>
  </w:style>
  <w:style w:type="paragraph" w:styleId="a6">
    <w:name w:val="annotation text"/>
    <w:basedOn w:val="a"/>
    <w:uiPriority w:val="99"/>
    <w:semiHidden/>
    <w:unhideWhenUsed/>
    <w:qFormat/>
    <w:pPr>
      <w:jc w:val="left"/>
    </w:pPr>
    <w:rPr>
      <w:rFonts w:ascii="Calibri" w:hAnsi="Calibri"/>
    </w:rPr>
  </w:style>
  <w:style w:type="paragraph" w:styleId="a7">
    <w:name w:val="Body Text"/>
    <w:basedOn w:val="a"/>
    <w:uiPriority w:val="99"/>
    <w:qFormat/>
    <w:pPr>
      <w:spacing w:after="120"/>
    </w:pPr>
    <w:rPr>
      <w:rFonts w:ascii="Calibri" w:hAnsi="Calibri"/>
    </w:rPr>
  </w:style>
  <w:style w:type="paragraph" w:styleId="a8">
    <w:name w:val="footer"/>
    <w:basedOn w:val="a"/>
    <w:link w:val="Char0"/>
    <w:qFormat/>
    <w:pPr>
      <w:tabs>
        <w:tab w:val="center" w:pos="4153"/>
        <w:tab w:val="right" w:pos="8306"/>
      </w:tabs>
      <w:snapToGrid w:val="0"/>
      <w:jc w:val="left"/>
    </w:pPr>
    <w:rPr>
      <w:sz w:val="18"/>
      <w:szCs w:val="18"/>
    </w:rPr>
  </w:style>
  <w:style w:type="paragraph" w:styleId="a9">
    <w:name w:val="Normal (Web)"/>
    <w:basedOn w:val="a"/>
    <w:uiPriority w:val="99"/>
    <w:unhideWhenUsed/>
    <w:qFormat/>
    <w:pPr>
      <w:spacing w:before="100" w:beforeAutospacing="1" w:after="100" w:afterAutospacing="1"/>
      <w:jc w:val="left"/>
    </w:pPr>
    <w:rPr>
      <w:kern w:val="0"/>
      <w:sz w:val="24"/>
    </w:rPr>
  </w:style>
  <w:style w:type="table" w:styleId="aa">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style>
  <w:style w:type="character" w:styleId="ac">
    <w:name w:val="annotation reference"/>
    <w:basedOn w:val="a0"/>
    <w:uiPriority w:val="99"/>
    <w:semiHidden/>
    <w:unhideWhenUsed/>
    <w:qFormat/>
    <w:rPr>
      <w:rFonts w:ascii="Calibri" w:eastAsia="宋体" w:hAnsi="Calibri" w:cs="Times New Roman"/>
      <w:sz w:val="21"/>
      <w:szCs w:val="21"/>
    </w:rPr>
  </w:style>
  <w:style w:type="character" w:customStyle="1" w:styleId="Char">
    <w:name w:val="文档结构图 Char"/>
    <w:link w:val="a5"/>
    <w:rPr>
      <w:rFonts w:ascii="宋体"/>
      <w:kern w:val="2"/>
      <w:sz w:val="18"/>
      <w:szCs w:val="18"/>
    </w:rPr>
  </w:style>
  <w:style w:type="character" w:customStyle="1" w:styleId="Char0">
    <w:name w:val="页脚 Char"/>
    <w:link w:val="a8"/>
    <w:rPr>
      <w:kern w:val="2"/>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Balloon Text"/>
    <w:basedOn w:val="a"/>
    <w:link w:val="Char1"/>
    <w:rsid w:val="002D235D"/>
    <w:rPr>
      <w:sz w:val="18"/>
      <w:szCs w:val="18"/>
    </w:rPr>
  </w:style>
  <w:style w:type="character" w:customStyle="1" w:styleId="Char1">
    <w:name w:val="批注框文本 Char"/>
    <w:basedOn w:val="a0"/>
    <w:link w:val="ae"/>
    <w:rsid w:val="002D235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84"/>
    <customShpInfo spid="_x0000_s2083"/>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Info spid="_x0000_s2051" textRotate="1"/>
    <customShpInfo spid="_x0000_s2052" textRotate="1"/>
    <customShpInfo spid="_x0000_s1029"/>
    <customShpInfo spid="_x0000_s1031"/>
    <customShpInfo spid="_x0000_s1034"/>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215</Words>
  <Characters>1227</Characters>
  <Application>Microsoft Office Word</Application>
  <DocSecurity>0</DocSecurity>
  <Lines>10</Lines>
  <Paragraphs>2</Paragraphs>
  <ScaleCrop>false</ScaleCrop>
  <Company>CYQ</Company>
  <LinksUpToDate>false</LinksUpToDate>
  <CharactersWithSpaces>1440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甘肃省自然资源厅</dc:title>
  <dc:creator>Administrator</dc:creator>
  <cp:lastModifiedBy>lenovo</cp:lastModifiedBy>
  <cp:revision>2</cp:revision>
  <dcterms:created xsi:type="dcterms:W3CDTF">2024-10-14T07:06:00Z</dcterms:created>
  <dcterms:modified xsi:type="dcterms:W3CDTF">2024-10-14T07:06:00Z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