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79A87B">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9"/>
        <w:rPr>
          <w:rFonts w:hint="eastAsia" w:ascii="方正小标宋简体" w:eastAsia="方正小标宋简体"/>
          <w:kern w:val="10"/>
          <w:sz w:val="44"/>
          <w:szCs w:val="44"/>
        </w:rPr>
      </w:pPr>
    </w:p>
    <w:p w14:paraId="1C3CC489">
      <w:pPr>
        <w:keepNext w:val="0"/>
        <w:keepLines w:val="0"/>
        <w:pageBreakBefore w:val="0"/>
        <w:widowControl w:val="0"/>
        <w:kinsoku/>
        <w:wordWrap/>
        <w:overflowPunct/>
        <w:topLinePunct w:val="0"/>
        <w:autoSpaceDE/>
        <w:autoSpaceDN/>
        <w:bidi w:val="0"/>
        <w:adjustRightInd w:val="0"/>
        <w:snapToGrid w:val="0"/>
        <w:spacing w:line="560" w:lineRule="exact"/>
        <w:ind w:firstLine="880" w:firstLineChars="200"/>
        <w:jc w:val="center"/>
        <w:textAlignment w:val="auto"/>
        <w:outlineLvl w:val="9"/>
        <w:rPr>
          <w:rFonts w:hint="eastAsia" w:ascii="方正小标宋简体" w:eastAsia="方正小标宋简体"/>
          <w:kern w:val="10"/>
          <w:sz w:val="44"/>
          <w:szCs w:val="44"/>
          <w:lang w:val="en-US" w:eastAsia="zh-CN"/>
        </w:rPr>
      </w:pPr>
      <w:r>
        <w:rPr>
          <w:rFonts w:hint="eastAsia" w:ascii="方正小标宋简体" w:eastAsia="方正小标宋简体"/>
          <w:kern w:val="10"/>
          <w:sz w:val="44"/>
          <w:szCs w:val="44"/>
          <w:lang w:val="en-US" w:eastAsia="zh-CN"/>
        </w:rPr>
        <w:t>兰州新区</w:t>
      </w:r>
      <w:r>
        <w:rPr>
          <w:rFonts w:hint="eastAsia" w:ascii="方正小标宋简体" w:eastAsia="方正小标宋简体"/>
          <w:kern w:val="10"/>
          <w:sz w:val="44"/>
          <w:szCs w:val="44"/>
        </w:rPr>
        <w:t>西岔园区</w:t>
      </w:r>
      <w:r>
        <w:rPr>
          <w:rFonts w:hint="eastAsia" w:ascii="方正小标宋简体" w:eastAsia="方正小标宋简体"/>
          <w:kern w:val="10"/>
          <w:sz w:val="44"/>
          <w:szCs w:val="44"/>
          <w:lang w:val="en-US" w:eastAsia="zh-CN"/>
        </w:rPr>
        <w:t>管理委员会</w:t>
      </w:r>
    </w:p>
    <w:p w14:paraId="1401706B">
      <w:pPr>
        <w:keepNext w:val="0"/>
        <w:keepLines w:val="0"/>
        <w:pageBreakBefore w:val="0"/>
        <w:widowControl w:val="0"/>
        <w:kinsoku/>
        <w:wordWrap/>
        <w:overflowPunct/>
        <w:topLinePunct w:val="0"/>
        <w:autoSpaceDE/>
        <w:autoSpaceDN/>
        <w:bidi w:val="0"/>
        <w:adjustRightInd w:val="0"/>
        <w:snapToGrid w:val="0"/>
        <w:spacing w:line="560" w:lineRule="exact"/>
        <w:ind w:firstLine="880" w:firstLineChars="20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1</w:t>
      </w:r>
      <w:r>
        <w:rPr>
          <w:rFonts w:hint="eastAsia" w:ascii="方正小标宋简体" w:hAnsi="方正小标宋简体" w:eastAsia="方正小标宋简体" w:cs="方正小标宋简体"/>
          <w:sz w:val="44"/>
          <w:szCs w:val="44"/>
        </w:rPr>
        <w:t>年度预算执行情况自评报</w:t>
      </w:r>
      <w:r>
        <w:rPr>
          <w:rFonts w:hint="eastAsia" w:ascii="方正小标宋简体" w:hAnsi="方正小标宋简体" w:eastAsia="方正小标宋简体" w:cs="方正小标宋简体"/>
          <w:sz w:val="44"/>
          <w:szCs w:val="44"/>
          <w:lang w:val="en-US" w:eastAsia="zh-CN"/>
        </w:rPr>
        <w:t>告</w:t>
      </w:r>
    </w:p>
    <w:p w14:paraId="1095C56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一、基本情况</w:t>
      </w:r>
    </w:p>
    <w:p w14:paraId="28D5DA80">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9"/>
        <w:rPr>
          <w:rFonts w:hint="eastAsia" w:ascii="楷体_GB2312" w:hAnsi="楷体_GB2312" w:eastAsia="楷体_GB2312" w:cs="楷体_GB2312"/>
          <w:b w:val="0"/>
          <w:bCs w:val="0"/>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val="0"/>
          <w:bCs w:val="0"/>
          <w:sz w:val="32"/>
          <w:szCs w:val="32"/>
        </w:rPr>
        <w:t xml:space="preserve"> </w:t>
      </w:r>
      <w:r>
        <w:rPr>
          <w:rFonts w:hint="eastAsia" w:ascii="楷体_GB2312" w:hAnsi="楷体_GB2312" w:eastAsia="楷体_GB2312" w:cs="楷体_GB2312"/>
          <w:b w:val="0"/>
          <w:bCs w:val="0"/>
          <w:sz w:val="32"/>
          <w:szCs w:val="32"/>
        </w:rPr>
        <w:t>（一）部门主要职能。</w:t>
      </w:r>
    </w:p>
    <w:p w14:paraId="7905907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sz w:val="32"/>
          <w:szCs w:val="32"/>
        </w:rPr>
        <w:t>兰州新区西岔园区管理委员会，正县级建制，隶属于兰州新区管委会管理。</w:t>
      </w:r>
      <w:r>
        <w:rPr>
          <w:rFonts w:hint="eastAsia" w:ascii="仿宋_GB2312" w:hAnsi="仿宋_GB2312" w:eastAsia="仿宋_GB2312" w:cs="仿宋_GB2312"/>
          <w:color w:val="000000"/>
          <w:kern w:val="0"/>
          <w:sz w:val="32"/>
          <w:szCs w:val="32"/>
          <w:lang w:val="en-US" w:eastAsia="zh-CN"/>
        </w:rPr>
        <w:t>主要职能为：</w:t>
      </w:r>
    </w:p>
    <w:p w14:paraId="629D7E0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1.贯彻执行省、市党委、政府及新区党工委、管委会的各项方针政策，认真落实好上级关于新区开发建设的各项决策部署。</w:t>
      </w:r>
    </w:p>
    <w:p w14:paraId="7255325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负责园区党的建设，做好党风廉政建设工作；按照干部管理权限，负责园区管干部队伍的建设管理，做好干部的选拔任用、考核评价、教育培训等工作；负责辖区内精神文明、工会、妇联、共青团等群团组织管理工作。</w:t>
      </w:r>
    </w:p>
    <w:p w14:paraId="1A5061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3.配合制定园区总体发展规划和各专项规划，按照新区管委会授权情况，负责区域内有关项目的审核和报批工作，协调解决园区发展中出现的问题。</w:t>
      </w:r>
    </w:p>
    <w:p w14:paraId="2729C82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4.研究制定园区社会经济发展的总体目标和年度计划，并负责组织实施。</w:t>
      </w:r>
    </w:p>
    <w:p w14:paraId="1373C87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5.负责园区的经济运行协调和企业生产要素的保障，组织开展园区统计调查和数据分析；负责园区发展改革和政策研究；负责园区科技创新和“双创”工作；负责园区工业和信息化融合工作。</w:t>
      </w:r>
    </w:p>
    <w:p w14:paraId="3992FD8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6.根据国家有关法律、法规和新区管委会的授权情况，保证区域范围内的土地资源在管委会统一规划下合理开发利用，负责园区基础设施和公用设施的建设与管理，做好园区内的建管、城管、房管和环境保护及园林绿化工作。 </w:t>
      </w:r>
    </w:p>
    <w:p w14:paraId="4308C420">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7.负责园区内项目和产业布局，研究确定和服务管理园区内建设项目，做好项目的基础设施配套、手续代办等协调服务工作。</w:t>
      </w:r>
    </w:p>
    <w:p w14:paraId="480A766C">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8.负责园区招商引资、对外经济技术合作及交流工作。</w:t>
      </w:r>
    </w:p>
    <w:p w14:paraId="4EF69BD4">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9.负责园区财政预、决算的编制和投融资工作，做好国有资产管理工作和园区的非税收入管理工作，组织筹措各类建设资金。 </w:t>
      </w:r>
    </w:p>
    <w:p w14:paraId="1E2ECA9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10.负责园区农业、林业、水务工作。</w:t>
      </w:r>
    </w:p>
    <w:p w14:paraId="646660C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11.负责园区教育、文化、体育、广电、卫生、人口和计生、民政、社区管理、残联等社会事业；负责园区信访、社会治安综合治理、维护社会稳定、反邪教、国家安全、人民防线、司法等工作；负责推进园区依法行政工作，加强法制建设；负责与公安、检察院、法院、司法等部门的联系与协调工作。 </w:t>
      </w:r>
    </w:p>
    <w:p w14:paraId="2B8FA2A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12.负责园区职业教育实训基地等服务平台建设工作，做好科技创新、科技服务的建设和管理等工作。</w:t>
      </w:r>
    </w:p>
    <w:p w14:paraId="0AD77DB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13.负责园区食品药品安全监管工作。</w:t>
      </w:r>
    </w:p>
    <w:p w14:paraId="7131EF0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14.负责园区安全生产监督管理工作。</w:t>
      </w:r>
    </w:p>
    <w:p w14:paraId="7908BE20">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15.负责园区内综合行政执法、劳动和社会保障工作。</w:t>
      </w:r>
    </w:p>
    <w:p w14:paraId="31AB1C80">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outlineLvl w:val="9"/>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16.负责园区市场监督管理工作。</w:t>
      </w:r>
    </w:p>
    <w:p w14:paraId="74457E9E">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17.承办上级交办的其他事项。</w:t>
      </w:r>
    </w:p>
    <w:p w14:paraId="3B68471A">
      <w:pPr>
        <w:keepNext w:val="0"/>
        <w:keepLines w:val="0"/>
        <w:pageBreakBefore w:val="0"/>
        <w:widowControl w:val="0"/>
        <w:numPr>
          <w:ilvl w:val="0"/>
          <w:numId w:val="1"/>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rPr>
        <w:t>内设机构及所属单位概况。</w:t>
      </w:r>
    </w:p>
    <w:p w14:paraId="3067345C">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rPr>
          <w:rFonts w:hint="eastAsia"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lang w:val="en-US" w:eastAsia="zh-CN"/>
        </w:rPr>
        <w:t>兰州新区西岔园区管理委员会内设14个机构，下辖</w:t>
      </w:r>
      <w:r>
        <w:rPr>
          <w:rFonts w:hint="eastAsia" w:ascii="仿宋_GB2312" w:hAnsi="仿宋_GB2312" w:eastAsia="仿宋_GB2312" w:cs="仿宋_GB2312"/>
          <w:color w:val="000000"/>
          <w:kern w:val="0"/>
          <w:sz w:val="32"/>
          <w:szCs w:val="32"/>
        </w:rPr>
        <w:t>兰州新区文曲中心社区</w:t>
      </w:r>
      <w:r>
        <w:rPr>
          <w:rFonts w:hint="eastAsia" w:ascii="仿宋_GB2312" w:hAnsi="仿宋_GB2312" w:eastAsia="仿宋_GB2312" w:cs="仿宋_GB2312"/>
          <w:color w:val="000000"/>
          <w:kern w:val="0"/>
          <w:sz w:val="32"/>
          <w:szCs w:val="32"/>
          <w:lang w:val="en-US" w:eastAsia="zh-CN"/>
        </w:rPr>
        <w:t>，均为正科级建制。内设机构包括综合办公室、</w:t>
      </w:r>
      <w:r>
        <w:rPr>
          <w:rFonts w:hint="eastAsia" w:ascii="仿宋_GB2312" w:hAnsi="仿宋_GB2312" w:eastAsia="仿宋_GB2312" w:cs="仿宋_GB2312"/>
          <w:color w:val="000000"/>
          <w:kern w:val="0"/>
          <w:sz w:val="32"/>
          <w:szCs w:val="32"/>
        </w:rPr>
        <w:t>纪委筹备组、</w:t>
      </w:r>
      <w:r>
        <w:rPr>
          <w:rFonts w:hint="eastAsia" w:ascii="仿宋_GB2312" w:hAnsi="仿宋_GB2312" w:eastAsia="仿宋_GB2312" w:cs="仿宋_GB2312"/>
          <w:color w:val="000000"/>
          <w:kern w:val="0"/>
          <w:sz w:val="32"/>
          <w:szCs w:val="32"/>
          <w:lang w:val="en-US" w:eastAsia="zh-CN"/>
        </w:rPr>
        <w:t>组织人事局、党群工作部、经济发展局、城市（乡）建设</w:t>
      </w:r>
      <w:r>
        <w:rPr>
          <w:rFonts w:hint="eastAsia" w:ascii="仿宋_GB2312" w:hAnsi="仿宋_GB2312" w:eastAsia="仿宋_GB2312" w:cs="仿宋_GB2312"/>
          <w:color w:val="000000"/>
          <w:kern w:val="0"/>
          <w:sz w:val="32"/>
          <w:szCs w:val="32"/>
        </w:rPr>
        <w:t>管理局、</w:t>
      </w:r>
      <w:r>
        <w:rPr>
          <w:rFonts w:hint="eastAsia" w:ascii="仿宋_GB2312" w:hAnsi="仿宋_GB2312" w:eastAsia="仿宋_GB2312" w:cs="仿宋_GB2312"/>
          <w:color w:val="000000"/>
          <w:kern w:val="0"/>
          <w:sz w:val="32"/>
          <w:szCs w:val="32"/>
          <w:lang w:val="en-US" w:eastAsia="zh-CN"/>
        </w:rPr>
        <w:t>财政金融局、自然资源和生态环境局</w:t>
      </w:r>
      <w:r>
        <w:rPr>
          <w:rFonts w:hint="eastAsia" w:ascii="仿宋_GB2312" w:hAnsi="仿宋_GB2312" w:eastAsia="仿宋_GB2312" w:cs="仿宋_GB2312"/>
          <w:color w:val="000000"/>
          <w:kern w:val="0"/>
          <w:sz w:val="32"/>
          <w:szCs w:val="32"/>
        </w:rPr>
        <w:t>、</w:t>
      </w:r>
      <w:r>
        <w:rPr>
          <w:rFonts w:hint="eastAsia" w:ascii="仿宋_GB2312" w:hAnsi="仿宋_GB2312" w:eastAsia="仿宋_GB2312" w:cs="仿宋_GB2312"/>
          <w:color w:val="000000"/>
          <w:kern w:val="0"/>
          <w:sz w:val="32"/>
          <w:szCs w:val="32"/>
          <w:lang w:val="en-US" w:eastAsia="zh-CN"/>
        </w:rPr>
        <w:t>教育科技文化体育局</w:t>
      </w:r>
      <w:r>
        <w:rPr>
          <w:rFonts w:hint="eastAsia" w:ascii="仿宋_GB2312" w:hAnsi="仿宋_GB2312" w:eastAsia="仿宋_GB2312" w:cs="仿宋_GB2312"/>
          <w:color w:val="000000"/>
          <w:kern w:val="0"/>
          <w:sz w:val="32"/>
          <w:szCs w:val="32"/>
        </w:rPr>
        <w:t>、农林水务局、</w:t>
      </w:r>
      <w:r>
        <w:rPr>
          <w:rFonts w:hint="eastAsia" w:ascii="仿宋_GB2312" w:hAnsi="仿宋_GB2312" w:eastAsia="仿宋_GB2312" w:cs="仿宋_GB2312"/>
          <w:color w:val="000000"/>
          <w:kern w:val="0"/>
          <w:sz w:val="32"/>
          <w:szCs w:val="32"/>
          <w:lang w:val="en-US" w:eastAsia="zh-CN"/>
        </w:rPr>
        <w:t>民政和</w:t>
      </w:r>
      <w:r>
        <w:rPr>
          <w:rFonts w:hint="eastAsia" w:ascii="仿宋_GB2312" w:hAnsi="仿宋_GB2312" w:eastAsia="仿宋_GB2312" w:cs="仿宋_GB2312"/>
          <w:color w:val="000000"/>
          <w:kern w:val="0"/>
          <w:sz w:val="32"/>
          <w:szCs w:val="32"/>
        </w:rPr>
        <w:t>社会保障局、</w:t>
      </w:r>
      <w:r>
        <w:rPr>
          <w:rFonts w:hint="eastAsia" w:ascii="仿宋_GB2312" w:hAnsi="仿宋_GB2312" w:eastAsia="仿宋_GB2312" w:cs="仿宋_GB2312"/>
          <w:color w:val="000000"/>
          <w:kern w:val="0"/>
          <w:sz w:val="32"/>
          <w:szCs w:val="32"/>
          <w:lang w:val="en-US" w:eastAsia="zh-CN"/>
        </w:rPr>
        <w:t>经济合作局、</w:t>
      </w:r>
      <w:r>
        <w:rPr>
          <w:rFonts w:hint="eastAsia" w:ascii="仿宋_GB2312" w:hAnsi="仿宋_GB2312" w:eastAsia="仿宋_GB2312" w:cs="仿宋_GB2312"/>
          <w:color w:val="000000"/>
          <w:kern w:val="0"/>
          <w:sz w:val="32"/>
          <w:szCs w:val="32"/>
        </w:rPr>
        <w:t>市场监督管理局</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应急管理局</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color w:val="000000"/>
          <w:kern w:val="0"/>
          <w:sz w:val="32"/>
          <w:szCs w:val="32"/>
        </w:rPr>
        <w:t>20</w:t>
      </w:r>
      <w:r>
        <w:rPr>
          <w:rFonts w:hint="eastAsia" w:ascii="仿宋_GB2312" w:hAnsi="仿宋_GB2312" w:eastAsia="仿宋_GB2312" w:cs="仿宋_GB2312"/>
          <w:color w:val="000000"/>
          <w:kern w:val="0"/>
          <w:sz w:val="32"/>
          <w:szCs w:val="32"/>
          <w:lang w:val="en-US" w:eastAsia="zh-CN"/>
        </w:rPr>
        <w:t>21</w:t>
      </w:r>
      <w:r>
        <w:rPr>
          <w:rFonts w:hint="eastAsia" w:ascii="仿宋_GB2312" w:hAnsi="仿宋_GB2312" w:eastAsia="仿宋_GB2312" w:cs="仿宋_GB2312"/>
          <w:color w:val="000000"/>
          <w:kern w:val="0"/>
          <w:sz w:val="32"/>
          <w:szCs w:val="32"/>
        </w:rPr>
        <w:t>年末，西岔园区在册干部24</w:t>
      </w:r>
      <w:r>
        <w:rPr>
          <w:rFonts w:hint="eastAsia" w:ascii="仿宋_GB2312" w:hAnsi="仿宋_GB2312" w:eastAsia="仿宋_GB2312" w:cs="仿宋_GB2312"/>
          <w:color w:val="000000"/>
          <w:kern w:val="0"/>
          <w:sz w:val="32"/>
          <w:szCs w:val="32"/>
          <w:lang w:val="en-US" w:eastAsia="zh-CN"/>
        </w:rPr>
        <w:t>7</w:t>
      </w:r>
      <w:r>
        <w:rPr>
          <w:rFonts w:hint="eastAsia" w:ascii="仿宋_GB2312" w:hAnsi="仿宋_GB2312" w:eastAsia="仿宋_GB2312" w:cs="仿宋_GB2312"/>
          <w:color w:val="000000"/>
          <w:kern w:val="0"/>
          <w:sz w:val="32"/>
          <w:szCs w:val="32"/>
        </w:rPr>
        <w:t>人，其中在编干部</w:t>
      </w:r>
      <w:r>
        <w:rPr>
          <w:rFonts w:hint="eastAsia" w:ascii="仿宋_GB2312" w:hAnsi="仿宋_GB2312" w:eastAsia="仿宋_GB2312" w:cs="仿宋_GB2312"/>
          <w:color w:val="000000"/>
          <w:kern w:val="0"/>
          <w:sz w:val="32"/>
          <w:szCs w:val="32"/>
          <w:lang w:val="en-US" w:eastAsia="zh-CN"/>
        </w:rPr>
        <w:t>187</w:t>
      </w:r>
      <w:r>
        <w:rPr>
          <w:rFonts w:hint="eastAsia" w:ascii="仿宋_GB2312" w:hAnsi="仿宋_GB2312" w:eastAsia="仿宋_GB2312" w:cs="仿宋_GB2312"/>
          <w:color w:val="000000"/>
          <w:kern w:val="0"/>
          <w:sz w:val="32"/>
          <w:szCs w:val="32"/>
        </w:rPr>
        <w:t>人，聘用干部</w:t>
      </w:r>
      <w:r>
        <w:rPr>
          <w:rFonts w:hint="eastAsia" w:ascii="仿宋_GB2312" w:hAnsi="仿宋_GB2312" w:eastAsia="仿宋_GB2312" w:cs="仿宋_GB2312"/>
          <w:color w:val="000000"/>
          <w:kern w:val="0"/>
          <w:sz w:val="32"/>
          <w:szCs w:val="32"/>
          <w:lang w:val="en-US" w:eastAsia="zh-CN"/>
        </w:rPr>
        <w:t>60</w:t>
      </w:r>
      <w:r>
        <w:rPr>
          <w:rFonts w:hint="eastAsia" w:ascii="仿宋_GB2312" w:hAnsi="仿宋_GB2312" w:eastAsia="仿宋_GB2312" w:cs="仿宋_GB2312"/>
          <w:color w:val="000000"/>
          <w:kern w:val="0"/>
          <w:sz w:val="32"/>
          <w:szCs w:val="32"/>
        </w:rPr>
        <w:t>人。</w:t>
      </w:r>
    </w:p>
    <w:p w14:paraId="77E5514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二、绩效自评工作组织开展情况</w:t>
      </w:r>
      <w:r>
        <w:rPr>
          <w:rFonts w:hint="eastAsia" w:ascii="黑体" w:hAnsi="黑体" w:eastAsia="黑体" w:cs="黑体"/>
          <w:sz w:val="32"/>
          <w:szCs w:val="32"/>
        </w:rPr>
        <w:tab/>
      </w:r>
    </w:p>
    <w:p w14:paraId="4CC33BE6">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kern w:val="0"/>
          <w:sz w:val="32"/>
          <w:szCs w:val="32"/>
          <w:lang w:val="en-US" w:eastAsia="zh-CN"/>
        </w:rPr>
      </w:pPr>
      <w:r>
        <w:rPr>
          <w:rFonts w:hint="eastAsia" w:ascii="仿宋_GB2312" w:hAnsi="仿宋_GB2312" w:eastAsia="仿宋_GB2312" w:cs="仿宋_GB2312"/>
          <w:color w:val="000000"/>
          <w:kern w:val="0"/>
          <w:sz w:val="32"/>
          <w:szCs w:val="32"/>
          <w:lang w:val="en-US" w:eastAsia="zh-CN"/>
        </w:rPr>
        <w:t>根据《兰州新区财政局（国有资产监督管理局）关于开展2021年度预算执行情况绩效单位自评工作的通知》（兰新财发〔2022〕40号）文件要求，积极组织园区相关部门实施自评工作，具体开展情况如下：</w:t>
      </w:r>
    </w:p>
    <w:p w14:paraId="50199BA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kern w:val="0"/>
          <w:sz w:val="32"/>
          <w:szCs w:val="32"/>
          <w:lang w:val="en-US" w:eastAsia="zh-CN"/>
        </w:rPr>
      </w:pPr>
      <w:r>
        <w:rPr>
          <w:rFonts w:hint="default" w:ascii="仿宋_GB2312" w:hAnsi="仿宋_GB2312" w:eastAsia="仿宋_GB2312" w:cs="仿宋_GB2312"/>
          <w:color w:val="000000"/>
          <w:kern w:val="0"/>
          <w:sz w:val="32"/>
          <w:szCs w:val="32"/>
          <w:lang w:val="en-US" w:eastAsia="zh-CN"/>
        </w:rPr>
        <w:t>一是明确评价内容和此次绩效评价的范围。二是研究评价指标体系。三是召开座谈会，对方案进行反复讨论并广泛征求有关部门和有关人员意见。</w:t>
      </w:r>
      <w:r>
        <w:rPr>
          <w:rFonts w:hint="eastAsia" w:ascii="仿宋_GB2312" w:hAnsi="仿宋_GB2312" w:eastAsia="仿宋_GB2312" w:cs="仿宋_GB2312"/>
          <w:color w:val="000000"/>
          <w:kern w:val="0"/>
          <w:sz w:val="32"/>
          <w:szCs w:val="32"/>
          <w:lang w:val="en-US" w:eastAsia="zh-CN"/>
        </w:rPr>
        <w:t>四是要求有关部门</w:t>
      </w:r>
      <w:r>
        <w:rPr>
          <w:rFonts w:hint="default" w:ascii="仿宋_GB2312" w:hAnsi="仿宋_GB2312" w:eastAsia="仿宋_GB2312" w:cs="仿宋_GB2312"/>
          <w:color w:val="000000"/>
          <w:kern w:val="0"/>
          <w:sz w:val="32"/>
          <w:szCs w:val="32"/>
          <w:lang w:val="en-US" w:eastAsia="zh-CN"/>
        </w:rPr>
        <w:t>预算按照要求整理相关数据和资料，对部门绩效情况进行自我评价，填报《202</w:t>
      </w:r>
      <w:r>
        <w:rPr>
          <w:rFonts w:hint="eastAsia" w:ascii="仿宋_GB2312" w:hAnsi="仿宋_GB2312" w:eastAsia="仿宋_GB2312" w:cs="仿宋_GB2312"/>
          <w:color w:val="000000"/>
          <w:kern w:val="0"/>
          <w:sz w:val="32"/>
          <w:szCs w:val="32"/>
          <w:lang w:val="en-US" w:eastAsia="zh-CN"/>
        </w:rPr>
        <w:t>1</w:t>
      </w:r>
      <w:r>
        <w:rPr>
          <w:rFonts w:hint="default" w:ascii="仿宋_GB2312" w:hAnsi="仿宋_GB2312" w:eastAsia="仿宋_GB2312" w:cs="仿宋_GB2312"/>
          <w:color w:val="000000"/>
          <w:kern w:val="0"/>
          <w:sz w:val="32"/>
          <w:szCs w:val="32"/>
          <w:lang w:val="en-US" w:eastAsia="zh-CN"/>
        </w:rPr>
        <w:t>年部门预算项目支出绩效自评表》，并撰写《202</w:t>
      </w:r>
      <w:r>
        <w:rPr>
          <w:rFonts w:hint="eastAsia" w:ascii="仿宋_GB2312" w:hAnsi="仿宋_GB2312" w:eastAsia="仿宋_GB2312" w:cs="仿宋_GB2312"/>
          <w:color w:val="000000"/>
          <w:kern w:val="0"/>
          <w:sz w:val="32"/>
          <w:szCs w:val="32"/>
          <w:lang w:val="en-US" w:eastAsia="zh-CN"/>
        </w:rPr>
        <w:t>1</w:t>
      </w:r>
      <w:r>
        <w:rPr>
          <w:rFonts w:hint="default" w:ascii="仿宋_GB2312" w:hAnsi="仿宋_GB2312" w:eastAsia="仿宋_GB2312" w:cs="仿宋_GB2312"/>
          <w:color w:val="000000"/>
          <w:kern w:val="0"/>
          <w:sz w:val="32"/>
          <w:szCs w:val="32"/>
          <w:lang w:val="en-US" w:eastAsia="zh-CN"/>
        </w:rPr>
        <w:t>年度部门预算执行情况自评报告》。</w:t>
      </w:r>
    </w:p>
    <w:p w14:paraId="768D355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黑体" w:hAnsi="黑体" w:eastAsia="黑体" w:cs="黑体"/>
          <w:sz w:val="32"/>
          <w:szCs w:val="32"/>
        </w:rPr>
      </w:pPr>
      <w:r>
        <w:rPr>
          <w:rFonts w:hint="eastAsia" w:ascii="黑体" w:hAnsi="黑体" w:eastAsia="黑体" w:cs="黑体"/>
          <w:sz w:val="32"/>
          <w:szCs w:val="32"/>
        </w:rPr>
        <w:t>三、部门整体支出绩效自评情况分析</w:t>
      </w:r>
      <w:r>
        <w:rPr>
          <w:rFonts w:hint="eastAsia" w:ascii="黑体" w:hAnsi="黑体" w:eastAsia="黑体" w:cs="黑体"/>
          <w:sz w:val="32"/>
          <w:szCs w:val="32"/>
        </w:rPr>
        <w:tab/>
      </w:r>
    </w:p>
    <w:p w14:paraId="62701221">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9"/>
        <w:rPr>
          <w:rFonts w:hint="eastAsia"/>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val="0"/>
          <w:bCs w:val="0"/>
          <w:sz w:val="32"/>
          <w:szCs w:val="32"/>
        </w:rPr>
        <w:t xml:space="preserve">  </w:t>
      </w:r>
      <w:r>
        <w:rPr>
          <w:rFonts w:hint="eastAsia" w:ascii="楷体_GB2312" w:hAnsi="楷体_GB2312" w:eastAsia="楷体_GB2312" w:cs="楷体_GB2312"/>
          <w:b w:val="0"/>
          <w:bCs w:val="0"/>
          <w:sz w:val="32"/>
          <w:szCs w:val="32"/>
        </w:rPr>
        <w:t>（一）部门决算情况。</w:t>
      </w:r>
    </w:p>
    <w:p w14:paraId="7411DD2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default" w:ascii="仿宋_GB2312" w:hAnsi="仿宋_GB2312" w:eastAsia="仿宋_GB2312" w:cs="仿宋_GB2312"/>
          <w:color w:val="000000"/>
          <w:kern w:val="0"/>
          <w:sz w:val="32"/>
          <w:szCs w:val="32"/>
          <w:lang w:val="en-US" w:eastAsia="zh-CN"/>
        </w:rPr>
      </w:pPr>
      <w:r>
        <w:rPr>
          <w:rFonts w:hint="default" w:ascii="仿宋_GB2312" w:hAnsi="仿宋_GB2312" w:eastAsia="仿宋_GB2312" w:cs="仿宋_GB2312"/>
          <w:color w:val="000000"/>
          <w:kern w:val="0"/>
          <w:sz w:val="32"/>
          <w:szCs w:val="32"/>
          <w:lang w:val="en-US" w:eastAsia="zh-CN"/>
        </w:rPr>
        <w:t>本年度财务严格执行预算，公用支出、人员经费、项目支出、住房公积金支出均与预算相符。也没有发生人员、公用相互挤占现象。</w:t>
      </w:r>
      <w:r>
        <w:rPr>
          <w:rFonts w:hint="eastAsia" w:ascii="仿宋_GB2312" w:hAnsi="仿宋_GB2312" w:eastAsia="仿宋_GB2312" w:cs="仿宋_GB2312"/>
          <w:color w:val="000000"/>
          <w:kern w:val="0"/>
          <w:sz w:val="32"/>
          <w:szCs w:val="32"/>
          <w:lang w:val="en-US" w:eastAsia="zh-CN"/>
        </w:rPr>
        <w:t xml:space="preserve">本年总收入15375.64万元，上年结转结余1531.29万元，一般公共预算财政拨款收入8937.67元；政府性基金预算财政拨款收入6437.97元；本年支出合计16102.98万元，其中，一般公共服务支出36.22万元；社会保障就业支出688.63万元；卫生健康支出248.47万元；城乡社区支出7319.3万元；农林水支出1278.12万元；其他支出6356.97万元；住房保障支出175.27万元。 </w:t>
      </w:r>
    </w:p>
    <w:p w14:paraId="66C0CDAE">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二</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总体绩效目标完成情况分析。</w:t>
      </w:r>
    </w:p>
    <w:p w14:paraId="73234145">
      <w:pPr>
        <w:keepNext w:val="0"/>
        <w:keepLines w:val="0"/>
        <w:pageBreakBefore w:val="0"/>
        <w:widowControl/>
        <w:suppressLineNumbers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Times New Roman"/>
          <w:b w:val="0"/>
          <w:bCs w:val="0"/>
          <w:color w:val="auto"/>
          <w:kern w:val="2"/>
          <w:sz w:val="32"/>
          <w:szCs w:val="32"/>
          <w:lang w:val="en-US" w:eastAsia="zh-CN" w:bidi="ar-SA"/>
        </w:rPr>
      </w:pPr>
      <w:r>
        <w:rPr>
          <w:rFonts w:hint="eastAsia" w:ascii="仿宋_GB2312" w:hAnsi="仿宋_GB2312" w:eastAsia="仿宋_GB2312" w:cs="仿宋_GB2312"/>
          <w:color w:val="auto"/>
          <w:sz w:val="32"/>
          <w:szCs w:val="32"/>
          <w:lang w:val="en-US" w:eastAsia="zh-CN"/>
        </w:rPr>
        <w:t>2021</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我园区按照相关规定</w:t>
      </w:r>
      <w:r>
        <w:rPr>
          <w:rFonts w:hint="eastAsia" w:ascii="仿宋_GB2312" w:hAnsi="仿宋_GB2312" w:eastAsia="仿宋_GB2312" w:cs="仿宋_GB2312"/>
          <w:color w:val="auto"/>
          <w:sz w:val="32"/>
          <w:szCs w:val="32"/>
        </w:rPr>
        <w:t>使用资金，较好地保障了各项业务工作的正常开展</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各项</w:t>
      </w:r>
      <w:r>
        <w:rPr>
          <w:rFonts w:hint="eastAsia" w:ascii="仿宋_GB2312" w:hAnsi="仿宋_GB2312" w:eastAsia="仿宋_GB2312" w:cs="仿宋_GB2312"/>
          <w:color w:val="auto"/>
          <w:sz w:val="32"/>
          <w:szCs w:val="32"/>
        </w:rPr>
        <w:t>指标整体完成情况良好，基本达到预期目标值。</w:t>
      </w:r>
      <w:r>
        <w:rPr>
          <w:rFonts w:hint="eastAsia" w:ascii="仿宋_GB2312" w:hAnsi="仿宋_GB2312" w:eastAsia="仿宋_GB2312" w:cs="仿宋_GB2312"/>
          <w:color w:val="auto"/>
          <w:sz w:val="32"/>
          <w:szCs w:val="32"/>
          <w:lang w:val="en-US" w:eastAsia="zh-CN"/>
        </w:rPr>
        <w:t>2021</w:t>
      </w:r>
      <w:r>
        <w:rPr>
          <w:rFonts w:hint="eastAsia" w:ascii="仿宋_GB2312" w:hAnsi="仿宋_GB2312" w:eastAsia="仿宋_GB2312" w:cs="仿宋_GB2312"/>
          <w:color w:val="auto"/>
          <w:sz w:val="32"/>
          <w:szCs w:val="32"/>
        </w:rPr>
        <w:t>年年度总体绩效目标完成</w:t>
      </w:r>
      <w:r>
        <w:rPr>
          <w:rFonts w:hint="eastAsia" w:ascii="仿宋_GB2312" w:hAnsi="仿宋_GB2312" w:eastAsia="仿宋_GB2312" w:cs="仿宋_GB2312"/>
          <w:color w:val="auto"/>
          <w:sz w:val="32"/>
          <w:szCs w:val="32"/>
          <w:lang w:val="en-US" w:eastAsia="zh-CN"/>
        </w:rPr>
        <w:t>情况良好，</w:t>
      </w:r>
      <w:r>
        <w:rPr>
          <w:rFonts w:hint="eastAsia" w:ascii="Times New Roman" w:hAnsi="Times New Roman" w:eastAsia="仿宋_GB2312" w:cs="Times New Roman"/>
          <w:b w:val="0"/>
          <w:bCs w:val="0"/>
          <w:color w:val="auto"/>
          <w:kern w:val="2"/>
          <w:sz w:val="32"/>
          <w:szCs w:val="32"/>
          <w:lang w:val="en-US" w:eastAsia="zh-CN" w:bidi="ar-SA"/>
        </w:rPr>
        <w:t>西岔园区坚持以习近平新时代中国特色社会主义思想为指导，认真贯彻落实新区党工委、管委会决策部署，紧紧围绕年初确定的各项工作目标任务，</w:t>
      </w:r>
      <w:r>
        <w:rPr>
          <w:rFonts w:hint="eastAsia" w:ascii="仿宋_GB2312" w:hAnsi="仿宋_GB2312" w:eastAsia="仿宋_GB2312" w:cs="仿宋_GB2312"/>
          <w:color w:val="auto"/>
          <w:sz w:val="32"/>
          <w:szCs w:val="32"/>
          <w:lang w:val="en-US" w:eastAsia="zh-CN"/>
        </w:rPr>
        <w:t>全面落实新时代党的建设总要</w:t>
      </w:r>
      <w:r>
        <w:rPr>
          <w:rFonts w:hint="eastAsia" w:ascii="Times New Roman" w:hAnsi="Times New Roman" w:eastAsia="仿宋_GB2312" w:cs="Times New Roman"/>
          <w:b w:val="0"/>
          <w:bCs w:val="0"/>
          <w:color w:val="auto"/>
          <w:kern w:val="2"/>
          <w:sz w:val="32"/>
          <w:szCs w:val="32"/>
          <w:lang w:val="en-US" w:eastAsia="zh-CN" w:bidi="ar-SA"/>
        </w:rPr>
        <w:t>求，坚持把政治建设摆在首位，以党史学习教育为抓手，加强思想引领，严明政治纪律；把项目建设作为保持园区经济持续稳定增长的“压舱石”，创新招商模式，加大招商力度，深入推进产业项目建设和用地效益评价百日攻坚战，加快推进园区项目建设和产业升级；</w:t>
      </w:r>
      <w:r>
        <w:rPr>
          <w:rFonts w:hint="eastAsia" w:ascii="仿宋_GB2312" w:hAnsi="仿宋_GB2312" w:eastAsia="仿宋_GB2312" w:cs="仿宋_GB2312"/>
          <w:color w:val="auto"/>
          <w:sz w:val="32"/>
          <w:szCs w:val="32"/>
          <w:lang w:val="en-US" w:eastAsia="zh-CN"/>
        </w:rPr>
        <w:t>巩</w:t>
      </w:r>
      <w:r>
        <w:rPr>
          <w:rFonts w:hint="eastAsia" w:ascii="Times New Roman" w:hAnsi="Times New Roman" w:eastAsia="仿宋_GB2312" w:cs="Times New Roman"/>
          <w:b w:val="0"/>
          <w:bCs w:val="0"/>
          <w:color w:val="auto"/>
          <w:kern w:val="2"/>
          <w:sz w:val="32"/>
          <w:szCs w:val="32"/>
          <w:lang w:val="en-US" w:eastAsia="zh-CN" w:bidi="ar-SA"/>
        </w:rPr>
        <w:t>固拓展脱贫攻坚成果同乡村振兴有效衔接，以科学规划为引领，优化资源要素配置，突出国有龙头企业支撑带动作用，加快现代农业发展，在实践中探索推进共同富裕；把疫情防控作为重大政治任务，严格落实属地化管控主体责任，强化组织领导，坚持疫情常态化防控不松懈，关键时刻快速打赢疫情遭遇狙击战；牢固树立以人民为中心的发展理念，加强民生权益保障，大力发展文化体育事业，深入开展环境整治攻坚行动，人民幸福指数不断提升。</w:t>
      </w:r>
    </w:p>
    <w:p w14:paraId="1595774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lang w:val="en-US" w:eastAsia="zh-CN"/>
        </w:rPr>
        <w:t>三</w:t>
      </w:r>
      <w:r>
        <w:rPr>
          <w:rFonts w:hint="eastAsia" w:ascii="楷体_GB2312" w:hAnsi="楷体_GB2312" w:eastAsia="楷体_GB2312" w:cs="楷体_GB2312"/>
          <w:b w:val="0"/>
          <w:bCs w:val="0"/>
          <w:sz w:val="32"/>
          <w:szCs w:val="32"/>
          <w:lang w:eastAsia="zh-CN"/>
        </w:rPr>
        <w:t>）</w:t>
      </w:r>
      <w:r>
        <w:rPr>
          <w:rFonts w:hint="eastAsia" w:ascii="楷体_GB2312" w:hAnsi="楷体_GB2312" w:eastAsia="楷体_GB2312" w:cs="楷体_GB2312"/>
          <w:b w:val="0"/>
          <w:bCs w:val="0"/>
          <w:sz w:val="32"/>
          <w:szCs w:val="32"/>
        </w:rPr>
        <w:t>各项指标完成情况分析。</w:t>
      </w:r>
    </w:p>
    <w:p w14:paraId="392EAD95">
      <w:pPr>
        <w:keepNext w:val="0"/>
        <w:keepLines w:val="0"/>
        <w:pageBreakBefore w:val="0"/>
        <w:kinsoku/>
        <w:wordWrap/>
        <w:overflowPunct/>
        <w:topLinePunct w:val="0"/>
        <w:autoSpaceDN/>
        <w:bidi w:val="0"/>
        <w:adjustRightInd w:val="0"/>
        <w:snapToGrid w:val="0"/>
        <w:spacing w:line="560" w:lineRule="exact"/>
        <w:ind w:firstLine="640" w:firstLineChars="200"/>
        <w:textAlignment w:val="auto"/>
        <w:rPr>
          <w:rFonts w:hint="eastAsia"/>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部门管理</w:t>
      </w:r>
      <w:r>
        <w:rPr>
          <w:rFonts w:hint="eastAsia" w:ascii="仿宋_GB2312" w:hAnsi="仿宋_GB2312" w:eastAsia="仿宋_GB2312" w:cs="仿宋_GB2312"/>
          <w:sz w:val="32"/>
          <w:szCs w:val="32"/>
          <w:lang w:val="en-US" w:eastAsia="zh-CN"/>
        </w:rPr>
        <w:t>情况：从资金投入、财务管理、采购管理、资产管理、人员管理、重点工作管理等方面归纳反映年度主要任务完成情况。2021年预算因公出国费0元，公务用车运行维护费7万元，公务接待费0元。2021年决算因公出国费0元，公务用车运行维护费3.27万元，公务接待费0元。2021年末结转结余803.95万元，基本支出结转409.24万元，项目支出结转394.71万元，全年预算执行率为95.25%。</w:t>
      </w:r>
      <w:r>
        <w:rPr>
          <w:rFonts w:hint="eastAsia" w:ascii="仿宋_GB2312" w:hAnsi="仿宋_GB2312" w:eastAsia="仿宋_GB2312" w:cs="仿宋_GB2312"/>
          <w:b w:val="0"/>
          <w:bCs/>
          <w:color w:val="000000"/>
          <w:kern w:val="0"/>
          <w:sz w:val="32"/>
          <w:lang w:val="en-US" w:eastAsia="zh-CN"/>
        </w:rPr>
        <w:t>持续完善内控制度，</w:t>
      </w:r>
      <w:r>
        <w:rPr>
          <w:rFonts w:hint="eastAsia" w:ascii="仿宋_GB2312" w:hAnsi="仿宋_GB2312" w:eastAsia="仿宋_GB2312" w:cs="仿宋_GB2312"/>
          <w:sz w:val="32"/>
          <w:szCs w:val="32"/>
          <w:lang w:val="en-US" w:eastAsia="zh-CN"/>
        </w:rPr>
        <w:t>制定实施《兰州新区西岔园区管理委员会财务管理制度》《兰州新区西岔园区管理委员会合同管理办法》等，建立健全单位内部约束机制，完善内控制度建设。在资金使用上一直按照国家财经法规和单位财务管理制度规定以及有关业务项目资金管理办法的规定收支，资金拨付有完整的审批程序和手续，按照财经制度的有关要求，做到资金使用的合规性，保证资金使用无截留、挤占、挪用、虚列支出等情况。严格按照政府采购法及实施条例和《兰州新区财政局(国有资产监督管理局)兰州新区经济发展局(统计局)关于转发甘肃省财政厅 甘肃省发展和改革委员会关于印发甘肃省2020-2022年政府集中采购目录和采购限额标准的通知的通知》（兰新财发</w:t>
      </w:r>
      <w:r>
        <w:rPr>
          <w:rFonts w:hint="eastAsia" w:ascii="仿宋_GB2312" w:hAnsi="仿宋_GB2312" w:eastAsia="仿宋_GB2312" w:cs="仿宋_GB2312"/>
          <w:color w:val="000000"/>
          <w:kern w:val="0"/>
          <w:sz w:val="32"/>
          <w:szCs w:val="32"/>
          <w:lang w:val="en-US" w:eastAsia="zh-CN"/>
        </w:rPr>
        <w:t>〔2020〕</w:t>
      </w:r>
      <w:r>
        <w:rPr>
          <w:rFonts w:hint="eastAsia" w:ascii="仿宋_GB2312" w:hAnsi="仿宋_GB2312" w:eastAsia="仿宋_GB2312" w:cs="仿宋_GB2312"/>
          <w:sz w:val="32"/>
          <w:szCs w:val="32"/>
          <w:lang w:val="en-US" w:eastAsia="zh-CN"/>
        </w:rPr>
        <w:t>171号）进行政府采购。我园区严格按照资产管理相关规定执行，资产保存完整、配置合理，资产处置规范。</w:t>
      </w:r>
      <w:r>
        <w:rPr>
          <w:rFonts w:hint="eastAsia" w:ascii="仿宋_GB2312" w:hAnsi="仿宋_GB2312" w:eastAsia="仿宋_GB2312" w:cs="仿宋_GB2312"/>
          <w:color w:val="000000"/>
          <w:kern w:val="0"/>
          <w:sz w:val="32"/>
          <w:szCs w:val="32"/>
          <w:lang w:val="en-US" w:eastAsia="zh-CN"/>
        </w:rPr>
        <w:t>重点工作管理制度健全，有效保障了重点工作的顺利开展，完善了各项机制，加强了办公经费的保障力度，提升了办公效率。</w:t>
      </w:r>
    </w:p>
    <w:p w14:paraId="1E87BEDD">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履职效果</w:t>
      </w:r>
      <w:r>
        <w:rPr>
          <w:rFonts w:hint="eastAsia" w:ascii="仿宋_GB2312" w:hAnsi="仿宋_GB2312" w:eastAsia="仿宋_GB2312" w:cs="仿宋_GB2312"/>
          <w:sz w:val="32"/>
          <w:szCs w:val="32"/>
          <w:lang w:val="en-US" w:eastAsia="zh-CN"/>
        </w:rPr>
        <w:t>情况：从部门履职目标、部门效果目标、社会影响等方面反映</w:t>
      </w:r>
      <w:r>
        <w:rPr>
          <w:rFonts w:hint="eastAsia" w:ascii="仿宋_GB2312" w:hAnsi="仿宋_GB2312" w:eastAsia="仿宋_GB2312" w:cs="仿宋_GB2312"/>
          <w:sz w:val="32"/>
          <w:szCs w:val="32"/>
          <w:lang w:eastAsia="zh-CN"/>
        </w:rPr>
        <w:t>部门履职效果的实现情况。</w:t>
      </w:r>
      <w:r>
        <w:rPr>
          <w:rFonts w:hint="eastAsia" w:ascii="仿宋_GB2312" w:hAnsi="仿宋_GB2312" w:eastAsia="仿宋_GB2312" w:cs="仿宋_GB2312"/>
          <w:sz w:val="32"/>
          <w:szCs w:val="32"/>
          <w:lang w:val="en-US" w:eastAsia="zh-CN"/>
        </w:rPr>
        <w:t>2021年度严格按照各项规定，做到资金专款专用，及时高效，确保项目及时完成，以带动园区经济效益，有效改善社会、生态环境。</w:t>
      </w:r>
      <w:r>
        <w:rPr>
          <w:rFonts w:hint="eastAsia" w:ascii="Times New Roman" w:hAnsi="Times New Roman" w:eastAsia="仿宋_GB2312" w:cs="Times New Roman"/>
          <w:b w:val="0"/>
          <w:bCs w:val="0"/>
          <w:color w:val="auto"/>
          <w:kern w:val="2"/>
          <w:sz w:val="32"/>
          <w:szCs w:val="32"/>
          <w:lang w:val="en-US" w:eastAsia="zh-CN" w:bidi="ar-SA"/>
        </w:rPr>
        <w:t>全面落实新时代党的建设总要求，坚持把政治建设摆在首位，以党史学习教育为抓手，加强思想引领，严明政治纪律，着力抓基层、打基础，为园区经济社会高质量发展注入强大动力。</w:t>
      </w:r>
      <w:r>
        <w:rPr>
          <w:rFonts w:hint="eastAsia" w:ascii="仿宋_GB2312" w:hAnsi="仿宋_GB2312" w:eastAsia="仿宋_GB2312" w:cs="仿宋_GB2312"/>
          <w:sz w:val="32"/>
          <w:szCs w:val="32"/>
          <w:lang w:val="en-US" w:eastAsia="zh-CN"/>
        </w:rPr>
        <w:t>按时按量完成全年各项工作任务，</w:t>
      </w:r>
      <w:r>
        <w:rPr>
          <w:rFonts w:hint="eastAsia" w:ascii="仿宋_GB2312" w:hAnsi="仿宋_GB2312" w:eastAsia="仿宋_GB2312" w:cs="仿宋_GB2312"/>
          <w:b w:val="0"/>
          <w:bCs w:val="0"/>
          <w:color w:val="auto"/>
          <w:kern w:val="2"/>
          <w:sz w:val="32"/>
          <w:szCs w:val="32"/>
          <w:lang w:val="en-US" w:eastAsia="zh-CN" w:bidi="ar-SA"/>
        </w:rPr>
        <w:t>地区生产总值完成25.68亿元，同比增长16.9%；一产增加值完成0.76亿元，增长58.3%，二产增加值完成8.12亿元，增长31.8%，三产增加值完成16.8亿元，增长9.5%，固定资产投资完成57亿元。完成中长期低息贷款2.32亿元，新增财政专项资金0.2亿元，完成率100%。固定资产投资、建筑业产值、住宿业、餐饮业、批发业、营利性服务业、旅游收入、进出口贸易</w:t>
      </w:r>
      <w:r>
        <w:rPr>
          <w:rFonts w:hint="eastAsia" w:ascii="Times New Roman" w:hAnsi="Times New Roman" w:eastAsia="仿宋_GB2312" w:cs="Times New Roman"/>
          <w:b w:val="0"/>
          <w:bCs w:val="0"/>
          <w:color w:val="auto"/>
          <w:kern w:val="2"/>
          <w:sz w:val="32"/>
          <w:szCs w:val="32"/>
          <w:lang w:val="en-US" w:eastAsia="zh-CN" w:bidi="ar-SA"/>
        </w:rPr>
        <w:t>额等8项指标超额完成年度目标任务。园区把地质灾害避险搬迁群众安置工作作为一项重大政治任务，作为增进民生福祉、增强新区发展活力的重要举措，充分发挥属地管理和服务保障职能，圆满完成了全年搬迁安置任务。先后协调新区</w:t>
      </w:r>
      <w:r>
        <w:rPr>
          <w:rFonts w:hint="eastAsia" w:ascii="仿宋_GB2312" w:hAnsi="仿宋_GB2312" w:eastAsia="仿宋_GB2312" w:cs="仿宋_GB2312"/>
          <w:b w:val="0"/>
          <w:bCs w:val="0"/>
          <w:color w:val="auto"/>
          <w:kern w:val="2"/>
          <w:sz w:val="32"/>
          <w:szCs w:val="32"/>
          <w:lang w:val="en-US" w:eastAsia="zh-CN" w:bidi="ar-SA"/>
        </w:rPr>
        <w:t>51家企业，组织4次专场招聘会，提供126个工种、5700余个就业岗位，开展各类技能培训210人次，实现1489人就近就业，就业率达85.1%，让群众第一时间享受新区改革发展的红利。积极协调解决随迁子女就学问题，576名随迁子女全部就近入学。转接527人养老保险关系，特困供养、低保人员15户44人，第一时间按照新区标准享受各项社会保障待遇，低保五保待遇标准提高一倍。因在移民安置工作中业绩突出，园区民政社保局干部罗航同志被评为“全国人力资源社会保障系统优质服务先进个人”。践行绿色发展理念，以“黄河上游生态修复与未利用土地综合开发示范区”为目标，认真落实各级林湖长制工作制度，对生态条件脆弱的低丘缓坡，按照山水林田湖草综合治理思路，通过实施现代农业公园及窝窝井林草基地、兰州新区水阜河水生态综合治理工程等生态修复项目，完成国土绿化1.6万亩。加强城市绿化管护，全年新增城市绿化面积102万平方米，城区绿地面积显著增加。累计完成复耕复绿8万亩，全面整治完成撂荒地2.2万亩，园区生态环境持续改善。</w:t>
      </w:r>
      <w:r>
        <w:rPr>
          <w:rFonts w:hint="eastAsia" w:ascii="仿宋_GB2312" w:hAnsi="仿宋_GB2312" w:eastAsia="仿宋_GB2312" w:cs="仿宋_GB2312"/>
          <w:color w:val="auto"/>
          <w:sz w:val="32"/>
          <w:szCs w:val="32"/>
          <w:lang w:val="en-US" w:eastAsia="zh-CN"/>
        </w:rPr>
        <w:t>我园区岘子村获评甘肃省妇联、甘肃省住建厅“美丽庭院”示范村</w:t>
      </w:r>
      <w:r>
        <w:rPr>
          <w:rFonts w:hint="eastAsia" w:ascii="仿宋_GB2312" w:hAnsi="仿宋_GB2312" w:eastAsia="仿宋_GB2312" w:cs="仿宋_GB2312"/>
          <w:sz w:val="32"/>
          <w:szCs w:val="32"/>
          <w:lang w:val="en-US" w:eastAsia="zh-CN"/>
        </w:rPr>
        <w:t>，文曲中心社区、文曲社区分别获评“省级卫生街道”、“省级卫生社区”。积极组织参加新区各项比赛，</w:t>
      </w:r>
      <w:r>
        <w:rPr>
          <w:rFonts w:hint="eastAsia" w:ascii="仿宋_GB2312" w:hAnsi="仿宋_GB2312" w:eastAsia="仿宋_GB2312" w:cs="仿宋_GB2312"/>
          <w:sz w:val="32"/>
          <w:szCs w:val="32"/>
          <w:lang w:eastAsia="zh-CN"/>
        </w:rPr>
        <w:t>获得</w:t>
      </w:r>
      <w:r>
        <w:rPr>
          <w:rFonts w:hint="eastAsia" w:ascii="仿宋_GB2312" w:hAnsi="仿宋_GB2312" w:eastAsia="仿宋_GB2312" w:cs="仿宋_GB2312"/>
          <w:sz w:val="32"/>
          <w:szCs w:val="32"/>
          <w:lang w:val="en-US" w:eastAsia="zh-CN"/>
        </w:rPr>
        <w:t>兰州新区庆祝建党100周年大合唱比赛二等奖</w:t>
      </w:r>
    </w:p>
    <w:p w14:paraId="6A70272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3.能力建设情况：从长效管理、组织建设、信息化建设情况、人力资源建设、档案管理方面反映年度建设情况。</w:t>
      </w:r>
      <w:r>
        <w:rPr>
          <w:rFonts w:hint="eastAsia" w:ascii="Times New Roman" w:hAnsi="Times New Roman" w:eastAsia="仿宋_GB2312" w:cs="Times New Roman"/>
          <w:b w:val="0"/>
          <w:bCs w:val="0"/>
          <w:color w:val="auto"/>
          <w:kern w:val="2"/>
          <w:sz w:val="32"/>
          <w:szCs w:val="32"/>
          <w:lang w:val="en-US" w:eastAsia="zh-CN" w:bidi="ar-SA"/>
        </w:rPr>
        <w:t>按照“学党史、悟思想、办实事、开新局”的目标要求，重点围绕习近平新时代中国特色社会主义思想、“四史”学习教育、“七一”重要讲话精神、十九届六中全会精神等，采取理论学习中心组</w:t>
      </w:r>
      <w:bookmarkStart w:id="0" w:name="_GoBack"/>
      <w:bookmarkEnd w:id="0"/>
      <w:r>
        <w:rPr>
          <w:rFonts w:hint="eastAsia" w:ascii="Times New Roman" w:hAnsi="Times New Roman" w:eastAsia="仿宋_GB2312" w:cs="Times New Roman"/>
          <w:b w:val="0"/>
          <w:bCs w:val="0"/>
          <w:color w:val="auto"/>
          <w:kern w:val="2"/>
          <w:sz w:val="32"/>
          <w:szCs w:val="32"/>
          <w:lang w:val="en-US" w:eastAsia="zh-CN" w:bidi="ar-SA"/>
        </w:rPr>
        <w:t>学习、专题研讨、专家教授讲座、领导干部讲党课、线上线下自学等方式，通过观看红色电影、参观红色教育基地和“我为群众办实事”等主题实践活动，引导党员干部牢记初心使命，强化责任担当。组织各类学习实践活动1000余场次，为群众办实事难事224件，广大党员理想信念更加坚定，能力素质明显提升，在工作实践中践行服务人民的铮铮誓言。认真落实新时代好干部标准，创新性开展干部队伍建设专题调研，党委主要领导亲自带队对各部门（企业）班子及年轻干部进行全面排摸，确保将讲政治、守规矩、敢担当、有作为的干部选拔任用到合适岗位。把好选人用人入口关，率先启动干部档案专审，做到了应审尽审。畅通人才引进“绿色通道”，规范国有企业招聘引才制度，进一步激发国企人才队伍活力。圆满完成西岔镇领导班子换届工作，配齐党政领导班子成员10名，实现年龄学历“一降一升”，全面提升领导班子凝聚力、战斗力。全面整合各类资源，用好互联网、大数据平台，通过线下线上协同服务，大幅提升“一网通办”能力，着力</w:t>
      </w:r>
      <w:r>
        <w:rPr>
          <w:rFonts w:hint="eastAsia" w:ascii="仿宋_GB2312" w:hAnsi="仿宋_GB2312" w:eastAsia="仿宋_GB2312" w:cs="仿宋_GB2312"/>
          <w:sz w:val="32"/>
          <w:szCs w:val="32"/>
          <w:lang w:val="en-US" w:eastAsia="zh-CN"/>
        </w:rPr>
        <w:t>推动信息化管理，提高信息化覆盖率，进一步完善档案管理工作。</w:t>
      </w:r>
    </w:p>
    <w:p w14:paraId="64EF221D">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4.服务对象满意度：做好为民服务工作，提高群众满意度，工作人员满意度。</w:t>
      </w:r>
    </w:p>
    <w:p w14:paraId="04DC5BB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color w:val="auto"/>
          <w:kern w:val="2"/>
          <w:sz w:val="32"/>
          <w:szCs w:val="32"/>
          <w:lang w:val="en-US" w:eastAsia="zh-CN" w:bidi="ar-SA"/>
        </w:rPr>
      </w:pPr>
      <w:r>
        <w:rPr>
          <w:rFonts w:hint="eastAsia" w:ascii="楷体_GB2312" w:hAnsi="楷体_GB2312" w:eastAsia="楷体_GB2312" w:cs="楷体_GB2312"/>
          <w:b w:val="0"/>
          <w:bCs w:val="0"/>
          <w:color w:val="auto"/>
          <w:kern w:val="2"/>
          <w:sz w:val="32"/>
          <w:szCs w:val="32"/>
          <w:lang w:val="en-US" w:eastAsia="zh-CN" w:bidi="ar-SA"/>
        </w:rPr>
        <w:t>（四）偏离绩效目标的原因及下一步改进措施。</w:t>
      </w:r>
    </w:p>
    <w:p w14:paraId="4F79589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b w:val="0"/>
          <w:bCs w:val="0"/>
          <w:color w:val="auto"/>
          <w:kern w:val="2"/>
          <w:sz w:val="32"/>
          <w:szCs w:val="32"/>
          <w:lang w:val="en-US" w:eastAsia="zh-CN" w:bidi="ar-SA"/>
        </w:rPr>
        <w:t>偏离绩效目标的原因：一是</w:t>
      </w:r>
      <w:r>
        <w:rPr>
          <w:rFonts w:hint="eastAsia" w:ascii="仿宋_GB2312" w:hAnsi="仿宋_GB2312" w:eastAsia="仿宋_GB2312" w:cs="仿宋_GB2312"/>
          <w:sz w:val="32"/>
          <w:szCs w:val="32"/>
          <w:lang w:val="en-US" w:eastAsia="zh-CN"/>
        </w:rPr>
        <w:t>部分项目为先实施，再统一考核后，根据实际进行拨款；二是</w:t>
      </w:r>
      <w:r>
        <w:rPr>
          <w:rFonts w:hint="eastAsia" w:ascii="Times New Roman" w:hAnsi="Times New Roman" w:eastAsia="仿宋_GB2312" w:cs="Times New Roman"/>
          <w:b w:val="0"/>
          <w:bCs w:val="0"/>
          <w:color w:val="auto"/>
          <w:kern w:val="2"/>
          <w:sz w:val="32"/>
          <w:szCs w:val="32"/>
          <w:lang w:val="en-US" w:eastAsia="zh-CN" w:bidi="ar-SA"/>
        </w:rPr>
        <w:t>因疫情影响，部分项目工作开展情况缓慢，没有形成有效</w:t>
      </w:r>
      <w:r>
        <w:rPr>
          <w:rFonts w:hint="eastAsia" w:ascii="仿宋_GB2312" w:hAnsi="仿宋_GB2312" w:eastAsia="仿宋_GB2312" w:cs="仿宋_GB2312"/>
          <w:sz w:val="32"/>
          <w:szCs w:val="32"/>
          <w:lang w:val="en-US" w:eastAsia="zh-CN"/>
        </w:rPr>
        <w:t xml:space="preserve">支出，预算执行力度不够。 </w:t>
      </w:r>
    </w:p>
    <w:p w14:paraId="2C3B18F4">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b w:val="0"/>
          <w:bCs w:val="0"/>
          <w:color w:val="auto"/>
          <w:kern w:val="2"/>
          <w:sz w:val="32"/>
          <w:szCs w:val="32"/>
          <w:lang w:val="en-US" w:eastAsia="zh-CN" w:bidi="ar-SA"/>
        </w:rPr>
        <w:t>下一步改进措施：一是</w:t>
      </w:r>
      <w:r>
        <w:rPr>
          <w:rFonts w:hint="eastAsia" w:ascii="仿宋_GB2312" w:hAnsi="仿宋_GB2312" w:eastAsia="仿宋_GB2312" w:cs="仿宋_GB2312"/>
          <w:sz w:val="32"/>
          <w:szCs w:val="32"/>
          <w:lang w:val="en-US" w:eastAsia="zh-CN"/>
        </w:rPr>
        <w:t>对部门预算执行情况预算编制加强科学论证，充分发挥绩效评价在预算安排和执行中的作用，从事前绩效评估开始，加强全过程绩效监管、加强绩效目标科学性准确性等审核、加强绩效结果应用，使预算资金额度与年度目标相适应，对预算执行不到位的资金进行及时调整，使预算资金使用达到合理化，充分发挥资金使用效益。二是合理使用部门预算资金，降低结转结余率。三是加强中期规划建设，为全面可持续发展提供内在动力。</w:t>
      </w:r>
    </w:p>
    <w:p w14:paraId="06B891FA">
      <w:pPr>
        <w:pStyle w:val="8"/>
        <w:keepNext w:val="0"/>
        <w:keepLines w:val="0"/>
        <w:pageBreakBefore w:val="0"/>
        <w:widowControl w:val="0"/>
        <w:numPr>
          <w:ilvl w:val="0"/>
          <w:numId w:val="2"/>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黑体" w:hAnsi="黑体" w:eastAsia="黑体" w:cs="黑体"/>
          <w:b w:val="0"/>
          <w:bCs w:val="0"/>
          <w:lang w:val="en-US" w:eastAsia="zh-CN"/>
        </w:rPr>
      </w:pPr>
      <w:r>
        <w:rPr>
          <w:rFonts w:hint="eastAsia" w:ascii="黑体" w:hAnsi="黑体" w:eastAsia="黑体" w:cs="黑体"/>
          <w:b w:val="0"/>
          <w:bCs w:val="0"/>
          <w:lang w:val="en-US" w:eastAsia="zh-CN"/>
        </w:rPr>
        <w:t>部门预算项目支出绩效自评情况分析</w:t>
      </w:r>
    </w:p>
    <w:p w14:paraId="78505A1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2021年，本部门预算项目支出共计28个，当年财政拨款</w:t>
      </w:r>
      <w:r>
        <w:rPr>
          <w:rFonts w:hint="eastAsia" w:ascii="仿宋_GB2312" w:hAnsi="仿宋_GB2312" w:eastAsia="仿宋_GB2312" w:cs="仿宋_GB2312"/>
          <w:color w:val="000000"/>
          <w:kern w:val="0"/>
          <w:sz w:val="32"/>
          <w:szCs w:val="32"/>
          <w:lang w:val="en-US" w:eastAsia="zh-CN"/>
        </w:rPr>
        <w:t>1210.03</w:t>
      </w:r>
      <w:r>
        <w:rPr>
          <w:rFonts w:hint="default" w:ascii="仿宋_GB2312" w:hAnsi="仿宋_GB2312" w:eastAsia="仿宋_GB2312" w:cs="仿宋_GB2312"/>
          <w:color w:val="000000"/>
          <w:kern w:val="0"/>
          <w:sz w:val="32"/>
          <w:szCs w:val="32"/>
          <w:lang w:val="en-US" w:eastAsia="zh-CN"/>
        </w:rPr>
        <w:t>万元</w:t>
      </w:r>
      <w:r>
        <w:rPr>
          <w:rFonts w:hint="eastAsia" w:ascii="仿宋_GB2312" w:hAnsi="仿宋_GB2312" w:eastAsia="仿宋_GB2312" w:cs="仿宋_GB2312"/>
          <w:color w:val="auto"/>
          <w:sz w:val="32"/>
          <w:szCs w:val="32"/>
          <w:lang w:val="en-US" w:eastAsia="zh-CN"/>
        </w:rPr>
        <w:t>，2021年全年支出899.6</w:t>
      </w:r>
      <w:r>
        <w:rPr>
          <w:rFonts w:hint="default" w:ascii="仿宋_GB2312" w:hAnsi="仿宋_GB2312" w:eastAsia="仿宋_GB2312" w:cs="仿宋_GB2312"/>
          <w:color w:val="000000"/>
          <w:kern w:val="0"/>
          <w:sz w:val="32"/>
          <w:szCs w:val="32"/>
          <w:lang w:val="en-US" w:eastAsia="zh-CN"/>
        </w:rPr>
        <w:t>万元</w:t>
      </w:r>
      <w:r>
        <w:rPr>
          <w:rFonts w:hint="eastAsia" w:ascii="仿宋_GB2312" w:hAnsi="仿宋_GB2312" w:eastAsia="仿宋_GB2312" w:cs="仿宋_GB2312"/>
          <w:b w:val="0"/>
          <w:bCs w:val="0"/>
          <w:color w:val="auto"/>
          <w:sz w:val="32"/>
          <w:szCs w:val="32"/>
          <w:lang w:val="en-US" w:eastAsia="zh-CN"/>
        </w:rPr>
        <w:t>，</w:t>
      </w:r>
      <w:r>
        <w:rPr>
          <w:rFonts w:hint="eastAsia" w:ascii="仿宋_GB2312" w:hAnsi="仿宋_GB2312" w:eastAsia="仿宋_GB2312" w:cs="仿宋_GB2312"/>
          <w:color w:val="auto"/>
          <w:sz w:val="32"/>
          <w:szCs w:val="32"/>
          <w:lang w:val="en-US" w:eastAsia="zh-CN"/>
        </w:rPr>
        <w:t>执行率74.34%。</w:t>
      </w:r>
      <w:r>
        <w:rPr>
          <w:rFonts w:hint="eastAsia" w:ascii="仿宋_GB2312" w:hAnsi="仿宋_GB2312" w:eastAsia="仿宋_GB2312" w:cs="仿宋_GB2312"/>
          <w:b w:val="0"/>
          <w:bCs w:val="0"/>
          <w:color w:val="auto"/>
          <w:sz w:val="32"/>
          <w:szCs w:val="32"/>
          <w:lang w:val="en-US" w:eastAsia="zh-CN"/>
        </w:rPr>
        <w:t>其中使用政府性基金预算财政拨款共1项，绿化管护费81万元</w:t>
      </w:r>
      <w:r>
        <w:rPr>
          <w:rFonts w:hint="eastAsia" w:ascii="仿宋_GB2312" w:hAnsi="仿宋_GB2312" w:eastAsia="仿宋_GB2312" w:cs="仿宋_GB2312"/>
          <w:color w:val="auto"/>
          <w:sz w:val="32"/>
          <w:szCs w:val="32"/>
          <w:lang w:val="en-US" w:eastAsia="zh-CN"/>
        </w:rPr>
        <w:t>。分项目自评情况分析如下：</w:t>
      </w:r>
    </w:p>
    <w:p w14:paraId="70E6747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一</w:t>
      </w:r>
      <w:r>
        <w:rPr>
          <w:rFonts w:hint="eastAsia" w:ascii="楷体_GB2312" w:hAnsi="楷体_GB2312" w:eastAsia="楷体_GB2312" w:cs="楷体_GB2312"/>
          <w:b w:val="0"/>
          <w:bCs w:val="0"/>
          <w:color w:val="auto"/>
          <w:sz w:val="32"/>
          <w:szCs w:val="32"/>
          <w:lang w:eastAsia="zh-CN"/>
        </w:rPr>
        <w:t xml:space="preserve">） </w:t>
      </w:r>
      <w:r>
        <w:rPr>
          <w:rFonts w:hint="eastAsia" w:ascii="楷体_GB2312" w:hAnsi="楷体_GB2312" w:eastAsia="楷体_GB2312" w:cs="楷体_GB2312"/>
          <w:b w:val="0"/>
          <w:bCs w:val="0"/>
          <w:color w:val="auto"/>
          <w:sz w:val="32"/>
          <w:szCs w:val="32"/>
          <w:lang w:val="en-US" w:eastAsia="zh-CN"/>
        </w:rPr>
        <w:t>项目1：禁毒工作经费</w:t>
      </w:r>
    </w:p>
    <w:p w14:paraId="17753583">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lang w:val="en-US" w:eastAsia="zh-CN"/>
        </w:rPr>
        <w:t>1.项目支出预算执</w:t>
      </w:r>
      <w:r>
        <w:rPr>
          <w:rFonts w:hint="eastAsia"/>
          <w:lang w:val="en-US" w:eastAsia="zh-CN"/>
        </w:rPr>
        <w:t>行情况。</w:t>
      </w:r>
      <w:r>
        <w:rPr>
          <w:rFonts w:hint="eastAsia" w:ascii="仿宋_GB2312" w:hAnsi="仿宋_GB2312" w:eastAsia="仿宋_GB2312" w:cs="仿宋_GB2312"/>
          <w:b w:val="0"/>
          <w:bCs w:val="0"/>
          <w:sz w:val="32"/>
          <w:szCs w:val="32"/>
          <w:lang w:val="en-US" w:eastAsia="zh-CN"/>
        </w:rPr>
        <w:t>禁毒工作经费项目年初预算5万元，全年执行数5万元，执行率100%。</w:t>
      </w:r>
    </w:p>
    <w:p w14:paraId="47120F11">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lang w:val="en-US" w:eastAsia="zh-CN"/>
        </w:rPr>
      </w:pPr>
      <w:r>
        <w:rPr>
          <w:rFonts w:hint="eastAsia" w:ascii="仿宋_GB2312" w:hAnsi="仿宋_GB2312" w:eastAsia="仿宋_GB2312" w:cs="仿宋_GB2312"/>
          <w:color w:val="000000" w:themeColor="text1"/>
          <w:lang w:val="en-US" w:eastAsia="zh-CN"/>
          <w14:textFill>
            <w14:solidFill>
              <w14:schemeClr w14:val="tx1"/>
            </w14:solidFill>
          </w14:textFill>
        </w:rPr>
        <w:t>2.总体绩效目标完成情况分析</w:t>
      </w:r>
      <w:r>
        <w:rPr>
          <w:rFonts w:hint="eastAsia" w:ascii="仿宋_GB2312" w:hAnsi="仿宋_GB2312" w:cs="仿宋_GB2312"/>
          <w:color w:val="000000" w:themeColor="text1"/>
          <w:lang w:val="en-US" w:eastAsia="zh-CN"/>
          <w14:textFill>
            <w14:solidFill>
              <w14:schemeClr w14:val="tx1"/>
            </w14:solidFill>
          </w14:textFill>
        </w:rPr>
        <w:t>。</w:t>
      </w:r>
      <w:r>
        <w:rPr>
          <w:rFonts w:hint="eastAsia" w:ascii="仿宋_GB2312" w:hAnsi="仿宋_GB2312" w:eastAsia="仿宋_GB2312" w:cs="仿宋_GB2312"/>
          <w:b w:val="0"/>
          <w:bCs w:val="0"/>
          <w:sz w:val="32"/>
          <w:szCs w:val="32"/>
          <w:lang w:val="en-US" w:eastAsia="zh-CN"/>
        </w:rPr>
        <w:t>通过禁毒工作宣传经费，推进禁毒工作进村社、进学校、进单位、进家庭、进企业、进场所等行业领域，做好禁毒禁种铲毒教育和宣传，使群众了解“禁吸禁种禁贩”的禁毒政策，使禁毒工作宣传深入人心；从而增强广大群众识毒、拒毒、防毒意识，从而提高群众的参与率和知晓率，为维护社会大局稳定奠定良好基础。</w:t>
      </w:r>
    </w:p>
    <w:p w14:paraId="73EC8704">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default" w:ascii="仿宋_GB2312" w:hAnsi="仿宋_GB2312" w:eastAsia="仿宋_GB2312" w:cs="仿宋_GB2312"/>
          <w:b w:val="0"/>
          <w:bCs w:val="0"/>
          <w:sz w:val="32"/>
          <w:szCs w:val="32"/>
          <w:lang w:eastAsia="zh-CN"/>
        </w:rPr>
      </w:pPr>
      <w:r>
        <w:rPr>
          <w:rFonts w:hint="eastAsia" w:ascii="仿宋_GB2312" w:hAnsi="仿宋_GB2312" w:eastAsia="仿宋_GB2312" w:cs="仿宋_GB2312"/>
          <w:lang w:val="en-US" w:eastAsia="zh-CN"/>
        </w:rPr>
        <w:t>3.各项</w:t>
      </w:r>
      <w:r>
        <w:rPr>
          <w:rFonts w:hint="eastAsia"/>
          <w:lang w:val="en-US" w:eastAsia="zh-CN"/>
        </w:rPr>
        <w:t>指标完成情况分析。</w:t>
      </w:r>
      <w:r>
        <w:rPr>
          <w:rFonts w:hint="eastAsia" w:ascii="仿宋_GB2312" w:hAnsi="仿宋_GB2312" w:eastAsia="仿宋_GB2312" w:cs="仿宋_GB2312"/>
          <w:b w:val="0"/>
          <w:bCs w:val="0"/>
          <w:sz w:val="32"/>
          <w:szCs w:val="32"/>
          <w:lang w:val="en-US" w:eastAsia="zh-CN"/>
        </w:rPr>
        <w:t>通过禁毒工作经费，广泛开展“禁毒宣传进万家”活动，助力开展好社戒社康人员管控，切实提高人民群众对毒品的认知和抵制能力，从根本上减少新吸毒人员滋生，为创建平安园区做出贡献。</w:t>
      </w:r>
    </w:p>
    <w:p w14:paraId="45C5280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（二）项目2：网格化服务管理工作经费</w:t>
      </w:r>
    </w:p>
    <w:p w14:paraId="6254500F">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rPr>
        <w:t>1</w:t>
      </w:r>
      <w:r>
        <w:rPr>
          <w:rFonts w:hint="eastAsia" w:ascii="仿宋_GB2312" w:hAnsi="仿宋_GB2312" w:eastAsia="仿宋_GB2312" w:cs="仿宋_GB2312"/>
          <w:lang w:val="en-US" w:eastAsia="zh-CN"/>
        </w:rPr>
        <w:t>.</w:t>
      </w:r>
      <w:r>
        <w:rPr>
          <w:rFonts w:hint="eastAsia" w:ascii="仿宋_GB2312" w:hAnsi="仿宋_GB2312" w:eastAsia="仿宋_GB2312" w:cs="仿宋_GB2312"/>
        </w:rPr>
        <w:t>项目支出预算执行情况</w:t>
      </w:r>
      <w:r>
        <w:rPr>
          <w:rFonts w:hint="eastAsia" w:ascii="仿宋_GB2312" w:hAnsi="仿宋_GB2312" w:cs="仿宋_GB2312"/>
          <w:lang w:eastAsia="zh-CN"/>
        </w:rPr>
        <w:t>。</w:t>
      </w:r>
      <w:r>
        <w:rPr>
          <w:rFonts w:hint="eastAsia" w:ascii="仿宋_GB2312" w:hAnsi="仿宋_GB2312" w:eastAsia="仿宋_GB2312" w:cs="仿宋_GB2312"/>
          <w:b w:val="0"/>
          <w:bCs w:val="0"/>
          <w:sz w:val="32"/>
          <w:szCs w:val="32"/>
          <w:lang w:val="en-US" w:eastAsia="zh-CN"/>
        </w:rPr>
        <w:t>网格化服务管理工作经费项目年初预算15万元，全年执行数15万元，执行率100%。</w:t>
      </w:r>
    </w:p>
    <w:p w14:paraId="2134C759">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rPr>
        <w:t xml:space="preserve">    2</w:t>
      </w:r>
      <w:r>
        <w:rPr>
          <w:rFonts w:hint="eastAsia" w:ascii="仿宋_GB2312" w:hAnsi="仿宋_GB2312" w:eastAsia="仿宋_GB2312" w:cs="仿宋_GB2312"/>
          <w:sz w:val="32"/>
          <w:lang w:val="en-US" w:eastAsia="zh-CN"/>
        </w:rPr>
        <w:t>.</w:t>
      </w:r>
      <w:r>
        <w:rPr>
          <w:rFonts w:hint="eastAsia" w:ascii="仿宋_GB2312" w:hAnsi="仿宋_GB2312" w:eastAsia="仿宋_GB2312" w:cs="仿宋_GB2312"/>
          <w:sz w:val="32"/>
        </w:rPr>
        <w:t>总体绩效目标完成情况分析</w:t>
      </w:r>
      <w:r>
        <w:rPr>
          <w:rFonts w:hint="eastAsia" w:ascii="仿宋_GB2312" w:hAnsi="仿宋_GB2312" w:eastAsia="仿宋_GB2312" w:cs="仿宋_GB2312"/>
          <w:sz w:val="32"/>
          <w:lang w:eastAsia="zh-CN"/>
        </w:rPr>
        <w:t>。</w:t>
      </w:r>
      <w:r>
        <w:rPr>
          <w:rFonts w:hint="eastAsia" w:ascii="仿宋_GB2312" w:hAnsi="仿宋_GB2312" w:eastAsia="仿宋_GB2312" w:cs="仿宋_GB2312"/>
          <w:b w:val="0"/>
          <w:bCs w:val="0"/>
          <w:sz w:val="32"/>
          <w:szCs w:val="32"/>
          <w:lang w:val="en-US" w:eastAsia="zh-CN"/>
        </w:rPr>
        <w:t>有效整合社会资源，改变原有以管理为主转变为服务为主的模式，充分调动各网格员工作的积极性和能动性，强化服务群众功能，体现为民服务的根本宗旨。</w:t>
      </w:r>
    </w:p>
    <w:p w14:paraId="5DA94A6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default" w:ascii="仿宋_GB2312" w:hAnsi="仿宋_GB2312" w:eastAsia="仿宋_GB2312" w:cs="仿宋_GB2312"/>
          <w:b w:val="0"/>
          <w:bCs w:val="0"/>
          <w:sz w:val="32"/>
          <w:szCs w:val="32"/>
          <w:lang w:eastAsia="zh-CN"/>
        </w:rPr>
      </w:pPr>
      <w:r>
        <w:rPr>
          <w:rFonts w:hint="eastAsia" w:ascii="仿宋_GB2312" w:hAnsi="仿宋_GB2312" w:eastAsia="仿宋_GB2312" w:cs="仿宋_GB2312"/>
          <w:sz w:val="32"/>
        </w:rPr>
        <w:t>3</w:t>
      </w:r>
      <w:r>
        <w:rPr>
          <w:rFonts w:hint="eastAsia" w:ascii="仿宋_GB2312" w:hAnsi="仿宋_GB2312" w:eastAsia="仿宋_GB2312" w:cs="仿宋_GB2312"/>
          <w:sz w:val="32"/>
          <w:lang w:val="en-US" w:eastAsia="zh-CN"/>
        </w:rPr>
        <w:t>.</w:t>
      </w:r>
      <w:r>
        <w:rPr>
          <w:rFonts w:hint="eastAsia" w:ascii="仿宋_GB2312" w:hAnsi="仿宋_GB2312" w:eastAsia="仿宋_GB2312" w:cs="仿宋_GB2312"/>
          <w:sz w:val="32"/>
        </w:rPr>
        <w:t>各项指标完成情况分析</w:t>
      </w:r>
      <w:r>
        <w:rPr>
          <w:rFonts w:hint="eastAsia" w:ascii="仿宋_GB2312" w:hAnsi="仿宋_GB2312" w:eastAsia="仿宋_GB2312" w:cs="仿宋_GB2312"/>
          <w:sz w:val="32"/>
          <w:lang w:eastAsia="zh-CN"/>
        </w:rPr>
        <w:t>。</w:t>
      </w:r>
      <w:r>
        <w:rPr>
          <w:rFonts w:hint="eastAsia" w:ascii="仿宋_GB2312" w:hAnsi="仿宋_GB2312" w:eastAsia="仿宋_GB2312" w:cs="仿宋_GB2312"/>
          <w:b w:val="0"/>
          <w:bCs w:val="0"/>
          <w:sz w:val="32"/>
          <w:szCs w:val="32"/>
          <w:lang w:val="en-US" w:eastAsia="zh-CN"/>
        </w:rPr>
        <w:t>实现网格化管理，可以很好通过网格员队伍依靠基层队伍解决群众矛盾纠纷化解、安全隐患排查等实际问题，更大限度提高服务群众能力。</w:t>
      </w:r>
    </w:p>
    <w:p w14:paraId="273D6F3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（三）项目3：食堂运行费用</w:t>
      </w:r>
    </w:p>
    <w:p w14:paraId="75F12FA9">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rPr>
        <w:t>1</w:t>
      </w:r>
      <w:r>
        <w:rPr>
          <w:rFonts w:hint="eastAsia" w:ascii="仿宋_GB2312" w:hAnsi="仿宋_GB2312" w:eastAsia="仿宋_GB2312" w:cs="仿宋_GB2312"/>
          <w:lang w:val="en-US" w:eastAsia="zh-CN"/>
        </w:rPr>
        <w:t>.</w:t>
      </w:r>
      <w:r>
        <w:rPr>
          <w:rFonts w:hint="eastAsia" w:ascii="仿宋_GB2312" w:hAnsi="仿宋_GB2312" w:eastAsia="仿宋_GB2312" w:cs="仿宋_GB2312"/>
        </w:rPr>
        <w:t>项目支出预算执行情况</w:t>
      </w:r>
      <w:r>
        <w:rPr>
          <w:rFonts w:hint="eastAsia" w:ascii="仿宋_GB2312" w:hAnsi="仿宋_GB2312" w:cs="仿宋_GB2312"/>
          <w:lang w:eastAsia="zh-CN"/>
        </w:rPr>
        <w:t>。</w:t>
      </w:r>
      <w:r>
        <w:rPr>
          <w:rFonts w:hint="eastAsia" w:ascii="仿宋_GB2312" w:hAnsi="仿宋_GB2312" w:eastAsia="仿宋_GB2312" w:cs="仿宋_GB2312"/>
          <w:b w:val="0"/>
          <w:bCs w:val="0"/>
          <w:sz w:val="32"/>
          <w:szCs w:val="32"/>
          <w:lang w:val="en-US" w:eastAsia="zh-CN"/>
        </w:rPr>
        <w:t>餐厅服务费和燃气管理工作经费项目年初预算121.6万元，全年执行数116.73万元，执行率95%。</w:t>
      </w:r>
    </w:p>
    <w:p w14:paraId="614789CC">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rPr>
        <w:t xml:space="preserve">    2</w:t>
      </w:r>
      <w:r>
        <w:rPr>
          <w:rFonts w:hint="eastAsia" w:ascii="仿宋_GB2312" w:hAnsi="仿宋_GB2312" w:eastAsia="仿宋_GB2312" w:cs="仿宋_GB2312"/>
          <w:sz w:val="32"/>
          <w:lang w:val="en-US" w:eastAsia="zh-CN"/>
        </w:rPr>
        <w:t>.</w:t>
      </w:r>
      <w:r>
        <w:rPr>
          <w:rFonts w:hint="eastAsia" w:ascii="仿宋_GB2312" w:hAnsi="仿宋_GB2312" w:eastAsia="仿宋_GB2312" w:cs="仿宋_GB2312"/>
          <w:sz w:val="32"/>
        </w:rPr>
        <w:t>总体绩效目标完成情况分析</w:t>
      </w:r>
      <w:r>
        <w:rPr>
          <w:rFonts w:hint="eastAsia" w:ascii="仿宋_GB2312" w:hAnsi="仿宋_GB2312" w:eastAsia="仿宋_GB2312" w:cs="仿宋_GB2312"/>
          <w:sz w:val="32"/>
          <w:lang w:eastAsia="zh-CN"/>
        </w:rPr>
        <w:t>。</w:t>
      </w:r>
      <w:r>
        <w:rPr>
          <w:rFonts w:hint="eastAsia" w:ascii="仿宋_GB2312" w:hAnsi="仿宋_GB2312" w:eastAsia="仿宋_GB2312" w:cs="仿宋_GB2312"/>
          <w:b w:val="0"/>
          <w:bCs w:val="0"/>
          <w:sz w:val="32"/>
          <w:szCs w:val="32"/>
          <w:lang w:val="en-US" w:eastAsia="zh-CN"/>
        </w:rPr>
        <w:t>保障园区餐厅正常运转，满足干部职工用餐需求。</w:t>
      </w:r>
      <w:r>
        <w:rPr>
          <w:rFonts w:hint="eastAsia" w:ascii="仿宋_GB2312" w:hAnsi="仿宋_GB2312" w:eastAsia="仿宋_GB2312" w:cs="仿宋_GB2312"/>
          <w:sz w:val="32"/>
        </w:rPr>
        <w:br w:type="textWrapping"/>
      </w:r>
      <w:r>
        <w:rPr>
          <w:rFonts w:hint="eastAsia" w:ascii="仿宋_GB2312" w:hAnsi="仿宋_GB2312" w:eastAsia="仿宋_GB2312" w:cs="仿宋_GB2312"/>
          <w:sz w:val="32"/>
        </w:rPr>
        <w:t xml:space="preserve">    3</w:t>
      </w:r>
      <w:r>
        <w:rPr>
          <w:rFonts w:hint="eastAsia" w:ascii="仿宋_GB2312" w:hAnsi="仿宋_GB2312" w:eastAsia="仿宋_GB2312" w:cs="仿宋_GB2312"/>
          <w:sz w:val="32"/>
          <w:lang w:val="en-US" w:eastAsia="zh-CN"/>
        </w:rPr>
        <w:t>.</w:t>
      </w:r>
      <w:r>
        <w:rPr>
          <w:rFonts w:hint="eastAsia" w:ascii="仿宋_GB2312" w:hAnsi="仿宋_GB2312" w:eastAsia="仿宋_GB2312" w:cs="仿宋_GB2312"/>
          <w:sz w:val="32"/>
        </w:rPr>
        <w:t>各项指标完成情况分析</w:t>
      </w:r>
      <w:r>
        <w:rPr>
          <w:rFonts w:hint="eastAsia" w:ascii="仿宋_GB2312" w:hAnsi="仿宋_GB2312" w:eastAsia="仿宋_GB2312" w:cs="仿宋_GB2312"/>
          <w:sz w:val="32"/>
          <w:lang w:eastAsia="zh-CN"/>
        </w:rPr>
        <w:t>。</w:t>
      </w:r>
      <w:r>
        <w:rPr>
          <w:rFonts w:hint="eastAsia" w:ascii="仿宋_GB2312" w:hAnsi="仿宋_GB2312" w:eastAsia="仿宋_GB2312" w:cs="仿宋_GB2312"/>
          <w:b w:val="0"/>
          <w:bCs w:val="0"/>
          <w:sz w:val="32"/>
          <w:szCs w:val="32"/>
          <w:lang w:val="en-US" w:eastAsia="zh-CN"/>
        </w:rPr>
        <w:t>按季度足额支付餐厅服务费和燃气费用，认真做好服务，保障园区餐厅正常运转，满足干部职工用餐需求。</w:t>
      </w:r>
    </w:p>
    <w:p w14:paraId="4DA2E93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lang w:val="en-US" w:eastAsia="zh-CN"/>
        </w:rPr>
        <w:t>4.偏离绩效目标的原因及下一步改进措施。</w:t>
      </w:r>
      <w:r>
        <w:rPr>
          <w:rFonts w:hint="eastAsia" w:ascii="仿宋_GB2312" w:hAnsi="仿宋_GB2312" w:eastAsia="仿宋_GB2312" w:cs="仿宋_GB2312"/>
          <w:b w:val="0"/>
          <w:bCs w:val="0"/>
          <w:sz w:val="32"/>
          <w:szCs w:val="32"/>
          <w:lang w:val="en-US" w:eastAsia="zh-CN"/>
        </w:rPr>
        <w:t>因上半年食堂使用设备陈旧，液化气单价较高，搬迁至新办公楼后使用天然气，产生的费用较低。</w:t>
      </w:r>
    </w:p>
    <w:p w14:paraId="7462CBB2">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ascii="楷体_GB2312" w:hAnsi="楷体_GB2312" w:eastAsia="楷体_GB2312" w:cs="楷体_GB2312"/>
          <w:b w:val="0"/>
          <w:bCs w:val="0"/>
          <w:color w:val="auto"/>
        </w:rPr>
      </w:pPr>
      <w:r>
        <w:rPr>
          <w:rFonts w:hint="eastAsia" w:ascii="楷体_GB2312" w:hAnsi="楷体_GB2312" w:eastAsia="楷体_GB2312" w:cs="楷体_GB2312"/>
          <w:b w:val="0"/>
          <w:bCs w:val="0"/>
          <w:color w:val="auto"/>
          <w:lang w:eastAsia="zh-CN"/>
        </w:rPr>
        <w:t>（</w:t>
      </w:r>
      <w:r>
        <w:rPr>
          <w:rFonts w:hint="eastAsia" w:ascii="楷体_GB2312" w:hAnsi="楷体_GB2312" w:eastAsia="楷体_GB2312" w:cs="楷体_GB2312"/>
          <w:b w:val="0"/>
          <w:bCs w:val="0"/>
          <w:color w:val="auto"/>
          <w:lang w:val="en-US" w:eastAsia="zh-CN"/>
        </w:rPr>
        <w:t>四</w:t>
      </w:r>
      <w:r>
        <w:rPr>
          <w:rFonts w:hint="eastAsia" w:ascii="楷体_GB2312" w:hAnsi="楷体_GB2312" w:eastAsia="楷体_GB2312" w:cs="楷体_GB2312"/>
          <w:b w:val="0"/>
          <w:bCs w:val="0"/>
          <w:color w:val="auto"/>
          <w:lang w:eastAsia="zh-CN"/>
        </w:rPr>
        <w:t>）</w:t>
      </w:r>
      <w:r>
        <w:rPr>
          <w:rFonts w:hint="eastAsia" w:ascii="楷体_GB2312" w:hAnsi="楷体_GB2312" w:eastAsia="楷体_GB2312" w:cs="楷体_GB2312"/>
          <w:b w:val="0"/>
          <w:bCs w:val="0"/>
          <w:color w:val="auto"/>
        </w:rPr>
        <w:t>项目</w:t>
      </w:r>
      <w:r>
        <w:rPr>
          <w:rFonts w:hint="eastAsia" w:ascii="楷体_GB2312" w:hAnsi="楷体_GB2312" w:eastAsia="楷体_GB2312" w:cs="楷体_GB2312"/>
          <w:b w:val="0"/>
          <w:bCs w:val="0"/>
          <w:color w:val="auto"/>
          <w:lang w:val="en-US" w:eastAsia="zh-CN"/>
        </w:rPr>
        <w:t>4</w:t>
      </w:r>
      <w:r>
        <w:rPr>
          <w:rFonts w:hint="eastAsia" w:ascii="楷体_GB2312" w:hAnsi="楷体_GB2312" w:eastAsia="楷体_GB2312" w:cs="楷体_GB2312"/>
          <w:b w:val="0"/>
          <w:bCs w:val="0"/>
          <w:color w:val="auto"/>
          <w:lang w:eastAsia="zh-CN"/>
        </w:rPr>
        <w:t>：</w:t>
      </w:r>
      <w:r>
        <w:rPr>
          <w:rFonts w:hint="eastAsia" w:ascii="楷体_GB2312" w:hAnsi="楷体_GB2312" w:eastAsia="楷体_GB2312" w:cs="楷体_GB2312"/>
          <w:b w:val="0"/>
          <w:bCs w:val="0"/>
          <w:color w:val="auto"/>
        </w:rPr>
        <w:t>新办公楼租赁费用</w:t>
      </w:r>
    </w:p>
    <w:p w14:paraId="35C6DE89">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项目支出预算执行情况</w:t>
      </w:r>
      <w:r>
        <w:rPr>
          <w:rFonts w:hint="eastAsia" w:ascii="仿宋_GB2312" w:hAnsi="仿宋_GB2312" w:cs="仿宋_GB2312"/>
          <w:sz w:val="32"/>
          <w:szCs w:val="32"/>
          <w:lang w:eastAsia="zh-CN"/>
        </w:rPr>
        <w:t>。</w:t>
      </w:r>
      <w:r>
        <w:rPr>
          <w:rFonts w:hint="eastAsia" w:ascii="仿宋_GB2312" w:hAnsi="仿宋_GB2312" w:eastAsia="仿宋_GB2312" w:cs="仿宋_GB2312"/>
          <w:b w:val="0"/>
          <w:bCs w:val="0"/>
          <w:sz w:val="32"/>
          <w:szCs w:val="32"/>
          <w:lang w:val="en-US" w:eastAsia="zh-CN"/>
        </w:rPr>
        <w:t>新办公大楼租赁工作经费项目年初预算296万元，全年执行数281.03万元，执行率96%。</w:t>
      </w:r>
      <w:r>
        <w:rPr>
          <w:rFonts w:hint="eastAsia" w:ascii="仿宋_GB2312" w:hAnsi="仿宋_GB2312" w:eastAsia="仿宋_GB2312" w:cs="仿宋_GB2312"/>
          <w:color w:val="auto"/>
          <w:sz w:val="32"/>
          <w:szCs w:val="32"/>
        </w:rPr>
        <w:br w:type="textWrapping"/>
      </w:r>
      <w:r>
        <w:rPr>
          <w:rFonts w:hint="eastAsia" w:ascii="仿宋_GB2312" w:hAnsi="仿宋_GB2312" w:eastAsia="仿宋_GB2312" w:cs="仿宋_GB2312"/>
          <w:sz w:val="32"/>
          <w:szCs w:val="32"/>
        </w:rPr>
        <w:t xml:space="preserve">    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总体绩效目标完成情况分析</w:t>
      </w:r>
      <w:r>
        <w:rPr>
          <w:rFonts w:hint="eastAsia" w:ascii="仿宋_GB2312" w:hAnsi="仿宋_GB2312" w:cs="仿宋_GB2312"/>
          <w:sz w:val="32"/>
          <w:szCs w:val="32"/>
          <w:lang w:eastAsia="zh-CN"/>
        </w:rPr>
        <w:t>。</w:t>
      </w:r>
      <w:r>
        <w:rPr>
          <w:rFonts w:hint="eastAsia" w:ascii="仿宋_GB2312" w:hAnsi="仿宋_GB2312" w:eastAsia="仿宋_GB2312" w:cs="仿宋_GB2312"/>
          <w:b w:val="0"/>
          <w:bCs w:val="0"/>
          <w:sz w:val="32"/>
          <w:szCs w:val="32"/>
          <w:lang w:val="en-US" w:eastAsia="zh-CN"/>
        </w:rPr>
        <w:t>改善现有办公环境，增设为民便民服务设施，提高办公效率，高效服务群众。</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各项指标完成情况分析</w:t>
      </w:r>
      <w:r>
        <w:rPr>
          <w:rFonts w:hint="eastAsia" w:ascii="仿宋_GB2312" w:hAnsi="仿宋_GB2312" w:cs="仿宋_GB2312"/>
          <w:sz w:val="32"/>
          <w:szCs w:val="32"/>
          <w:lang w:eastAsia="zh-CN"/>
        </w:rPr>
        <w:t>。</w:t>
      </w:r>
      <w:r>
        <w:rPr>
          <w:rFonts w:hint="eastAsia" w:ascii="仿宋_GB2312" w:hAnsi="仿宋_GB2312" w:eastAsia="仿宋_GB2312" w:cs="仿宋_GB2312"/>
          <w:b w:val="0"/>
          <w:bCs w:val="0"/>
          <w:sz w:val="32"/>
          <w:szCs w:val="32"/>
          <w:lang w:val="en-US" w:eastAsia="zh-CN"/>
        </w:rPr>
        <w:t>足额按季度支付办公大楼费用，搬迁入驻后尽快完善各项为民便民服务设施，保障园区政务正常运转，有效提高群众满意度。</w:t>
      </w:r>
    </w:p>
    <w:p w14:paraId="34210F6E">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4.偏离绩效目标的原因及下一步改进措施。剩余尾款于后期支付完成。</w:t>
      </w:r>
    </w:p>
    <w:p w14:paraId="5644B4CA">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ascii="楷体_GB2312" w:hAnsi="楷体_GB2312" w:eastAsia="楷体_GB2312" w:cs="楷体_GB2312"/>
          <w:b w:val="0"/>
          <w:bCs w:val="0"/>
          <w:color w:val="auto"/>
        </w:rPr>
      </w:pPr>
      <w:r>
        <w:rPr>
          <w:rFonts w:hint="eastAsia" w:ascii="楷体_GB2312" w:hAnsi="楷体_GB2312" w:eastAsia="楷体_GB2312" w:cs="楷体_GB2312"/>
          <w:b w:val="0"/>
          <w:bCs w:val="0"/>
          <w:color w:val="auto"/>
          <w:lang w:eastAsia="zh-CN"/>
        </w:rPr>
        <w:t>（</w:t>
      </w:r>
      <w:r>
        <w:rPr>
          <w:rFonts w:hint="eastAsia" w:ascii="楷体_GB2312" w:hAnsi="楷体_GB2312" w:eastAsia="楷体_GB2312" w:cs="楷体_GB2312"/>
          <w:b w:val="0"/>
          <w:bCs w:val="0"/>
          <w:color w:val="auto"/>
          <w:lang w:val="en-US" w:eastAsia="zh-CN"/>
        </w:rPr>
        <w:t>五</w:t>
      </w:r>
      <w:r>
        <w:rPr>
          <w:rFonts w:hint="eastAsia" w:ascii="楷体_GB2312" w:hAnsi="楷体_GB2312" w:eastAsia="楷体_GB2312" w:cs="楷体_GB2312"/>
          <w:b w:val="0"/>
          <w:bCs w:val="0"/>
          <w:color w:val="auto"/>
          <w:lang w:eastAsia="zh-CN"/>
        </w:rPr>
        <w:t>）</w:t>
      </w:r>
      <w:r>
        <w:rPr>
          <w:rFonts w:hint="eastAsia" w:ascii="楷体_GB2312" w:hAnsi="楷体_GB2312" w:eastAsia="楷体_GB2312" w:cs="楷体_GB2312"/>
          <w:b w:val="0"/>
          <w:bCs w:val="0"/>
          <w:color w:val="auto"/>
        </w:rPr>
        <w:t>项目</w:t>
      </w:r>
      <w:r>
        <w:rPr>
          <w:rFonts w:hint="eastAsia" w:ascii="楷体_GB2312" w:hAnsi="楷体_GB2312" w:eastAsia="楷体_GB2312" w:cs="楷体_GB2312"/>
          <w:b w:val="0"/>
          <w:bCs w:val="0"/>
          <w:color w:val="auto"/>
          <w:lang w:val="en-US" w:eastAsia="zh-CN"/>
        </w:rPr>
        <w:t>5：新宿舍楼租赁费用</w:t>
      </w:r>
    </w:p>
    <w:p w14:paraId="05038613">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项目支出预算执行情况</w:t>
      </w:r>
      <w:r>
        <w:rPr>
          <w:rFonts w:hint="eastAsia" w:ascii="仿宋_GB2312" w:hAnsi="仿宋_GB2312" w:cs="仿宋_GB2312"/>
          <w:color w:val="auto"/>
          <w:sz w:val="32"/>
          <w:szCs w:val="32"/>
          <w:lang w:eastAsia="zh-CN"/>
        </w:rPr>
        <w:t>。</w:t>
      </w:r>
      <w:r>
        <w:rPr>
          <w:rFonts w:hint="eastAsia" w:ascii="仿宋_GB2312" w:hAnsi="仿宋_GB2312" w:eastAsia="仿宋_GB2312" w:cs="仿宋_GB2312"/>
          <w:b w:val="0"/>
          <w:bCs w:val="0"/>
          <w:sz w:val="32"/>
          <w:szCs w:val="32"/>
          <w:lang w:val="en-US" w:eastAsia="zh-CN"/>
        </w:rPr>
        <w:t>新宿舍楼租赁工作经费项目年初预算121.5万元，全年执行数115.4万元，执行率96%。</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总体绩效目标完成情况分析</w:t>
      </w:r>
      <w:r>
        <w:rPr>
          <w:rFonts w:hint="eastAsia" w:ascii="仿宋_GB2312" w:hAnsi="仿宋_GB2312" w:cs="仿宋_GB2312"/>
          <w:sz w:val="32"/>
          <w:szCs w:val="32"/>
          <w:lang w:eastAsia="zh-CN"/>
        </w:rPr>
        <w:t>。</w:t>
      </w:r>
      <w:r>
        <w:rPr>
          <w:rFonts w:hint="eastAsia" w:ascii="仿宋_GB2312" w:hAnsi="仿宋_GB2312" w:eastAsia="仿宋_GB2312" w:cs="仿宋_GB2312"/>
          <w:b w:val="0"/>
          <w:bCs w:val="0"/>
          <w:sz w:val="32"/>
          <w:szCs w:val="32"/>
          <w:lang w:val="en-US" w:eastAsia="zh-CN"/>
        </w:rPr>
        <w:t>为园区干部职工提供良好的住宿环境，解决干部职工的后顾之忧，让大家全身心投入工作</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xml:space="preserve">    3</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各项指标完成情况分析</w:t>
      </w:r>
      <w:r>
        <w:rPr>
          <w:rFonts w:hint="eastAsia" w:ascii="仿宋_GB2312" w:hAnsi="仿宋_GB2312" w:cs="仿宋_GB2312"/>
          <w:sz w:val="32"/>
          <w:szCs w:val="32"/>
          <w:lang w:eastAsia="zh-CN"/>
        </w:rPr>
        <w:t>。</w:t>
      </w:r>
      <w:r>
        <w:rPr>
          <w:rFonts w:hint="eastAsia" w:ascii="仿宋_GB2312" w:hAnsi="仿宋_GB2312" w:eastAsia="仿宋_GB2312" w:cs="仿宋_GB2312"/>
          <w:b w:val="0"/>
          <w:bCs w:val="0"/>
          <w:sz w:val="32"/>
          <w:szCs w:val="32"/>
          <w:lang w:val="en-US" w:eastAsia="zh-CN"/>
        </w:rPr>
        <w:t>足额按季度支付新宿舍楼租赁费用，为园区干部职工提供良好的住宿环境，解决干部职工的后顾之忧，让大家全身心投入工作。</w:t>
      </w:r>
    </w:p>
    <w:p w14:paraId="482EB24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sz w:val="32"/>
          <w:lang w:val="en-US" w:eastAsia="zh-CN"/>
        </w:rPr>
      </w:pPr>
      <w:r>
        <w:rPr>
          <w:rFonts w:hint="eastAsia" w:ascii="仿宋_GB2312" w:hAnsi="仿宋_GB2312" w:eastAsia="仿宋_GB2312" w:cs="仿宋_GB2312"/>
          <w:sz w:val="32"/>
          <w:lang w:val="en-US" w:eastAsia="zh-CN"/>
        </w:rPr>
        <w:t>4.偏离绩效目标的原因及下一步改进措施。剩余尾款于后期支付完成。</w:t>
      </w:r>
    </w:p>
    <w:p w14:paraId="354793C6">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color w:val="auto"/>
          <w:lang w:val="en-US" w:eastAsia="zh-CN"/>
        </w:rPr>
      </w:pPr>
      <w:r>
        <w:rPr>
          <w:rFonts w:hint="eastAsia" w:ascii="楷体_GB2312" w:hAnsi="楷体_GB2312" w:eastAsia="楷体_GB2312" w:cs="楷体_GB2312"/>
          <w:b w:val="0"/>
          <w:bCs w:val="0"/>
          <w:color w:val="auto"/>
          <w:lang w:val="en-US" w:eastAsia="zh-CN"/>
        </w:rPr>
        <w:t>（六）项目6：园区新办公大楼及周边环境改造提升项目</w:t>
      </w:r>
    </w:p>
    <w:p w14:paraId="09547622">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1.项目支出预算执行情况</w:t>
      </w:r>
      <w:r>
        <w:rPr>
          <w:rFonts w:hint="eastAsia" w:ascii="仿宋_GB2312" w:hAnsi="仿宋_GB2312" w:cs="仿宋_GB2312"/>
          <w:lang w:val="en-US" w:eastAsia="zh-CN"/>
        </w:rPr>
        <w:t>。</w:t>
      </w:r>
      <w:r>
        <w:rPr>
          <w:rFonts w:hint="eastAsia" w:ascii="仿宋_GB2312" w:hAnsi="仿宋_GB2312" w:eastAsia="仿宋_GB2312" w:cs="仿宋_GB2312"/>
          <w:lang w:val="en-US" w:eastAsia="zh-CN"/>
        </w:rPr>
        <w:t>项目资金73.57万元，该项目为先实施考核后拨款项目，以最终审计结果为准，下一年度分两次付清。</w:t>
      </w:r>
    </w:p>
    <w:p w14:paraId="666612C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cs="仿宋_GB2312"/>
          <w:sz w:val="32"/>
          <w:szCs w:val="32"/>
          <w:lang w:val="en-US" w:eastAsia="zh-CN"/>
        </w:rPr>
      </w:pPr>
      <w:r>
        <w:rPr>
          <w:rFonts w:hint="eastAsia" w:ascii="仿宋_GB2312" w:hAnsi="仿宋_GB2312" w:eastAsia="仿宋_GB2312" w:cs="仿宋_GB2312"/>
          <w:sz w:val="32"/>
        </w:rPr>
        <w:t>2</w:t>
      </w:r>
      <w:r>
        <w:rPr>
          <w:rFonts w:hint="eastAsia" w:ascii="仿宋_GB2312" w:hAnsi="仿宋_GB2312" w:eastAsia="仿宋_GB2312" w:cs="仿宋_GB2312"/>
          <w:sz w:val="32"/>
          <w:lang w:val="en-US" w:eastAsia="zh-CN"/>
        </w:rPr>
        <w:t>.</w:t>
      </w:r>
      <w:r>
        <w:rPr>
          <w:rFonts w:hint="eastAsia" w:ascii="仿宋_GB2312" w:hAnsi="仿宋_GB2312" w:eastAsia="仿宋_GB2312" w:cs="仿宋_GB2312"/>
          <w:sz w:val="32"/>
        </w:rPr>
        <w:t>总体绩效目标完成情况分析</w:t>
      </w:r>
      <w:r>
        <w:rPr>
          <w:rFonts w:hint="eastAsia" w:ascii="仿宋_GB2312" w:hAnsi="仿宋_GB2312" w:eastAsia="仿宋_GB2312" w:cs="仿宋_GB2312"/>
          <w:sz w:val="32"/>
          <w:lang w:eastAsia="zh-CN"/>
        </w:rPr>
        <w:t>。</w:t>
      </w:r>
      <w:r>
        <w:rPr>
          <w:rFonts w:hint="eastAsia" w:ascii="仿宋_GB2312" w:hAnsi="仿宋_GB2312" w:eastAsia="仿宋_GB2312" w:cs="仿宋_GB2312"/>
          <w:sz w:val="32"/>
          <w:szCs w:val="32"/>
          <w:lang w:val="en-US" w:eastAsia="zh-CN"/>
        </w:rPr>
        <w:t>为了园区新办公搬迁工作顺利完成，改善园区办公环境，进一步优化便民服务条件，提升园区招商形象。及时组织施工，按计划完成施工内容，确保施工质量合格，总体绩效目标完成情况良好，保证园区顺路搬迁并正常开展工作。</w:t>
      </w:r>
      <w:r>
        <w:rPr>
          <w:rFonts w:hint="eastAsia" w:ascii="仿宋_GB2312" w:hAnsi="仿宋_GB2312" w:cs="仿宋_GB2312"/>
          <w:sz w:val="32"/>
          <w:szCs w:val="32"/>
          <w:lang w:val="en-US" w:eastAsia="zh-CN"/>
        </w:rPr>
        <w:t xml:space="preserve">  </w:t>
      </w:r>
    </w:p>
    <w:p w14:paraId="149CC6FF">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3.各项指标完成情况分析</w:t>
      </w:r>
      <w:r>
        <w:rPr>
          <w:rFonts w:hint="eastAsia" w:ascii="仿宋_GB2312" w:hAnsi="仿宋_GB2312" w:cs="仿宋_GB2312"/>
          <w:lang w:val="en-US" w:eastAsia="zh-CN"/>
        </w:rPr>
        <w:t>。</w:t>
      </w:r>
      <w:r>
        <w:rPr>
          <w:rFonts w:hint="eastAsia" w:ascii="仿宋_GB2312" w:hAnsi="仿宋_GB2312" w:eastAsia="仿宋_GB2312" w:cs="仿宋_GB2312"/>
          <w:lang w:val="en-US" w:eastAsia="zh-CN"/>
        </w:rPr>
        <w:t>数量指标：该项目按照计划工期完成所有施工内容，保障了园区的顺利搬迁，新办公区办公人数达到400人以上；质量指标：施工质量达到行业合格标准；时效指标：园区办公场所搬迁之前全部完成施工任务；社会效益指标：达到改善干部办公环境，提升园区整体形象目标；可持续影响指标：实现提高园区工作效率，完善园区功能设施计划；服务对象满意度指标：园区干部对办公环境改善满意，办事群众对园区环境较满意。</w:t>
      </w:r>
    </w:p>
    <w:p w14:paraId="2017673E">
      <w:pPr>
        <w:pStyle w:val="4"/>
        <w:keepNext w:val="0"/>
        <w:keepLines w:val="0"/>
        <w:pageBreakBefore w:val="0"/>
        <w:numPr>
          <w:ilvl w:val="0"/>
          <w:numId w:val="0"/>
        </w:numPr>
        <w:kinsoku/>
        <w:wordWrap/>
        <w:overflowPunct/>
        <w:topLinePunct w:val="0"/>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sz w:val="32"/>
          <w:lang w:val="en-US" w:eastAsia="zh-CN"/>
        </w:rPr>
        <w:t>4.偏离绩效目标的原因及下一步改进措施。</w:t>
      </w:r>
      <w:r>
        <w:rPr>
          <w:rFonts w:hint="eastAsia" w:ascii="仿宋_GB2312" w:hAnsi="仿宋_GB2312" w:eastAsia="仿宋_GB2312" w:cs="仿宋_GB2312"/>
          <w:color w:val="auto"/>
          <w:sz w:val="32"/>
          <w:szCs w:val="32"/>
          <w:lang w:val="en-US" w:eastAsia="zh-CN"/>
        </w:rPr>
        <w:t>该项目为先实施考核后拨款项目，以最终审计结果为准，下一年度分两次付清，下一步将完善功能细节，改善群众办事环境舒适度，提高群众对环境改进的满意度。</w:t>
      </w:r>
    </w:p>
    <w:p w14:paraId="53B2B839">
      <w:pPr>
        <w:pStyle w:val="4"/>
        <w:keepNext w:val="0"/>
        <w:keepLines w:val="0"/>
        <w:pageBreakBefore w:val="0"/>
        <w:numPr>
          <w:ilvl w:val="0"/>
          <w:numId w:val="0"/>
        </w:numPr>
        <w:kinsoku/>
        <w:wordWrap/>
        <w:overflowPunct/>
        <w:topLinePunct w:val="0"/>
        <w:autoSpaceDN/>
        <w:bidi w:val="0"/>
        <w:adjustRightInd w:val="0"/>
        <w:snapToGrid w:val="0"/>
        <w:spacing w:line="560" w:lineRule="exact"/>
        <w:ind w:leftChars="200"/>
        <w:textAlignment w:val="auto"/>
        <w:rPr>
          <w:rFonts w:hint="eastAsia" w:ascii="楷体_GB2312" w:hAnsi="楷体_GB2312" w:eastAsia="楷体_GB2312" w:cs="楷体_GB2312"/>
          <w:b w:val="0"/>
          <w:bCs w:val="0"/>
          <w:color w:val="auto"/>
          <w:kern w:val="2"/>
          <w:sz w:val="32"/>
          <w:szCs w:val="24"/>
          <w:lang w:val="en-US" w:eastAsia="zh-CN" w:bidi="ar-SA"/>
        </w:rPr>
      </w:pPr>
      <w:r>
        <w:rPr>
          <w:rFonts w:hint="eastAsia" w:ascii="楷体_GB2312" w:hAnsi="楷体_GB2312" w:eastAsia="楷体_GB2312" w:cs="楷体_GB2312"/>
          <w:b w:val="0"/>
          <w:bCs w:val="0"/>
          <w:color w:val="auto"/>
          <w:kern w:val="2"/>
          <w:sz w:val="32"/>
          <w:szCs w:val="24"/>
          <w:lang w:val="en-US" w:eastAsia="zh-CN" w:bidi="ar-SA"/>
        </w:rPr>
        <w:t>（七）项目7：慰问费</w:t>
      </w:r>
    </w:p>
    <w:p w14:paraId="0D4100F1">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1.项目支出预算执行情况</w:t>
      </w:r>
      <w:r>
        <w:rPr>
          <w:rFonts w:hint="eastAsia" w:ascii="仿宋_GB2312" w:hAnsi="仿宋_GB2312" w:cs="仿宋_GB2312"/>
          <w:color w:val="auto"/>
          <w:lang w:val="en-US" w:eastAsia="zh-CN"/>
        </w:rPr>
        <w:t>。</w:t>
      </w:r>
      <w:r>
        <w:rPr>
          <w:rFonts w:hint="eastAsia" w:ascii="仿宋_GB2312" w:hAnsi="仿宋_GB2312" w:eastAsia="仿宋_GB2312" w:cs="仿宋_GB2312"/>
          <w:color w:val="auto"/>
          <w:lang w:val="en-US" w:eastAsia="zh-CN"/>
        </w:rPr>
        <w:t>慰问费项目年初预算数0.8万元</w:t>
      </w:r>
      <w:r>
        <w:rPr>
          <w:rFonts w:hint="eastAsia" w:ascii="仿宋_GB2312" w:hAnsi="仿宋_GB2312" w:cs="仿宋_GB2312"/>
          <w:color w:val="auto"/>
          <w:lang w:val="en-US" w:eastAsia="zh-CN"/>
        </w:rPr>
        <w:t>，万元，</w:t>
      </w:r>
      <w:r>
        <w:rPr>
          <w:rFonts w:hint="eastAsia" w:ascii="仿宋_GB2312" w:hAnsi="仿宋_GB2312" w:eastAsia="仿宋_GB2312" w:cs="仿宋_GB2312"/>
          <w:color w:val="auto"/>
          <w:lang w:val="en-US" w:eastAsia="zh-CN"/>
        </w:rPr>
        <w:t>全年执行数</w:t>
      </w:r>
      <w:r>
        <w:rPr>
          <w:rFonts w:hint="eastAsia" w:ascii="仿宋_GB2312" w:hAnsi="仿宋_GB2312" w:cs="仿宋_GB2312"/>
          <w:color w:val="auto"/>
          <w:lang w:val="en-US" w:eastAsia="zh-CN"/>
        </w:rPr>
        <w:t>0.39131</w:t>
      </w:r>
      <w:r>
        <w:rPr>
          <w:rFonts w:hint="eastAsia" w:ascii="仿宋_GB2312" w:hAnsi="仿宋_GB2312" w:eastAsia="仿宋_GB2312" w:cs="仿宋_GB2312"/>
          <w:color w:val="auto"/>
          <w:lang w:val="en-US" w:eastAsia="zh-CN"/>
        </w:rPr>
        <w:t>万元，执行率49%。</w:t>
      </w:r>
    </w:p>
    <w:p w14:paraId="669EA8E9">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lang w:val="en-US" w:eastAsia="zh-CN"/>
        </w:rPr>
        <w:t>2.总</w:t>
      </w:r>
      <w:r>
        <w:rPr>
          <w:rFonts w:hint="eastAsia" w:ascii="仿宋_GB2312" w:hAnsi="仿宋_GB2312" w:eastAsia="仿宋_GB2312" w:cs="仿宋_GB2312"/>
          <w:color w:val="auto"/>
          <w:sz w:val="32"/>
        </w:rPr>
        <w:t>体绩效目标完成情况分析</w:t>
      </w:r>
      <w:r>
        <w:rPr>
          <w:rFonts w:hint="eastAsia" w:ascii="仿宋_GB2312" w:hAnsi="仿宋_GB2312" w:cs="仿宋_GB2312"/>
          <w:color w:val="auto"/>
          <w:sz w:val="32"/>
          <w:lang w:eastAsia="zh-CN"/>
        </w:rPr>
        <w:t>。</w:t>
      </w:r>
      <w:r>
        <w:rPr>
          <w:rFonts w:hint="eastAsia" w:ascii="仿宋_GB2312" w:hAnsi="仿宋_GB2312" w:eastAsia="仿宋_GB2312" w:cs="仿宋_GB2312"/>
          <w:color w:val="auto"/>
          <w:lang w:val="en-US" w:eastAsia="zh-CN"/>
        </w:rPr>
        <w:t>全面做好园区困难党员群众、基层党组织等慰问工作，上门发放慰问金及慰问品，深入了解困难党员群众的思想、生活、工作和家庭情况，传达党组织的关怀，帮助解决一些实际问题。把党和政府的关怀和温暖送到困难党员群众手中。</w:t>
      </w:r>
    </w:p>
    <w:p w14:paraId="3FCD949F">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auto"/>
        </w:rPr>
      </w:pPr>
      <w:r>
        <w:rPr>
          <w:rFonts w:hint="eastAsia" w:ascii="仿宋_GB2312" w:hAnsi="仿宋_GB2312" w:eastAsia="仿宋_GB2312" w:cs="仿宋_GB2312"/>
          <w:color w:val="auto"/>
          <w:lang w:val="en-US" w:eastAsia="zh-CN"/>
        </w:rPr>
        <w:t>3.各项指标完成情况分析</w:t>
      </w:r>
      <w:r>
        <w:rPr>
          <w:rFonts w:hint="eastAsia" w:ascii="仿宋_GB2312" w:hAnsi="仿宋_GB2312" w:cs="仿宋_GB2312"/>
          <w:color w:val="auto"/>
          <w:lang w:val="en-US" w:eastAsia="zh-CN"/>
        </w:rPr>
        <w:t>。</w:t>
      </w:r>
      <w:r>
        <w:rPr>
          <w:rFonts w:hint="eastAsia" w:ascii="仿宋_GB2312" w:hAnsi="仿宋_GB2312" w:eastAsia="仿宋_GB2312" w:cs="仿宋_GB2312"/>
          <w:color w:val="auto"/>
        </w:rPr>
        <w:t>慰问费项目产出指标全部完成，为慰问的群众、单位及时送去了合格的慰问品；社会效益取得明显改善，群众切实感受到党的关怀，密切了党群关系，取得了群众的信任和支持。共慰问基层党支部3个；驻村帮扶工作队5个，队员17人；困难党员、老党员39人；困难群众60人；辖区单位、企业9家，上门发放慰问金及慰问品，深入了解困难党员群众的思想、生活、工作和家庭情况，传达党组织的关怀，帮助解决一些实际问题。</w:t>
      </w:r>
    </w:p>
    <w:p w14:paraId="16E41580">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rPr>
        <w:t>4</w:t>
      </w:r>
      <w:r>
        <w:rPr>
          <w:rFonts w:hint="eastAsia" w:ascii="仿宋_GB2312" w:hAnsi="仿宋_GB2312" w:eastAsia="仿宋_GB2312" w:cs="仿宋_GB2312"/>
          <w:color w:val="auto"/>
          <w:lang w:val="en-US" w:eastAsia="zh-CN"/>
        </w:rPr>
        <w:t>.</w:t>
      </w:r>
      <w:r>
        <w:rPr>
          <w:rFonts w:hint="eastAsia" w:ascii="仿宋_GB2312" w:hAnsi="仿宋_GB2312" w:eastAsia="仿宋_GB2312" w:cs="仿宋_GB2312"/>
          <w:color w:val="auto"/>
        </w:rPr>
        <w:t>偏离绩效目标的原因及下一步改进措施</w:t>
      </w:r>
      <w:r>
        <w:rPr>
          <w:rFonts w:hint="eastAsia" w:ascii="仿宋_GB2312" w:hAnsi="仿宋_GB2312" w:cs="仿宋_GB2312"/>
          <w:color w:val="auto"/>
          <w:lang w:eastAsia="zh-CN"/>
        </w:rPr>
        <w:t>。</w:t>
      </w:r>
      <w:r>
        <w:rPr>
          <w:rFonts w:hint="eastAsia" w:ascii="仿宋_GB2312" w:hAnsi="仿宋_GB2312" w:eastAsia="仿宋_GB2312" w:cs="仿宋_GB2312"/>
          <w:color w:val="auto"/>
          <w:lang w:eastAsia="zh-CN"/>
        </w:rPr>
        <w:t>统计的过程中，未能有效的统计。改进措施：全面对慰问群众进行摸底，对真正困难的群众进行慰问，使用科学的统计计算方法，让它的结果更加精准。</w:t>
      </w:r>
    </w:p>
    <w:p w14:paraId="68939AB4">
      <w:pPr>
        <w:pStyle w:val="8"/>
        <w:keepNext w:val="0"/>
        <w:keepLines w:val="0"/>
        <w:pageBreakBefore w:val="0"/>
        <w:widowControl w:val="0"/>
        <w:numPr>
          <w:ilvl w:val="0"/>
          <w:numId w:val="3"/>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color w:val="auto"/>
          <w:lang w:val="en-US" w:eastAsia="zh-CN"/>
        </w:rPr>
      </w:pPr>
      <w:r>
        <w:rPr>
          <w:rFonts w:hint="eastAsia" w:ascii="楷体_GB2312" w:hAnsi="楷体_GB2312" w:eastAsia="楷体_GB2312" w:cs="楷体_GB2312"/>
          <w:b w:val="0"/>
          <w:bCs w:val="0"/>
          <w:color w:val="auto"/>
          <w:lang w:val="en-US" w:eastAsia="zh-CN"/>
        </w:rPr>
        <w:t>项目8：农村公路新建及提升改造工程前期费用</w:t>
      </w:r>
    </w:p>
    <w:p w14:paraId="771DC11B">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outlineLvl w:val="9"/>
        <w:rPr>
          <w:rFonts w:hint="eastAsia" w:ascii="仿宋_GB2312" w:hAnsi="仿宋_GB2312" w:cs="仿宋_GB2312"/>
          <w:color w:val="auto"/>
          <w:lang w:eastAsia="zh-CN"/>
        </w:rPr>
      </w:pPr>
      <w:r>
        <w:rPr>
          <w:rFonts w:hint="eastAsia" w:ascii="仿宋_GB2312" w:hAnsi="仿宋_GB2312" w:cs="仿宋_GB2312"/>
          <w:color w:val="auto"/>
          <w:lang w:eastAsia="zh-CN"/>
        </w:rPr>
        <w:t>（</w:t>
      </w:r>
      <w:r>
        <w:rPr>
          <w:rFonts w:hint="eastAsia" w:ascii="仿宋_GB2312" w:hAnsi="仿宋_GB2312" w:cs="仿宋_GB2312"/>
          <w:color w:val="auto"/>
          <w:lang w:val="en-US" w:eastAsia="zh-CN"/>
        </w:rPr>
        <w:t>项目管理费</w:t>
      </w:r>
      <w:r>
        <w:rPr>
          <w:rFonts w:hint="eastAsia" w:ascii="仿宋_GB2312" w:hAnsi="仿宋_GB2312" w:cs="仿宋_GB2312"/>
          <w:color w:val="auto"/>
          <w:lang w:eastAsia="zh-CN"/>
        </w:rPr>
        <w:t>）</w:t>
      </w:r>
    </w:p>
    <w:p w14:paraId="40507A6E">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auto"/>
          <w:sz w:val="32"/>
        </w:rPr>
      </w:pPr>
      <w:r>
        <w:rPr>
          <w:rFonts w:hint="eastAsia" w:ascii="仿宋_GB2312" w:hAnsi="仿宋_GB2312" w:eastAsia="仿宋_GB2312" w:cs="仿宋_GB2312"/>
          <w:color w:val="auto"/>
        </w:rPr>
        <w:t>1</w:t>
      </w:r>
      <w:r>
        <w:rPr>
          <w:rFonts w:hint="eastAsia" w:ascii="仿宋_GB2312" w:hAnsi="仿宋_GB2312" w:eastAsia="仿宋_GB2312" w:cs="仿宋_GB2312"/>
          <w:color w:val="auto"/>
          <w:lang w:val="en-US" w:eastAsia="zh-CN"/>
        </w:rPr>
        <w:t>.</w:t>
      </w:r>
      <w:r>
        <w:rPr>
          <w:rFonts w:hint="eastAsia" w:ascii="仿宋_GB2312" w:hAnsi="仿宋_GB2312" w:eastAsia="仿宋_GB2312" w:cs="仿宋_GB2312"/>
          <w:color w:val="auto"/>
        </w:rPr>
        <w:t>项目支出预算执行情况</w:t>
      </w:r>
      <w:r>
        <w:rPr>
          <w:rFonts w:hint="eastAsia" w:ascii="仿宋_GB2312" w:hAnsi="仿宋_GB2312" w:cs="仿宋_GB2312"/>
          <w:color w:val="auto"/>
          <w:lang w:eastAsia="zh-CN"/>
        </w:rPr>
        <w:t>。</w:t>
      </w:r>
      <w:r>
        <w:rPr>
          <w:rFonts w:hint="eastAsia" w:ascii="仿宋_GB2312" w:hAnsi="仿宋_GB2312" w:eastAsia="仿宋_GB2312" w:cs="仿宋_GB2312"/>
          <w:color w:val="auto"/>
          <w:sz w:val="32"/>
          <w:lang w:val="en-US" w:eastAsia="zh-CN"/>
        </w:rPr>
        <w:t>安排2021年衔接推进乡村振兴补助资金项目建设任务涉及陈家井村、漫湾村、团庄村、岘子村农村公路新建及提升改造工程前期费用（项目管理费）资金2万元，为项目检测技术服务费用。</w:t>
      </w:r>
      <w:r>
        <w:rPr>
          <w:rFonts w:hint="eastAsia" w:ascii="仿宋_GB2312" w:hAnsi="仿宋_GB2312" w:eastAsia="仿宋_GB2312" w:cs="仿宋_GB2312"/>
          <w:color w:val="auto"/>
          <w:sz w:val="32"/>
        </w:rPr>
        <w:t xml:space="preserve">    </w:t>
      </w:r>
    </w:p>
    <w:p w14:paraId="3DAA1A4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color w:val="auto"/>
          <w:sz w:val="32"/>
        </w:rPr>
        <w:t>2</w:t>
      </w:r>
      <w:r>
        <w:rPr>
          <w:rFonts w:hint="eastAsia" w:ascii="仿宋_GB2312" w:hAnsi="仿宋_GB2312" w:eastAsia="仿宋_GB2312" w:cs="仿宋_GB2312"/>
          <w:color w:val="auto"/>
          <w:sz w:val="32"/>
          <w:lang w:val="en-US" w:eastAsia="zh-CN"/>
        </w:rPr>
        <w:t>.</w:t>
      </w:r>
      <w:r>
        <w:rPr>
          <w:rFonts w:hint="eastAsia" w:ascii="仿宋_GB2312" w:hAnsi="仿宋_GB2312" w:eastAsia="仿宋_GB2312" w:cs="仿宋_GB2312"/>
          <w:color w:val="auto"/>
          <w:sz w:val="32"/>
        </w:rPr>
        <w:t>总体绩效目标完成情况分析</w:t>
      </w:r>
      <w:r>
        <w:rPr>
          <w:rFonts w:hint="eastAsia" w:ascii="仿宋_GB2312" w:hAnsi="仿宋_GB2312" w:eastAsia="仿宋_GB2312" w:cs="仿宋_GB2312"/>
          <w:color w:val="auto"/>
          <w:sz w:val="32"/>
          <w:lang w:eastAsia="zh-CN"/>
        </w:rPr>
        <w:t>。</w:t>
      </w:r>
      <w:r>
        <w:rPr>
          <w:rFonts w:hint="eastAsia" w:ascii="仿宋_GB2312" w:hAnsi="仿宋_GB2312" w:eastAsia="仿宋_GB2312" w:cs="仿宋_GB2312"/>
          <w:color w:val="auto"/>
          <w:sz w:val="32"/>
          <w:lang w:val="en-US" w:eastAsia="zh-CN"/>
        </w:rPr>
        <w:t>严格按照项目建设基本程序及年度目标任务，全面完成了项目建设任务，并会同相关职能部门进行了交工验收，及时拨付项目建筑安装费用和部分项目管理费用，全力保障项目顺利施工完成，村民出行条件明显改善。</w:t>
      </w:r>
      <w:r>
        <w:rPr>
          <w:rFonts w:hint="eastAsia" w:ascii="仿宋_GB2312" w:hAnsi="仿宋_GB2312" w:eastAsia="仿宋_GB2312" w:cs="仿宋_GB2312"/>
          <w:color w:val="auto"/>
          <w:sz w:val="32"/>
          <w:lang w:val="en-US" w:eastAsia="zh-CN"/>
        </w:rPr>
        <w:br w:type="textWrapping"/>
      </w:r>
      <w:r>
        <w:rPr>
          <w:rFonts w:hint="eastAsia" w:ascii="仿宋_GB2312" w:hAnsi="仿宋_GB2312" w:eastAsia="仿宋_GB2312" w:cs="仿宋_GB2312"/>
          <w:color w:val="C00000"/>
          <w:sz w:val="32"/>
        </w:rPr>
        <w:t xml:space="preserve">    </w:t>
      </w:r>
      <w:r>
        <w:rPr>
          <w:rFonts w:hint="eastAsia" w:ascii="仿宋_GB2312" w:hAnsi="仿宋_GB2312" w:eastAsia="仿宋_GB2312" w:cs="仿宋_GB2312"/>
          <w:color w:val="auto"/>
          <w:sz w:val="32"/>
        </w:rPr>
        <w:t>3</w:t>
      </w:r>
      <w:r>
        <w:rPr>
          <w:rFonts w:hint="eastAsia" w:ascii="仿宋_GB2312" w:hAnsi="仿宋_GB2312" w:eastAsia="仿宋_GB2312" w:cs="仿宋_GB2312"/>
          <w:color w:val="auto"/>
          <w:sz w:val="32"/>
          <w:lang w:val="en-US" w:eastAsia="zh-CN"/>
        </w:rPr>
        <w:t>.</w:t>
      </w:r>
      <w:r>
        <w:rPr>
          <w:rFonts w:hint="eastAsia" w:ascii="仿宋_GB2312" w:hAnsi="仿宋_GB2312" w:eastAsia="仿宋_GB2312" w:cs="仿宋_GB2312"/>
          <w:color w:val="auto"/>
          <w:sz w:val="32"/>
        </w:rPr>
        <w:t>各项指标完成情况分析</w:t>
      </w:r>
      <w:r>
        <w:rPr>
          <w:rFonts w:hint="eastAsia" w:ascii="仿宋_GB2312" w:hAnsi="仿宋_GB2312" w:eastAsia="仿宋_GB2312" w:cs="仿宋_GB2312"/>
          <w:color w:val="auto"/>
          <w:sz w:val="32"/>
          <w:lang w:eastAsia="zh-CN"/>
        </w:rPr>
        <w:t>。</w:t>
      </w:r>
      <w:r>
        <w:rPr>
          <w:rFonts w:hint="eastAsia" w:ascii="仿宋_GB2312" w:hAnsi="仿宋_GB2312" w:eastAsia="仿宋_GB2312" w:cs="仿宋_GB2312"/>
          <w:b w:val="0"/>
          <w:bCs w:val="0"/>
          <w:sz w:val="32"/>
          <w:szCs w:val="32"/>
          <w:lang w:val="en-US" w:eastAsia="zh-CN"/>
        </w:rPr>
        <w:t>产出指标得分情况分析：年度安排资金2万元为2021年衔接推进乡村振兴补助资金项目建设任务涉及陈家井村、漫湾村、团庄村、岘子村农村公路新建及提升改造工程前期费用（项目管理费），我局严格按照财务管理规定及项目建设计划及时审核项目建设预算资金，有效保障项目顺利实施，同时督促建设单位按期完成项目建设任务，并交工验收合格，合格率100%，实际拨付上级下达的建筑安装费用在计划成本控制范围内，没有超出预算安排资金。</w:t>
      </w:r>
      <w:r>
        <w:rPr>
          <w:rFonts w:hint="eastAsia" w:ascii="仿宋_GB2312" w:hAnsi="仿宋_GB2312" w:eastAsia="仿宋_GB2312" w:cs="仿宋_GB2312"/>
          <w:b w:val="0"/>
          <w:bCs w:val="0"/>
          <w:kern w:val="2"/>
          <w:sz w:val="32"/>
          <w:szCs w:val="32"/>
          <w:lang w:val="en-US" w:eastAsia="zh-CN" w:bidi="ar-SA"/>
        </w:rPr>
        <w:t>效益指标得分情况分析：</w:t>
      </w:r>
      <w:r>
        <w:rPr>
          <w:rFonts w:hint="eastAsia" w:ascii="仿宋_GB2312" w:hAnsi="仿宋_GB2312" w:eastAsia="仿宋_GB2312" w:cs="仿宋_GB2312"/>
          <w:b w:val="0"/>
          <w:bCs w:val="0"/>
          <w:sz w:val="32"/>
          <w:szCs w:val="32"/>
          <w:lang w:val="en-US" w:eastAsia="zh-CN"/>
        </w:rPr>
        <w:t>项目的建成投用，进一步提升了村道的强度和耐久性，改善了村民通行条件和交通状况，提高车辆行驶的安全性、便捷性。同时村道硬化后，扬尘明显降低，道路行驶环境得到明显改善，环境质量得到明显提升，使用时间得到明显延长，有效促进了经济社会高质量发展，可持续影响显著。</w:t>
      </w:r>
      <w:r>
        <w:rPr>
          <w:rFonts w:hint="eastAsia" w:ascii="仿宋_GB2312" w:hAnsi="仿宋_GB2312" w:eastAsia="仿宋_GB2312" w:cs="仿宋_GB2312"/>
          <w:b w:val="0"/>
          <w:bCs w:val="0"/>
          <w:kern w:val="2"/>
          <w:sz w:val="32"/>
          <w:szCs w:val="32"/>
          <w:lang w:val="en-US" w:eastAsia="zh-CN" w:bidi="ar-SA"/>
        </w:rPr>
        <w:t>满意度指标得分情况分析：</w:t>
      </w:r>
      <w:r>
        <w:rPr>
          <w:rFonts w:hint="eastAsia" w:ascii="仿宋_GB2312" w:hAnsi="仿宋_GB2312" w:eastAsia="仿宋_GB2312" w:cs="仿宋_GB2312"/>
          <w:b w:val="0"/>
          <w:bCs w:val="0"/>
          <w:sz w:val="32"/>
          <w:szCs w:val="32"/>
          <w:lang w:val="en-US" w:eastAsia="zh-CN"/>
        </w:rPr>
        <w:t>通过道路硬化项目实施，周边居民满意度明显增强，服务效果明显。</w:t>
      </w:r>
    </w:p>
    <w:p w14:paraId="4A004603">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lang w:val="en-US" w:eastAsia="zh-CN"/>
        </w:rPr>
      </w:pPr>
      <w:r>
        <w:rPr>
          <w:rFonts w:hint="eastAsia" w:ascii="仿宋_GB2312" w:hAnsi="仿宋_GB2312" w:eastAsia="仿宋_GB2312" w:cs="仿宋_GB2312"/>
          <w:color w:val="auto"/>
        </w:rPr>
        <w:t>4</w:t>
      </w:r>
      <w:r>
        <w:rPr>
          <w:rFonts w:hint="eastAsia" w:ascii="仿宋_GB2312" w:hAnsi="仿宋_GB2312" w:eastAsia="仿宋_GB2312" w:cs="仿宋_GB2312"/>
          <w:color w:val="auto"/>
          <w:lang w:val="en-US" w:eastAsia="zh-CN"/>
        </w:rPr>
        <w:t>.</w:t>
      </w:r>
      <w:r>
        <w:rPr>
          <w:rFonts w:hint="eastAsia" w:ascii="仿宋_GB2312" w:hAnsi="仿宋_GB2312" w:eastAsia="仿宋_GB2312" w:cs="仿宋_GB2312"/>
          <w:color w:val="auto"/>
        </w:rPr>
        <w:t>偏离绩效目标的原因及下一步改进措施</w:t>
      </w:r>
      <w:r>
        <w:rPr>
          <w:rFonts w:hint="eastAsia" w:ascii="仿宋_GB2312" w:hAnsi="仿宋_GB2312" w:cs="仿宋_GB2312"/>
          <w:color w:val="auto"/>
          <w:lang w:eastAsia="zh-CN"/>
        </w:rPr>
        <w:t>。</w:t>
      </w:r>
      <w:r>
        <w:rPr>
          <w:rFonts w:hint="eastAsia" w:ascii="仿宋_GB2312" w:hAnsi="仿宋_GB2312" w:eastAsia="仿宋_GB2312" w:cs="仿宋_GB2312"/>
          <w:color w:val="auto"/>
          <w:sz w:val="32"/>
          <w:lang w:val="en-US" w:eastAsia="zh-CN"/>
        </w:rPr>
        <w:t>根据《技术服务合同》中：“现场检测完成，乙方出具正式检测报告后，甲方一次性支付乙方检测费用100%”约定，目前项目未完成竣工验收，且检测单位未出具正式检测报告，故检测费用无法按合同约定拨付。</w:t>
      </w:r>
    </w:p>
    <w:p w14:paraId="293B28E1">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color w:val="auto"/>
          <w:lang w:val="en-US" w:eastAsia="zh-CN"/>
        </w:rPr>
      </w:pPr>
      <w:r>
        <w:rPr>
          <w:rFonts w:hint="eastAsia" w:ascii="楷体_GB2312" w:hAnsi="楷体_GB2312" w:eastAsia="楷体_GB2312" w:cs="楷体_GB2312"/>
          <w:b w:val="0"/>
          <w:bCs w:val="0"/>
          <w:color w:val="auto"/>
          <w:lang w:val="en-US" w:eastAsia="zh-CN"/>
        </w:rPr>
        <w:t>（九）项目9：招商引资工作经费</w:t>
      </w:r>
    </w:p>
    <w:p w14:paraId="4A39465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rPr>
        <w:t>1</w:t>
      </w:r>
      <w:r>
        <w:rPr>
          <w:rFonts w:hint="eastAsia" w:ascii="仿宋_GB2312" w:hAnsi="仿宋_GB2312" w:eastAsia="仿宋_GB2312" w:cs="仿宋_GB2312"/>
          <w:color w:val="auto"/>
          <w:sz w:val="32"/>
          <w:lang w:val="en-US" w:eastAsia="zh-CN"/>
        </w:rPr>
        <w:t>.</w:t>
      </w:r>
      <w:r>
        <w:rPr>
          <w:rFonts w:hint="eastAsia" w:ascii="仿宋_GB2312" w:hAnsi="仿宋_GB2312" w:eastAsia="仿宋_GB2312" w:cs="仿宋_GB2312"/>
          <w:color w:val="auto"/>
          <w:sz w:val="32"/>
        </w:rPr>
        <w:t>项目支出预算执行情况</w:t>
      </w:r>
      <w:r>
        <w:rPr>
          <w:rFonts w:hint="eastAsia" w:ascii="仿宋_GB2312" w:hAnsi="仿宋_GB2312" w:eastAsia="仿宋_GB2312" w:cs="仿宋_GB2312"/>
          <w:color w:val="auto"/>
          <w:sz w:val="32"/>
          <w:lang w:eastAsia="zh-CN"/>
        </w:rPr>
        <w:t>。</w:t>
      </w:r>
      <w:r>
        <w:rPr>
          <w:rFonts w:hint="eastAsia" w:ascii="仿宋_GB2312" w:hAnsi="仿宋_GB2312" w:eastAsia="仿宋_GB2312" w:cs="仿宋_GB2312"/>
          <w:sz w:val="32"/>
          <w:szCs w:val="32"/>
          <w:lang w:val="en-US" w:eastAsia="zh-CN"/>
        </w:rPr>
        <w:t>预算数18.8万元，全年支出16.64715万元，执行率88.55%。</w:t>
      </w:r>
    </w:p>
    <w:p w14:paraId="1557D501">
      <w:pPr>
        <w:keepNext w:val="0"/>
        <w:keepLines w:val="0"/>
        <w:pageBreakBefore w:val="0"/>
        <w:widowControl w:val="0"/>
        <w:kinsoku/>
        <w:wordWrap/>
        <w:overflowPunct/>
        <w:topLinePunct w:val="0"/>
        <w:autoSpaceDE/>
        <w:autoSpaceDN/>
        <w:bidi w:val="0"/>
        <w:adjustRightInd w:val="0"/>
        <w:snapToGrid w:val="0"/>
        <w:spacing w:line="560" w:lineRule="exact"/>
        <w:ind w:firstLine="640"/>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color w:val="auto"/>
          <w:sz w:val="32"/>
        </w:rPr>
        <w:t>2</w:t>
      </w:r>
      <w:r>
        <w:rPr>
          <w:rFonts w:hint="eastAsia" w:ascii="仿宋_GB2312" w:hAnsi="仿宋_GB2312" w:eastAsia="仿宋_GB2312" w:cs="仿宋_GB2312"/>
          <w:color w:val="auto"/>
          <w:sz w:val="32"/>
          <w:lang w:val="en-US" w:eastAsia="zh-CN"/>
        </w:rPr>
        <w:t>.</w:t>
      </w:r>
      <w:r>
        <w:rPr>
          <w:rFonts w:hint="eastAsia" w:ascii="仿宋_GB2312" w:hAnsi="仿宋_GB2312" w:eastAsia="仿宋_GB2312" w:cs="仿宋_GB2312"/>
          <w:color w:val="auto"/>
          <w:sz w:val="32"/>
        </w:rPr>
        <w:t>总体绩效目标完成情况分析</w:t>
      </w:r>
      <w:r>
        <w:rPr>
          <w:rFonts w:hint="eastAsia" w:ascii="仿宋_GB2312" w:hAnsi="仿宋_GB2312" w:eastAsia="仿宋_GB2312" w:cs="仿宋_GB2312"/>
          <w:color w:val="auto"/>
          <w:sz w:val="32"/>
          <w:lang w:eastAsia="zh-CN"/>
        </w:rPr>
        <w:t>。</w:t>
      </w:r>
      <w:r>
        <w:rPr>
          <w:rFonts w:hint="eastAsia" w:ascii="仿宋_GB2312" w:eastAsia="仿宋_GB2312"/>
          <w:sz w:val="32"/>
          <w:szCs w:val="32"/>
        </w:rPr>
        <w:t>全年引进甘肃全民通营业性射击场、甘肃信息科技学院二期等5个项目。先后7次赴京津冀、长三角、珠三角等地开展招商活动，</w:t>
      </w:r>
      <w:r>
        <w:rPr>
          <w:rFonts w:hint="eastAsia" w:ascii="仿宋_GB2312" w:hAnsi="仿宋_GB2312" w:eastAsia="仿宋_GB2312" w:cs="仿宋_GB2312"/>
          <w:sz w:val="32"/>
          <w:szCs w:val="32"/>
        </w:rPr>
        <w:t>2次组织辖区企业赴银川、成都等地参加各类展览展会、招商推介活动，</w:t>
      </w:r>
      <w:r>
        <w:rPr>
          <w:rFonts w:hint="eastAsia" w:ascii="仿宋_GB2312" w:eastAsia="仿宋_GB2312"/>
          <w:sz w:val="32"/>
          <w:szCs w:val="32"/>
        </w:rPr>
        <w:t>实地考察合肥联东U谷产业园区、上海东方美谷生物科技园区运营现状，为规划打造南部片区中小企业创新创业孵化园提供借鉴发展经验；</w:t>
      </w:r>
      <w:r>
        <w:rPr>
          <w:rFonts w:hint="eastAsia" w:ascii="仿宋_GB2312" w:hAnsi="仿宋_GB2312" w:eastAsia="仿宋_GB2312" w:cs="仿宋_GB2312"/>
          <w:sz w:val="32"/>
          <w:szCs w:val="32"/>
        </w:rPr>
        <w:t>与东方教育、金山能源、信义光能、筑能科技、金源鸿、顺丰速运等投资意向强烈企业进行对接，力促项目签约落地</w:t>
      </w:r>
      <w:r>
        <w:rPr>
          <w:rFonts w:hint="eastAsia" w:ascii="仿宋_GB2312" w:hAnsi="仿宋_GB2312" w:eastAsia="仿宋_GB2312" w:cs="仿宋_GB2312"/>
          <w:sz w:val="32"/>
          <w:szCs w:val="32"/>
          <w:lang w:eastAsia="zh-CN"/>
        </w:rPr>
        <w:t>，</w:t>
      </w:r>
      <w:r>
        <w:rPr>
          <w:rFonts w:hint="eastAsia" w:ascii="仿宋_GB2312" w:eastAsia="仿宋_GB2312"/>
          <w:sz w:val="32"/>
          <w:szCs w:val="32"/>
        </w:rPr>
        <w:t>设计制作</w:t>
      </w:r>
      <w:r>
        <w:rPr>
          <w:rFonts w:hint="eastAsia" w:ascii="仿宋_GB2312" w:hAnsi="仿宋_GB2312" w:eastAsia="仿宋_GB2312" w:cs="仿宋_GB2312"/>
          <w:color w:val="000000" w:themeColor="text1"/>
          <w:sz w:val="32"/>
          <w:szCs w:val="32"/>
          <w14:textFill>
            <w14:solidFill>
              <w14:schemeClr w14:val="tx1"/>
            </w14:solidFill>
          </w14:textFill>
        </w:rPr>
        <w:t>旅游路线图册和“遇见西岔”立体书1000余册，发放到各酒店和商业综合体，有效宣传园区旅游资源</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制作《西岔掠影》宣传画册，全方位展示园区5年来的建设发展成就</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sz w:val="32"/>
          <w:szCs w:val="32"/>
          <w:lang w:val="en-US" w:eastAsia="zh-CN"/>
        </w:rPr>
        <w:t>招商引资工作效能得到显著发挥。</w:t>
      </w:r>
      <w:r>
        <w:rPr>
          <w:rFonts w:hint="eastAsia" w:ascii="仿宋_GB2312" w:hAnsi="仿宋_GB2312" w:eastAsia="仿宋_GB2312" w:cs="仿宋_GB2312"/>
          <w:color w:val="C00000"/>
          <w:sz w:val="32"/>
        </w:rPr>
        <w:br w:type="textWrapping"/>
      </w:r>
      <w:r>
        <w:rPr>
          <w:rFonts w:hint="eastAsia" w:ascii="仿宋_GB2312" w:hAnsi="仿宋_GB2312" w:eastAsia="仿宋_GB2312" w:cs="仿宋_GB2312"/>
          <w:color w:val="C00000"/>
          <w:sz w:val="32"/>
        </w:rPr>
        <w:t xml:space="preserve">    </w:t>
      </w:r>
      <w:r>
        <w:rPr>
          <w:rFonts w:hint="eastAsia" w:ascii="仿宋_GB2312" w:hAnsi="仿宋_GB2312" w:eastAsia="仿宋_GB2312" w:cs="仿宋_GB2312"/>
          <w:color w:val="auto"/>
          <w:sz w:val="32"/>
        </w:rPr>
        <w:t>3</w:t>
      </w:r>
      <w:r>
        <w:rPr>
          <w:rFonts w:hint="eastAsia" w:ascii="仿宋_GB2312" w:hAnsi="仿宋_GB2312" w:eastAsia="仿宋_GB2312" w:cs="仿宋_GB2312"/>
          <w:color w:val="auto"/>
          <w:sz w:val="32"/>
          <w:lang w:val="en-US" w:eastAsia="zh-CN"/>
        </w:rPr>
        <w:t>.</w:t>
      </w:r>
      <w:r>
        <w:rPr>
          <w:rFonts w:hint="eastAsia" w:ascii="仿宋_GB2312" w:hAnsi="仿宋_GB2312" w:eastAsia="仿宋_GB2312" w:cs="仿宋_GB2312"/>
          <w:color w:val="auto"/>
          <w:sz w:val="32"/>
        </w:rPr>
        <w:t>各项指标完成情况分析</w:t>
      </w:r>
      <w:r>
        <w:rPr>
          <w:rFonts w:hint="eastAsia" w:ascii="仿宋_GB2312" w:hAnsi="仿宋_GB2312" w:eastAsia="仿宋_GB2312" w:cs="仿宋_GB2312"/>
          <w:color w:val="auto"/>
          <w:sz w:val="32"/>
          <w:lang w:eastAsia="zh-CN"/>
        </w:rPr>
        <w:t>。</w:t>
      </w:r>
      <w:r>
        <w:rPr>
          <w:rFonts w:hint="eastAsia" w:ascii="仿宋_GB2312" w:hAnsi="仿宋_GB2312" w:eastAsia="仿宋_GB2312" w:cs="仿宋_GB2312"/>
          <w:b w:val="0"/>
          <w:bCs w:val="0"/>
          <w:sz w:val="32"/>
          <w:szCs w:val="32"/>
          <w:lang w:val="en-US" w:eastAsia="zh-CN"/>
        </w:rPr>
        <w:t>产出指标：根据预算将项目工作经费划分为外出考察招商费，项目对接费，兰洽会专项经费及宣传资料印制费用，各项经费基本都能按时保质保量完成。</w:t>
      </w:r>
      <w:r>
        <w:rPr>
          <w:rFonts w:hint="eastAsia" w:ascii="仿宋_GB2312" w:eastAsia="仿宋_GB2312"/>
          <w:b w:val="0"/>
          <w:bCs w:val="0"/>
          <w:sz w:val="32"/>
          <w:szCs w:val="32"/>
        </w:rPr>
        <w:t>先后7次赴京津冀、长三角、珠三角等地开展招商活动，</w:t>
      </w:r>
      <w:r>
        <w:rPr>
          <w:rFonts w:hint="eastAsia" w:ascii="仿宋_GB2312" w:hAnsi="仿宋_GB2312" w:eastAsia="仿宋_GB2312" w:cs="仿宋_GB2312"/>
          <w:b w:val="0"/>
          <w:bCs w:val="0"/>
          <w:sz w:val="32"/>
          <w:szCs w:val="32"/>
        </w:rPr>
        <w:t>2次组织辖区企业赴银川、成都等地参加各类展览展会、招商推介活动，</w:t>
      </w:r>
      <w:r>
        <w:rPr>
          <w:rFonts w:hint="eastAsia" w:ascii="仿宋_GB2312" w:eastAsia="仿宋_GB2312"/>
          <w:b w:val="0"/>
          <w:bCs w:val="0"/>
          <w:sz w:val="32"/>
          <w:szCs w:val="32"/>
        </w:rPr>
        <w:t>实地考察合肥联东U谷产业园区、上海东方美谷生物科技园区运营现状，为规划打造南部片区中小企业创新创业孵化园提供借鉴发展经验；</w:t>
      </w:r>
      <w:r>
        <w:rPr>
          <w:rFonts w:hint="eastAsia" w:ascii="仿宋_GB2312" w:hAnsi="仿宋_GB2312" w:eastAsia="仿宋_GB2312" w:cs="仿宋_GB2312"/>
          <w:b w:val="0"/>
          <w:bCs w:val="0"/>
          <w:sz w:val="32"/>
          <w:szCs w:val="32"/>
        </w:rPr>
        <w:t>与东方教育、金山能源、信义光能、筑能科技、金源鸿、顺丰速运等投资意向强烈企业进行对接，力促项目签约落地</w:t>
      </w:r>
      <w:r>
        <w:rPr>
          <w:rFonts w:hint="eastAsia" w:ascii="仿宋_GB2312" w:hAnsi="仿宋_GB2312" w:eastAsia="仿宋_GB2312" w:cs="仿宋_GB2312"/>
          <w:b w:val="0"/>
          <w:bCs w:val="0"/>
          <w:sz w:val="32"/>
          <w:szCs w:val="32"/>
          <w:lang w:eastAsia="zh-CN"/>
        </w:rPr>
        <w:t>；</w:t>
      </w:r>
      <w:r>
        <w:rPr>
          <w:rFonts w:hint="eastAsia" w:ascii="仿宋_GB2312" w:eastAsia="仿宋_GB2312"/>
          <w:b w:val="0"/>
          <w:bCs w:val="0"/>
          <w:sz w:val="32"/>
          <w:szCs w:val="32"/>
        </w:rPr>
        <w:t>设计制作</w:t>
      </w:r>
      <w:r>
        <w:rPr>
          <w:rFonts w:hint="eastAsia" w:ascii="仿宋_GB2312" w:hAnsi="仿宋_GB2312" w:eastAsia="仿宋_GB2312" w:cs="仿宋_GB2312"/>
          <w:b w:val="0"/>
          <w:bCs w:val="0"/>
          <w:color w:val="000000" w:themeColor="text1"/>
          <w:sz w:val="32"/>
          <w:szCs w:val="32"/>
          <w14:textFill>
            <w14:solidFill>
              <w14:schemeClr w14:val="tx1"/>
            </w14:solidFill>
          </w14:textFill>
        </w:rPr>
        <w:t>旅游路线图册和“遇见西岔”立体书1000余册，发放到各酒店和商业综合体，有效宣传园区旅游资源</w:t>
      </w: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w:t>
      </w:r>
      <w:r>
        <w:rPr>
          <w:rFonts w:hint="eastAsia" w:ascii="仿宋_GB2312" w:hAnsi="仿宋_GB2312" w:eastAsia="仿宋_GB2312" w:cs="仿宋_GB2312"/>
          <w:b w:val="0"/>
          <w:bCs w:val="0"/>
          <w:color w:val="000000" w:themeColor="text1"/>
          <w:sz w:val="32"/>
          <w:szCs w:val="32"/>
          <w14:textFill>
            <w14:solidFill>
              <w14:schemeClr w14:val="tx1"/>
            </w14:solidFill>
          </w14:textFill>
        </w:rPr>
        <w:t>制作《西岔掠影》宣传画册</w:t>
      </w:r>
      <w:r>
        <w:rPr>
          <w:rFonts w:hint="eastAsia" w:ascii="仿宋_GB2312" w:hAnsi="仿宋_GB2312" w:eastAsia="仿宋_GB2312" w:cs="仿宋_GB2312"/>
          <w:b w:val="0"/>
          <w:bCs w:val="0"/>
          <w:sz w:val="32"/>
          <w:szCs w:val="32"/>
          <w:lang w:val="en-US" w:eastAsia="zh-CN"/>
        </w:rPr>
        <w:t>等一系列招商引资活动。效益指标：保障经合局各项工作正常运转，为招商引资营商环境提供良好氛围，不断提高政府服务客商和企业的能力，促使各项经济活动繁荣发展。满意度指标：通过各项支出，保障了招商引资工作正常运转和招商引资项目顺利落地，服务了客商和辖区居民，提升园区商业活跃度，提高辖区居民生活幸福指数。</w:t>
      </w:r>
    </w:p>
    <w:p w14:paraId="2ACE82D9">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rPr>
        <w:t>4</w:t>
      </w:r>
      <w:r>
        <w:rPr>
          <w:rFonts w:hint="eastAsia" w:ascii="仿宋_GB2312" w:hAnsi="仿宋_GB2312" w:eastAsia="仿宋_GB2312" w:cs="仿宋_GB2312"/>
          <w:color w:val="auto"/>
          <w:lang w:val="en-US" w:eastAsia="zh-CN"/>
        </w:rPr>
        <w:t>.</w:t>
      </w:r>
      <w:r>
        <w:rPr>
          <w:rFonts w:hint="eastAsia" w:ascii="仿宋_GB2312" w:hAnsi="仿宋_GB2312" w:eastAsia="仿宋_GB2312" w:cs="仿宋_GB2312"/>
          <w:color w:val="auto"/>
        </w:rPr>
        <w:t>偏离绩效目标的原因及下一步改进措施</w:t>
      </w:r>
      <w:r>
        <w:rPr>
          <w:rFonts w:hint="eastAsia" w:ascii="仿宋_GB2312" w:hAnsi="仿宋_GB2312" w:cs="仿宋_GB2312"/>
          <w:color w:val="auto"/>
          <w:lang w:eastAsia="zh-CN"/>
        </w:rPr>
        <w:t>。</w:t>
      </w:r>
      <w:r>
        <w:rPr>
          <w:rFonts w:hint="eastAsia" w:ascii="仿宋_GB2312" w:hAnsi="仿宋_GB2312" w:eastAsia="仿宋_GB2312" w:cs="仿宋_GB2312"/>
          <w:sz w:val="32"/>
          <w:szCs w:val="32"/>
          <w:lang w:val="en-US" w:eastAsia="zh-CN"/>
        </w:rPr>
        <w:t>招商引资工作专项经费由于疫情影响，部分出省、市招商计划为按时开展，导致出现年度结转资金。改进措施</w:t>
      </w:r>
      <w:r>
        <w:rPr>
          <w:rFonts w:hint="eastAsia" w:ascii="仿宋_GB2312" w:hAnsi="仿宋_GB2312" w:eastAsia="仿宋_GB2312" w:cs="仿宋_GB2312"/>
          <w:b w:val="0"/>
          <w:bCs w:val="0"/>
          <w:sz w:val="32"/>
          <w:szCs w:val="32"/>
          <w:lang w:val="en-US" w:eastAsia="zh-CN"/>
        </w:rPr>
        <w:t>：一是充分考虑实际情况，合理上报预算金额，实现预算和总支出执行最优化；二是和上级部门积极协调，按照实际情况设置效果指标，进一步</w:t>
      </w:r>
      <w:r>
        <w:rPr>
          <w:rFonts w:hint="eastAsia" w:ascii="仿宋_GB2312" w:hAnsi="仿宋_GB2312" w:eastAsia="仿宋_GB2312" w:cs="仿宋_GB2312"/>
          <w:sz w:val="32"/>
          <w:szCs w:val="32"/>
          <w:lang w:val="en-US" w:eastAsia="zh-CN"/>
        </w:rPr>
        <w:t>提高指标值的科学化和合理化。</w:t>
      </w:r>
    </w:p>
    <w:p w14:paraId="1DC981C2">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十</w:t>
      </w:r>
      <w:r>
        <w:rPr>
          <w:rFonts w:hint="eastAsia" w:ascii="楷体_GB2312" w:hAnsi="楷体_GB2312" w:eastAsia="楷体_GB2312" w:cs="楷体_GB2312"/>
          <w:b w:val="0"/>
          <w:bCs w:val="0"/>
          <w:color w:val="auto"/>
          <w:sz w:val="32"/>
          <w:szCs w:val="32"/>
          <w:lang w:eastAsia="zh-CN"/>
        </w:rPr>
        <w:t>）项目</w:t>
      </w:r>
      <w:r>
        <w:rPr>
          <w:rFonts w:hint="eastAsia" w:ascii="楷体_GB2312" w:hAnsi="楷体_GB2312" w:eastAsia="楷体_GB2312" w:cs="楷体_GB2312"/>
          <w:b w:val="0"/>
          <w:bCs w:val="0"/>
          <w:color w:val="auto"/>
          <w:sz w:val="32"/>
          <w:szCs w:val="32"/>
          <w:lang w:val="en-US" w:eastAsia="zh-CN"/>
        </w:rPr>
        <w:t>10：</w:t>
      </w:r>
      <w:r>
        <w:rPr>
          <w:rFonts w:hint="eastAsia" w:ascii="楷体_GB2312" w:hAnsi="楷体_GB2312" w:eastAsia="楷体_GB2312" w:cs="楷体_GB2312"/>
          <w:b w:val="0"/>
          <w:bCs w:val="0"/>
          <w:color w:val="auto"/>
          <w:sz w:val="32"/>
          <w:szCs w:val="32"/>
          <w:lang w:eastAsia="zh-CN"/>
        </w:rPr>
        <w:t>政府购买服务</w:t>
      </w:r>
    </w:p>
    <w:p w14:paraId="69E045D2">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1.项目支出预算执行情况。2021年预算政府购买服务园区配套资金3万元，支出3万元，执行率100%，完成指标。</w:t>
      </w:r>
    </w:p>
    <w:p w14:paraId="6A4A9F89">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2.总体绩效目标完成情况分析。按照年初政府购买服务相关要求，保障每月按时为1名政府购买服务人员足额发放工资及按时缴纳五险，并按要求全部支出。</w:t>
      </w:r>
    </w:p>
    <w:p w14:paraId="638899A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按要求及时发放1名政府购买服务人员工资并按时缴纳社保。政府购买服务均在预算经费内开展，严格控制成本，有效改善特困人员的日常生活和精神面貌，保障正常开展社会救助服务工作。防止出现拖延现象，达到预期目标。</w:t>
      </w:r>
    </w:p>
    <w:p w14:paraId="76F0BABF">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十一</w:t>
      </w: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rPr>
        <w:t>项目</w:t>
      </w:r>
      <w:r>
        <w:rPr>
          <w:rFonts w:hint="eastAsia" w:ascii="楷体_GB2312" w:hAnsi="楷体_GB2312" w:eastAsia="楷体_GB2312" w:cs="楷体_GB2312"/>
          <w:b w:val="0"/>
          <w:bCs w:val="0"/>
          <w:color w:val="auto"/>
          <w:sz w:val="32"/>
          <w:szCs w:val="32"/>
          <w:lang w:val="en-US" w:eastAsia="zh-CN"/>
        </w:rPr>
        <w:t>11：</w:t>
      </w:r>
      <w:r>
        <w:rPr>
          <w:rFonts w:hint="eastAsia" w:ascii="楷体_GB2312" w:hAnsi="楷体_GB2312" w:eastAsia="楷体_GB2312" w:cs="楷体_GB2312"/>
          <w:b w:val="0"/>
          <w:bCs w:val="0"/>
          <w:color w:val="auto"/>
          <w:sz w:val="32"/>
          <w:szCs w:val="32"/>
        </w:rPr>
        <w:t>公益性岗位</w:t>
      </w:r>
      <w:r>
        <w:rPr>
          <w:rFonts w:hint="eastAsia" w:ascii="楷体_GB2312" w:hAnsi="楷体_GB2312" w:eastAsia="楷体_GB2312" w:cs="楷体_GB2312"/>
          <w:b w:val="0"/>
          <w:bCs w:val="0"/>
          <w:color w:val="auto"/>
          <w:sz w:val="32"/>
          <w:szCs w:val="32"/>
          <w:lang w:eastAsia="zh-CN"/>
        </w:rPr>
        <w:t>单位</w:t>
      </w:r>
      <w:r>
        <w:rPr>
          <w:rFonts w:hint="eastAsia" w:ascii="楷体_GB2312" w:hAnsi="楷体_GB2312" w:eastAsia="楷体_GB2312" w:cs="楷体_GB2312"/>
          <w:b w:val="0"/>
          <w:bCs w:val="0"/>
          <w:color w:val="auto"/>
          <w:sz w:val="32"/>
          <w:szCs w:val="32"/>
        </w:rPr>
        <w:t>补贴</w:t>
      </w:r>
    </w:p>
    <w:p w14:paraId="264022FA">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1.项目支出预算执行情况。2021年预算16名公益性岗位补贴资金19.2万元，上年结转资金1.5818万元，支出</w:t>
      </w:r>
      <w:r>
        <w:rPr>
          <w:rFonts w:hint="eastAsia" w:ascii="仿宋_GB2312" w:hAnsi="仿宋_GB2312" w:eastAsia="仿宋_GB2312" w:cs="仿宋_GB2312"/>
          <w:color w:val="auto"/>
          <w:kern w:val="2"/>
          <w:sz w:val="32"/>
          <w:szCs w:val="32"/>
          <w:lang w:val="en-US" w:eastAsia="zh-CN" w:bidi="ar-SA"/>
        </w:rPr>
        <w:t>15.25万元，执行率73.38%</w:t>
      </w:r>
      <w:r>
        <w:rPr>
          <w:rFonts w:hint="eastAsia" w:ascii="仿宋_GB2312" w:hAnsi="仿宋_GB2312" w:eastAsia="仿宋_GB2312" w:cs="仿宋_GB2312"/>
          <w:color w:val="auto"/>
          <w:sz w:val="32"/>
          <w:szCs w:val="32"/>
          <w:lang w:val="en-US" w:eastAsia="zh-CN"/>
        </w:rPr>
        <w:t>。</w:t>
      </w:r>
    </w:p>
    <w:p w14:paraId="4AB7F2D0">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2.总体绩效目标完成情况分析。按照年初公益性岗位相关要求，保障每月按时为16名公益性岗位人员按时发放单位补贴，解决困难人员或特殊群体就业问题，保障公益性岗位人员的基本生活，并按要求支出资金。</w:t>
      </w:r>
      <w:r>
        <w:rPr>
          <w:rFonts w:hint="eastAsia" w:ascii="仿宋_GB2312" w:hAnsi="仿宋_GB2312" w:eastAsia="仿宋_GB2312" w:cs="仿宋_GB2312"/>
          <w:color w:val="auto"/>
          <w:sz w:val="32"/>
          <w:szCs w:val="32"/>
          <w:lang w:val="en-US" w:eastAsia="zh-CN"/>
        </w:rPr>
        <w:br w:type="textWrapping"/>
      </w:r>
      <w:r>
        <w:rPr>
          <w:rFonts w:hint="eastAsia" w:ascii="仿宋_GB2312" w:hAnsi="仿宋_GB2312" w:eastAsia="仿宋_GB2312" w:cs="仿宋_GB2312"/>
          <w:color w:val="auto"/>
          <w:sz w:val="32"/>
          <w:szCs w:val="32"/>
          <w:lang w:val="en-US" w:eastAsia="zh-CN"/>
        </w:rPr>
        <w:t xml:space="preserve">    3.各项指标完成情况分析。按要求及时发放补贴，保证发放工作合格，严格控制成本，有效解决困难人员或特殊群体就业问题，保障公益性岗位人员的基本生活。防止出现拖延现象，达到预期目标。</w:t>
      </w:r>
    </w:p>
    <w:p w14:paraId="74B8974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偏离绩效目标的原因及下一步改进措施。因公益性岗位中2021年度有休产假、陪护假等人员，所以有结余资金。下一步将以更加科学的手段、完善的制度做好经费预算执行工作，确保科学合理的使用政府的每一笔资金。</w:t>
      </w:r>
    </w:p>
    <w:p w14:paraId="56DE4BFE">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color w:val="auto"/>
          <w:lang w:val="en-US" w:eastAsia="zh-CN"/>
        </w:rPr>
      </w:pPr>
      <w:r>
        <w:rPr>
          <w:rFonts w:hint="eastAsia" w:ascii="楷体_GB2312" w:hAnsi="楷体_GB2312" w:eastAsia="楷体_GB2312" w:cs="楷体_GB2312"/>
          <w:b w:val="0"/>
          <w:bCs w:val="0"/>
          <w:color w:val="auto"/>
          <w:lang w:val="en-US" w:eastAsia="zh-CN"/>
        </w:rPr>
        <w:t>（十二）项目12：</w:t>
      </w:r>
      <w:r>
        <w:rPr>
          <w:rFonts w:hint="eastAsia" w:ascii="楷体_GB2312" w:hAnsi="楷体_GB2312" w:eastAsia="楷体_GB2312" w:cs="楷体_GB2312"/>
          <w:b w:val="0"/>
          <w:bCs w:val="0"/>
          <w:color w:val="auto"/>
        </w:rPr>
        <w:t>公益性岗位</w:t>
      </w:r>
      <w:r>
        <w:rPr>
          <w:rFonts w:hint="eastAsia" w:ascii="楷体_GB2312" w:hAnsi="楷体_GB2312" w:eastAsia="楷体_GB2312" w:cs="楷体_GB2312"/>
          <w:b w:val="0"/>
          <w:bCs w:val="0"/>
          <w:color w:val="auto"/>
          <w:lang w:eastAsia="zh-CN"/>
        </w:rPr>
        <w:t>单位及伙食</w:t>
      </w:r>
      <w:r>
        <w:rPr>
          <w:rFonts w:hint="eastAsia" w:ascii="楷体_GB2312" w:hAnsi="楷体_GB2312" w:eastAsia="楷体_GB2312" w:cs="楷体_GB2312"/>
          <w:b w:val="0"/>
          <w:bCs w:val="0"/>
          <w:color w:val="auto"/>
        </w:rPr>
        <w:t>补贴</w:t>
      </w:r>
    </w:p>
    <w:p w14:paraId="7E99E958">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1.项目支出预算执行情况。2021年中期新招录40名公益性岗位人员，园区市监局原有3名公益性岗位人员，中期调整预算</w:t>
      </w:r>
      <w:r>
        <w:rPr>
          <w:rFonts w:hint="eastAsia" w:ascii="仿宋_GB2312" w:hAnsi="仿宋_GB2312" w:eastAsia="仿宋_GB2312" w:cs="仿宋_GB2312"/>
          <w:color w:val="auto"/>
          <w:kern w:val="2"/>
          <w:sz w:val="32"/>
          <w:szCs w:val="32"/>
          <w:lang w:val="en-US" w:eastAsia="zh-CN" w:bidi="ar-SA"/>
        </w:rPr>
        <w:t>27.4万元，2021年度未支出，执行率0%。</w:t>
      </w:r>
    </w:p>
    <w:p w14:paraId="766574B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总体绩效目标完成情况分析。按照公益性岗位相关要求，保障每月按时为43名公益性岗位人员按时发放单位及伙食补贴，解决困难人员或特殊群体就业问题，保障公益性岗位人员的基本生活，并按要求支出资金。</w:t>
      </w:r>
      <w:r>
        <w:rPr>
          <w:rFonts w:hint="eastAsia" w:ascii="仿宋_GB2312" w:hAnsi="仿宋_GB2312" w:eastAsia="仿宋_GB2312" w:cs="仿宋_GB2312"/>
          <w:color w:val="auto"/>
          <w:sz w:val="32"/>
          <w:szCs w:val="32"/>
          <w:lang w:val="en-US" w:eastAsia="zh-CN"/>
        </w:rPr>
        <w:br w:type="textWrapping"/>
      </w:r>
      <w:r>
        <w:rPr>
          <w:rFonts w:hint="eastAsia" w:ascii="仿宋_GB2312" w:hAnsi="仿宋_GB2312" w:eastAsia="仿宋_GB2312" w:cs="仿宋_GB2312"/>
          <w:color w:val="auto"/>
          <w:sz w:val="32"/>
          <w:szCs w:val="32"/>
          <w:lang w:val="en-US" w:eastAsia="zh-CN"/>
        </w:rPr>
        <w:t xml:space="preserve">    3.各项指标完成情况分析。按要求及时发放补贴，保证发放工作合格，严格控制成本，有效解决困难人员或特殊群体就业问题，保障公益性岗位人员的基本生活。防止出现拖延现象，达到预期目标。</w:t>
      </w:r>
    </w:p>
    <w:p w14:paraId="0488AA93">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
          <w:bCs/>
          <w:color w:val="auto"/>
        </w:rPr>
      </w:pPr>
      <w:r>
        <w:rPr>
          <w:rFonts w:hint="eastAsia" w:ascii="仿宋_GB2312" w:hAnsi="仿宋_GB2312" w:eastAsia="仿宋_GB2312" w:cs="仿宋_GB2312"/>
          <w:color w:val="auto"/>
          <w:sz w:val="32"/>
          <w:szCs w:val="32"/>
          <w:lang w:val="en-US" w:eastAsia="zh-CN"/>
        </w:rPr>
        <w:t>4.偏离绩效目标的原因及下一步改进措施。前期因公益性岗位人员稳定性不够，导致</w:t>
      </w:r>
      <w:r>
        <w:rPr>
          <w:rFonts w:hint="eastAsia" w:ascii="仿宋_GB2312" w:hAnsi="仿宋_GB2312" w:cs="仿宋_GB2312"/>
          <w:color w:val="auto"/>
          <w:sz w:val="32"/>
          <w:szCs w:val="32"/>
          <w:lang w:val="en-US" w:eastAsia="zh-CN"/>
        </w:rPr>
        <w:t>补贴</w:t>
      </w:r>
      <w:r>
        <w:rPr>
          <w:rFonts w:hint="eastAsia" w:ascii="仿宋_GB2312" w:hAnsi="仿宋_GB2312" w:eastAsia="仿宋_GB2312" w:cs="仿宋_GB2312"/>
          <w:color w:val="auto"/>
          <w:sz w:val="32"/>
          <w:szCs w:val="32"/>
          <w:lang w:val="en-US" w:eastAsia="zh-CN"/>
        </w:rPr>
        <w:t>发放不及时，所以有结余资金。下一步将以更加科学的手段、完善的制度做好经费预算执行工作，确保科学合理的使用政府的每一笔资金。</w:t>
      </w:r>
    </w:p>
    <w:p w14:paraId="38F5C342">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 w:val="0"/>
          <w:bCs w:val="0"/>
          <w:color w:val="auto"/>
          <w:lang w:val="en-US" w:eastAsia="zh-CN"/>
        </w:rPr>
      </w:pPr>
      <w:r>
        <w:rPr>
          <w:rFonts w:hint="eastAsia" w:ascii="楷体_GB2312" w:hAnsi="楷体_GB2312" w:eastAsia="楷体_GB2312" w:cs="楷体_GB2312"/>
          <w:b w:val="0"/>
          <w:bCs w:val="0"/>
          <w:color w:val="auto"/>
          <w:lang w:val="en-US" w:eastAsia="zh-CN"/>
        </w:rPr>
        <w:t>（十三）项目13：购买制服</w:t>
      </w:r>
    </w:p>
    <w:p w14:paraId="2D5F42EB">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1.项目支出预算执行情况。2021年预算</w:t>
      </w:r>
      <w:r>
        <w:rPr>
          <w:rFonts w:hint="eastAsia" w:ascii="仿宋_GB2312" w:hAnsi="仿宋_GB2312" w:eastAsia="仿宋_GB2312" w:cs="仿宋_GB2312"/>
          <w:color w:val="auto"/>
          <w:kern w:val="2"/>
          <w:sz w:val="32"/>
          <w:szCs w:val="32"/>
          <w:lang w:val="en-US" w:eastAsia="zh-CN" w:bidi="ar-SA"/>
        </w:rPr>
        <w:t>购买制服4.6万元，全年执行4.5904万元，执行率99.79%，完成指标</w:t>
      </w:r>
      <w:r>
        <w:rPr>
          <w:rFonts w:hint="eastAsia" w:ascii="仿宋_GB2312" w:hAnsi="仿宋_GB2312" w:eastAsia="仿宋_GB2312" w:cs="仿宋_GB2312"/>
          <w:color w:val="auto"/>
          <w:sz w:val="32"/>
          <w:szCs w:val="32"/>
          <w:lang w:val="en-US" w:eastAsia="zh-CN"/>
        </w:rPr>
        <w:t>。</w:t>
      </w:r>
    </w:p>
    <w:p w14:paraId="4CF9DBD7">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2.总体绩效目标完成情况分析。按照年初预算，为8名劳动监察干部购买制服，树立劳动保障监察执法队伍的形象，方便群众办事，按要求支出购买制服资金。</w:t>
      </w:r>
      <w:r>
        <w:rPr>
          <w:rFonts w:hint="eastAsia" w:ascii="仿宋_GB2312" w:hAnsi="仿宋_GB2312" w:eastAsia="仿宋_GB2312" w:cs="仿宋_GB2312"/>
          <w:color w:val="auto"/>
          <w:sz w:val="32"/>
          <w:szCs w:val="32"/>
          <w:lang w:val="en-US" w:eastAsia="zh-CN"/>
        </w:rPr>
        <w:br w:type="textWrapping"/>
      </w:r>
      <w:r>
        <w:rPr>
          <w:rFonts w:hint="eastAsia" w:ascii="仿宋_GB2312" w:hAnsi="仿宋_GB2312" w:eastAsia="仿宋_GB2312" w:cs="仿宋_GB2312"/>
          <w:color w:val="auto"/>
          <w:sz w:val="32"/>
          <w:szCs w:val="32"/>
          <w:lang w:val="en-US" w:eastAsia="zh-CN"/>
        </w:rPr>
        <w:t xml:space="preserve">    3.各项指标完成情况分析。按要求及时为8名劳动监察干部购买制服，树立劳动保障监察执法队伍的形象，方便群众办事。严格控制制服成本，保证制服质量，及时支出资金，防止出现拖延现象，达到预期目标。</w:t>
      </w:r>
    </w:p>
    <w:p w14:paraId="39881E6D">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 w:val="0"/>
          <w:bCs w:val="0"/>
          <w:color w:val="auto"/>
        </w:rPr>
      </w:pPr>
      <w:r>
        <w:rPr>
          <w:rFonts w:hint="eastAsia" w:ascii="楷体_GB2312" w:hAnsi="楷体_GB2312" w:eastAsia="楷体_GB2312" w:cs="楷体_GB2312"/>
          <w:b w:val="0"/>
          <w:bCs w:val="0"/>
          <w:color w:val="auto"/>
          <w:sz w:val="32"/>
          <w:szCs w:val="32"/>
          <w:lang w:val="en-US" w:eastAsia="zh-CN"/>
        </w:rPr>
        <w:t>（十四）项目14：</w:t>
      </w:r>
      <w:r>
        <w:rPr>
          <w:rFonts w:hint="eastAsia" w:ascii="楷体_GB2312" w:hAnsi="楷体_GB2312" w:eastAsia="楷体_GB2312" w:cs="楷体_GB2312"/>
          <w:b w:val="0"/>
          <w:bCs w:val="0"/>
          <w:color w:val="auto"/>
        </w:rPr>
        <w:t>双拥经费</w:t>
      </w:r>
    </w:p>
    <w:p w14:paraId="57695AC8">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1.项目支出预算执行情况</w:t>
      </w:r>
      <w:r>
        <w:rPr>
          <w:rFonts w:hint="eastAsia" w:ascii="仿宋_GB2312" w:hAnsi="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2021年双拥经费1.3万元，支出1.3万元，执行率100%，完成指标。</w:t>
      </w:r>
    </w:p>
    <w:p w14:paraId="17C6504A">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2.总体绩效目标完成情况分析</w:t>
      </w:r>
      <w:r>
        <w:rPr>
          <w:rFonts w:hint="eastAsia" w:ascii="仿宋_GB2312" w:hAnsi="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按照双拥经费相关要求，2021年度做好双拥工作，营造了浓厚的拥军优属氛围。</w:t>
      </w:r>
    </w:p>
    <w:p w14:paraId="4230435B">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w:t>
      </w:r>
      <w:r>
        <w:rPr>
          <w:rFonts w:hint="eastAsia" w:ascii="仿宋_GB2312" w:hAnsi="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按要求开展双拥工作</w:t>
      </w:r>
      <w:r>
        <w:rPr>
          <w:rFonts w:hint="eastAsia" w:ascii="仿宋_GB2312" w:hAnsi="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双拥工作经费均在预算经费内开展，严格控制成本，做好双拥工作，巩固和发展军政军民团结，保障退役军人合法权益，达到预期目标。</w:t>
      </w:r>
    </w:p>
    <w:p w14:paraId="28D2B17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（十五）项目15：退役军人工作经费</w:t>
      </w:r>
    </w:p>
    <w:p w14:paraId="2EA3441F">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color w:val="auto"/>
          <w:sz w:val="32"/>
          <w:szCs w:val="32"/>
          <w:lang w:val="en-US" w:eastAsia="zh-CN"/>
        </w:rPr>
        <w:t>1.</w:t>
      </w:r>
      <w:r>
        <w:rPr>
          <w:rFonts w:hint="eastAsia" w:ascii="仿宋_GB2312" w:hAnsi="仿宋_GB2312" w:eastAsia="仿宋_GB2312" w:cs="仿宋_GB2312"/>
          <w:color w:val="auto"/>
          <w:sz w:val="32"/>
          <w:szCs w:val="32"/>
          <w:lang w:val="en-US" w:eastAsia="zh-CN"/>
        </w:rPr>
        <w:t>项目支出预算执行情况</w:t>
      </w:r>
      <w:r>
        <w:rPr>
          <w:rFonts w:hint="eastAsia" w:ascii="仿宋_GB2312" w:hAnsi="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2021年预算退役军人工作经费5万元，支出4.</w:t>
      </w:r>
      <w:r>
        <w:rPr>
          <w:rFonts w:hint="eastAsia" w:ascii="仿宋_GB2312" w:hAnsi="仿宋_GB2312" w:cs="仿宋_GB2312"/>
          <w:color w:val="auto"/>
          <w:sz w:val="32"/>
          <w:szCs w:val="32"/>
          <w:lang w:val="en-US" w:eastAsia="zh-CN"/>
        </w:rPr>
        <w:t>4656</w:t>
      </w:r>
      <w:r>
        <w:rPr>
          <w:rFonts w:hint="eastAsia" w:ascii="仿宋_GB2312" w:hAnsi="仿宋_GB2312" w:eastAsia="仿宋_GB2312" w:cs="仿宋_GB2312"/>
          <w:color w:val="auto"/>
          <w:sz w:val="32"/>
          <w:szCs w:val="32"/>
          <w:lang w:val="en-US" w:eastAsia="zh-CN"/>
        </w:rPr>
        <w:t>7万元，执行率</w:t>
      </w:r>
      <w:r>
        <w:rPr>
          <w:rFonts w:hint="eastAsia" w:ascii="仿宋_GB2312" w:hAnsi="仿宋_GB2312" w:cs="仿宋_GB2312"/>
          <w:color w:val="auto"/>
          <w:sz w:val="32"/>
          <w:szCs w:val="32"/>
          <w:lang w:val="en-US" w:eastAsia="zh-CN"/>
        </w:rPr>
        <w:t>89.31</w:t>
      </w:r>
      <w:r>
        <w:rPr>
          <w:rFonts w:hint="eastAsia" w:ascii="仿宋_GB2312" w:hAnsi="仿宋_GB2312" w:eastAsia="仿宋_GB2312" w:cs="仿宋_GB2312"/>
          <w:color w:val="auto"/>
          <w:sz w:val="32"/>
          <w:szCs w:val="32"/>
          <w:lang w:val="en-US" w:eastAsia="zh-CN"/>
        </w:rPr>
        <w:t>%，基本完成指标。</w:t>
      </w:r>
    </w:p>
    <w:p w14:paraId="2FD07892">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2.总体绩效目标完成情况分析。按照年初退役军人工作经费相关要求，2021年顺利完成退役军人服务各项工作。</w:t>
      </w:r>
    </w:p>
    <w:p w14:paraId="26F12D4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按要求开展退役军人相关工作，退役军人工作经费均在预算经费内开展，严格控制成本，稳定开展退役军人服务工作，维护退役军人合法权益，推进退役军人服务保障体系，达到预期目标。</w:t>
      </w:r>
    </w:p>
    <w:p w14:paraId="58CC4D8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lang w:val="en-US" w:eastAsia="zh-CN"/>
        </w:rPr>
      </w:pPr>
      <w:r>
        <w:rPr>
          <w:rFonts w:hint="eastAsia" w:ascii="仿宋_GB2312" w:hAnsi="仿宋_GB2312" w:eastAsia="仿宋_GB2312" w:cs="仿宋_GB2312"/>
          <w:color w:val="auto"/>
          <w:sz w:val="32"/>
          <w:szCs w:val="32"/>
          <w:lang w:val="en-US" w:eastAsia="zh-CN"/>
        </w:rPr>
        <w:t>4.偏离绩效目标的原因及下一步改进措施。结余资金支出时因企业报送资料不规范，导致资金未及时支出，计划2022年度支出。下一步将以更加科学的手段、完善的制度做好经费预算执行工作，确保科学合理的使用政府的每一笔资金。</w:t>
      </w:r>
    </w:p>
    <w:p w14:paraId="49FF9639">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（十六）项目16：公共卫生服务补助经费</w:t>
      </w:r>
    </w:p>
    <w:p w14:paraId="0B58CC41">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color w:val="auto"/>
          <w:sz w:val="32"/>
          <w:szCs w:val="32"/>
          <w:lang w:val="en-US" w:eastAsia="zh-CN"/>
        </w:rPr>
        <w:t>1.</w:t>
      </w:r>
      <w:r>
        <w:rPr>
          <w:rFonts w:hint="eastAsia" w:ascii="仿宋_GB2312" w:hAnsi="仿宋_GB2312" w:eastAsia="仿宋_GB2312" w:cs="仿宋_GB2312"/>
          <w:color w:val="auto"/>
          <w:sz w:val="32"/>
          <w:szCs w:val="32"/>
          <w:lang w:val="en-US" w:eastAsia="zh-CN"/>
        </w:rPr>
        <w:t>项目支出预算执行情况</w:t>
      </w:r>
      <w:r>
        <w:rPr>
          <w:rFonts w:hint="eastAsia" w:ascii="仿宋_GB2312" w:hAnsi="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2021年</w:t>
      </w:r>
      <w:r>
        <w:rPr>
          <w:rFonts w:hint="eastAsia" w:ascii="仿宋_GB2312" w:hAnsi="仿宋_GB2312" w:cs="仿宋_GB2312"/>
          <w:color w:val="auto"/>
          <w:sz w:val="32"/>
          <w:szCs w:val="32"/>
          <w:lang w:val="en-US" w:eastAsia="zh-CN"/>
        </w:rPr>
        <w:t>公共卫生服务补助经费2</w:t>
      </w:r>
      <w:r>
        <w:rPr>
          <w:rFonts w:hint="eastAsia" w:ascii="仿宋_GB2312" w:hAnsi="仿宋_GB2312" w:eastAsia="仿宋_GB2312" w:cs="仿宋_GB2312"/>
          <w:color w:val="auto"/>
          <w:sz w:val="32"/>
          <w:szCs w:val="32"/>
          <w:lang w:val="en-US" w:eastAsia="zh-CN"/>
        </w:rPr>
        <w:t>万元，需全年考核达标后予以拨款。</w:t>
      </w:r>
    </w:p>
    <w:p w14:paraId="3519EE95">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2.总体绩效目标完成情况分析。按照年初公共卫生服务工作相关要求，2021年顺利完成各项工作。</w:t>
      </w:r>
    </w:p>
    <w:p w14:paraId="69174B0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3.各项指标完成情况分析。按照甘肃省公共卫生均等化服务要求，组织辖区医疗机构，全面开展各项公共卫生服务，确保各项工作指标达到甘肃省公共卫生年度考核要求，有力保障辖区群众身体健康。</w:t>
      </w:r>
    </w:p>
    <w:p w14:paraId="5005E97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eastAsia="仿宋_GB2312"/>
          <w:sz w:val="32"/>
          <w:szCs w:val="32"/>
          <w:lang w:val="en-US" w:eastAsia="zh-CN"/>
        </w:rPr>
      </w:pPr>
      <w:r>
        <w:rPr>
          <w:rFonts w:hint="eastAsia" w:ascii="仿宋_GB2312" w:hAnsi="仿宋_GB2312" w:eastAsia="仿宋_GB2312" w:cs="仿宋_GB2312"/>
          <w:color w:val="auto"/>
          <w:sz w:val="32"/>
          <w:szCs w:val="32"/>
          <w:lang w:val="en-US" w:eastAsia="zh-CN"/>
        </w:rPr>
        <w:t>4.偏离绩效目标的原因及下一步改进措施。预算经费执行情况偏离绩效目标。需全年考核达标后予以拨款。下一步将以更加科学的手段、完善的制度做好经费预算执行工作，加强与上级主管部门的沟通协调，确保科学合理的使用政府的每一笔资金。</w:t>
      </w:r>
    </w:p>
    <w:p w14:paraId="4B30A09D">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（十七）项目17：病媒消杀经费</w:t>
      </w:r>
    </w:p>
    <w:p w14:paraId="3B07F92F">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color w:val="auto"/>
          <w:sz w:val="32"/>
          <w:szCs w:val="32"/>
          <w:lang w:val="en-US" w:eastAsia="zh-CN"/>
        </w:rPr>
        <w:t>1.</w:t>
      </w:r>
      <w:r>
        <w:rPr>
          <w:rFonts w:hint="eastAsia" w:ascii="仿宋_GB2312" w:hAnsi="仿宋_GB2312" w:eastAsia="仿宋_GB2312" w:cs="仿宋_GB2312"/>
          <w:color w:val="auto"/>
          <w:sz w:val="32"/>
          <w:szCs w:val="32"/>
          <w:lang w:val="en-US" w:eastAsia="zh-CN"/>
        </w:rPr>
        <w:t>项目支出预算执行情况</w:t>
      </w:r>
      <w:r>
        <w:rPr>
          <w:rFonts w:hint="eastAsia" w:ascii="仿宋_GB2312" w:hAnsi="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2021年</w:t>
      </w:r>
      <w:r>
        <w:rPr>
          <w:rFonts w:hint="eastAsia" w:ascii="仿宋_GB2312" w:hAnsi="仿宋_GB2312" w:cs="仿宋_GB2312"/>
          <w:color w:val="auto"/>
          <w:sz w:val="32"/>
          <w:szCs w:val="32"/>
          <w:lang w:val="en-US" w:eastAsia="zh-CN"/>
        </w:rPr>
        <w:t>病媒消杀经费1</w:t>
      </w:r>
      <w:r>
        <w:rPr>
          <w:rFonts w:hint="eastAsia" w:ascii="仿宋_GB2312" w:hAnsi="仿宋_GB2312" w:eastAsia="仿宋_GB2312" w:cs="仿宋_GB2312"/>
          <w:color w:val="auto"/>
          <w:sz w:val="32"/>
          <w:szCs w:val="32"/>
          <w:lang w:val="en-US" w:eastAsia="zh-CN"/>
        </w:rPr>
        <w:t>万元。</w:t>
      </w:r>
    </w:p>
    <w:p w14:paraId="4115D5C6">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2.总体绩效目标完成情况分析。按照年初病媒消杀工作相关要求，2021年顺利完成各项工作。</w:t>
      </w:r>
    </w:p>
    <w:p w14:paraId="51E3962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3.各项指标完成情况分析。按照兰州市爱国卫生运动委员会工作要求，结合园区实际情况，组织辖区乡镇、社区开展公共区域病媒消杀工作，有力保障辖区环境卫生改善和群众身体健康。</w:t>
      </w:r>
    </w:p>
    <w:p w14:paraId="5B14E99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
          <w:bCs/>
          <w:color w:val="auto"/>
          <w:lang w:val="en-US" w:eastAsia="zh-CN"/>
        </w:rPr>
      </w:pPr>
      <w:r>
        <w:rPr>
          <w:rFonts w:hint="eastAsia" w:ascii="仿宋_GB2312" w:hAnsi="仿宋_GB2312" w:eastAsia="仿宋_GB2312" w:cs="仿宋_GB2312"/>
          <w:color w:val="auto"/>
          <w:sz w:val="32"/>
          <w:szCs w:val="32"/>
          <w:lang w:val="en-US" w:eastAsia="zh-CN"/>
        </w:rPr>
        <w:t>4.偏离绩效目标的原因及下一步改进措施。消杀目标为鼠类，根据其生活习性，消杀时间集中为10月至次年3月，导致结余。下一步将以更加科学的手段、完善的制度做好经费预算执行工作，加强与上级主管部门的沟通协调，确保科学合理的使用政府的每一笔资金。</w:t>
      </w:r>
    </w:p>
    <w:p w14:paraId="0F4D4045">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十八</w:t>
      </w:r>
      <w:r>
        <w:rPr>
          <w:rFonts w:hint="eastAsia" w:ascii="楷体_GB2312" w:hAnsi="楷体_GB2312" w:eastAsia="楷体_GB2312" w:cs="楷体_GB2312"/>
          <w:b w:val="0"/>
          <w:bCs w:val="0"/>
          <w:color w:val="auto"/>
          <w:sz w:val="32"/>
          <w:szCs w:val="32"/>
          <w:lang w:eastAsia="zh-CN"/>
        </w:rPr>
        <w:t>）项目</w:t>
      </w:r>
      <w:r>
        <w:rPr>
          <w:rFonts w:hint="eastAsia" w:ascii="楷体_GB2312" w:hAnsi="楷体_GB2312" w:eastAsia="楷体_GB2312" w:cs="楷体_GB2312"/>
          <w:b w:val="0"/>
          <w:bCs w:val="0"/>
          <w:color w:val="auto"/>
          <w:sz w:val="32"/>
          <w:szCs w:val="32"/>
          <w:lang w:val="en-US" w:eastAsia="zh-CN"/>
        </w:rPr>
        <w:t>18：从业人员健康证体检费</w:t>
      </w:r>
    </w:p>
    <w:p w14:paraId="630DDE6D">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cs="仿宋_GB2312"/>
          <w:color w:val="auto"/>
          <w:sz w:val="32"/>
          <w:szCs w:val="32"/>
          <w:lang w:val="en-US" w:eastAsia="zh-CN"/>
        </w:rPr>
        <w:t>1.</w:t>
      </w:r>
      <w:r>
        <w:rPr>
          <w:rFonts w:hint="eastAsia" w:ascii="仿宋_GB2312" w:hAnsi="仿宋_GB2312" w:eastAsia="仿宋_GB2312" w:cs="仿宋_GB2312"/>
          <w:color w:val="auto"/>
          <w:sz w:val="32"/>
          <w:szCs w:val="32"/>
          <w:lang w:val="en-US" w:eastAsia="zh-CN"/>
        </w:rPr>
        <w:t>项目支出预算执行情况</w:t>
      </w:r>
      <w:r>
        <w:rPr>
          <w:rFonts w:hint="eastAsia" w:ascii="仿宋_GB2312" w:hAnsi="仿宋_GB2312" w:cs="仿宋_GB2312"/>
          <w:color w:val="auto"/>
          <w:sz w:val="32"/>
          <w:szCs w:val="32"/>
          <w:lang w:val="en-US" w:eastAsia="zh-CN"/>
        </w:rPr>
        <w:t>。</w:t>
      </w:r>
      <w:r>
        <w:rPr>
          <w:rFonts w:hint="eastAsia" w:ascii="仿宋_GB2312" w:hAnsi="仿宋_GB2312" w:eastAsia="仿宋_GB2312" w:cs="仿宋_GB2312"/>
          <w:color w:val="auto"/>
          <w:sz w:val="32"/>
          <w:szCs w:val="32"/>
          <w:lang w:val="en-US" w:eastAsia="zh-CN"/>
        </w:rPr>
        <w:t>2021年</w:t>
      </w:r>
      <w:r>
        <w:rPr>
          <w:rFonts w:hint="eastAsia" w:ascii="仿宋_GB2312" w:hAnsi="仿宋_GB2312" w:cs="仿宋_GB2312"/>
          <w:color w:val="auto"/>
          <w:sz w:val="32"/>
          <w:szCs w:val="32"/>
          <w:lang w:val="en-US" w:eastAsia="zh-CN"/>
        </w:rPr>
        <w:t>从业人员健康证体检费30</w:t>
      </w:r>
      <w:r>
        <w:rPr>
          <w:rFonts w:hint="eastAsia" w:ascii="仿宋_GB2312" w:hAnsi="仿宋_GB2312" w:eastAsia="仿宋_GB2312" w:cs="仿宋_GB2312"/>
          <w:color w:val="auto"/>
          <w:sz w:val="32"/>
          <w:szCs w:val="32"/>
          <w:lang w:val="en-US" w:eastAsia="zh-CN"/>
        </w:rPr>
        <w:t>万元，支出</w:t>
      </w:r>
      <w:r>
        <w:rPr>
          <w:rFonts w:hint="eastAsia" w:ascii="仿宋_GB2312" w:hAnsi="仿宋_GB2312" w:cs="仿宋_GB2312"/>
          <w:color w:val="auto"/>
          <w:sz w:val="32"/>
          <w:szCs w:val="32"/>
          <w:lang w:val="en-US" w:eastAsia="zh-CN"/>
        </w:rPr>
        <w:t>18.5904</w:t>
      </w:r>
      <w:r>
        <w:rPr>
          <w:rFonts w:hint="eastAsia" w:ascii="仿宋_GB2312" w:hAnsi="仿宋_GB2312" w:eastAsia="仿宋_GB2312" w:cs="仿宋_GB2312"/>
          <w:color w:val="auto"/>
          <w:sz w:val="32"/>
          <w:szCs w:val="32"/>
          <w:lang w:val="en-US" w:eastAsia="zh-CN"/>
        </w:rPr>
        <w:t>万元，执行率</w:t>
      </w:r>
      <w:r>
        <w:rPr>
          <w:rFonts w:hint="eastAsia" w:ascii="仿宋_GB2312" w:hAnsi="仿宋_GB2312" w:cs="仿宋_GB2312"/>
          <w:color w:val="auto"/>
          <w:sz w:val="32"/>
          <w:szCs w:val="32"/>
          <w:lang w:val="en-US" w:eastAsia="zh-CN"/>
        </w:rPr>
        <w:t>62</w:t>
      </w:r>
      <w:r>
        <w:rPr>
          <w:rFonts w:hint="eastAsia" w:ascii="仿宋_GB2312" w:hAnsi="仿宋_GB2312" w:eastAsia="仿宋_GB2312" w:cs="仿宋_GB2312"/>
          <w:color w:val="auto"/>
          <w:sz w:val="32"/>
          <w:szCs w:val="32"/>
          <w:lang w:val="en-US" w:eastAsia="zh-CN"/>
        </w:rPr>
        <w:t>%，基本完成指标。</w:t>
      </w:r>
      <w:r>
        <w:rPr>
          <w:rFonts w:hint="eastAsia" w:ascii="仿宋_GB2312" w:hAnsi="仿宋_GB2312" w:cs="仿宋_GB2312"/>
          <w:color w:val="auto"/>
          <w:sz w:val="32"/>
          <w:szCs w:val="32"/>
          <w:lang w:val="en-US" w:eastAsia="zh-CN"/>
        </w:rPr>
        <w:t>由于兰州新区卫健委临时调整公共场所从业人员体检费用拨付方式，导致园区公共场所从业人员体检费用结余。</w:t>
      </w:r>
    </w:p>
    <w:p w14:paraId="162F150E">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    2.总体绩效目标完成情况分析。按照年初公共场所从业人员体检工作相关要求，2021年基本完成各项工作。</w:t>
      </w:r>
    </w:p>
    <w:p w14:paraId="7266B27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3.各项指标完成情况分析。按照公共场所从业人员健康证体检工作服务要求，组织辖区相关医疗机构，全面开展体检工作，满足广大公共场所就业人员需求，有力保障辖区群众身体健康。</w:t>
      </w:r>
    </w:p>
    <w:p w14:paraId="20079B3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偏离绩效目标的原因及下一步改进措施。由于兰州新区卫健委临时调整公共场所从业人员体检费用拨付方式，导致园区公共场所从业人员体检费用结余。下一步将以更加科学的手段、完善的制度做好经费预算执行工作，加强与上级主管部门的沟通协调，确保科学合理的使用政府的每一笔资金。</w:t>
      </w:r>
    </w:p>
    <w:p w14:paraId="610C9041">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（十九）项目19：煤炭抽检经费</w:t>
      </w:r>
    </w:p>
    <w:p w14:paraId="2DB53890">
      <w:pPr>
        <w:pStyle w:val="5"/>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1.项目支出预算执行情况。</w:t>
      </w:r>
      <w:r>
        <w:rPr>
          <w:rFonts w:hint="eastAsia" w:ascii="仿宋_GB2312" w:hAnsi="仿宋_GB2312" w:eastAsia="仿宋_GB2312" w:cs="仿宋_GB2312"/>
          <w:sz w:val="32"/>
          <w:szCs w:val="32"/>
          <w:lang w:val="en-US" w:eastAsia="zh-CN"/>
        </w:rPr>
        <w:t>2021年煤炭抽检经费预算13万元。年度总支出9万元，其中抽检支出9万元。</w:t>
      </w:r>
    </w:p>
    <w:p w14:paraId="4B74030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640" w:left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2.总体绩效目标完成情况分析。</w:t>
      </w:r>
      <w:r>
        <w:rPr>
          <w:rFonts w:hint="eastAsia" w:ascii="仿宋_GB2312" w:hAnsi="仿宋_GB2312" w:eastAsia="仿宋_GB2312" w:cs="仿宋_GB2312"/>
          <w:sz w:val="32"/>
          <w:szCs w:val="32"/>
          <w:lang w:val="en-US" w:eastAsia="zh-CN"/>
        </w:rPr>
        <w:t>全年辖区煤炭产业得到了及时有效的抽检，产出指标、效益指标和满意度指标都达到预期目标，总体绩效目标全面完成。</w:t>
      </w:r>
    </w:p>
    <w:p w14:paraId="7CA97E6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3.各项指标完成情况分析。</w:t>
      </w:r>
      <w:r>
        <w:rPr>
          <w:rFonts w:hint="eastAsia" w:ascii="仿宋_GB2312" w:hAnsi="仿宋_GB2312" w:eastAsia="仿宋_GB2312" w:cs="仿宋_GB2312"/>
          <w:sz w:val="32"/>
          <w:szCs w:val="32"/>
          <w:lang w:val="en-US" w:eastAsia="zh-CN"/>
        </w:rPr>
        <w:t>产出指标：煤炭销售网点进煤批次30批次，煤炭抽检30批次，全部及时抽检完成，成本也控制在年初预算范围之内。数量指标、质量指标、时效指标和成本指标各项都完成。效益指标：煤炭抽检工作可防止部分不合格煤炭造成的二次污染，降低对环境产生的不良影响，有效改善了人民群众生活环境，在经济效益方面来说，各餐饮经营主体使用合格煤炭产品，降低了煤炭产业投资和运行管理费用，减轻经营主体负担。经济效益指标、社会效益指标和可持续影响指标全部完成。满意度指标：产品使用主体满意度完成年度指标值，大于90%。</w:t>
      </w:r>
    </w:p>
    <w:p w14:paraId="19B38F2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4.偏离绩效目标的原因及下一步改进措施。</w:t>
      </w:r>
      <w:r>
        <w:rPr>
          <w:rFonts w:hint="eastAsia" w:ascii="仿宋_GB2312" w:hAnsi="仿宋_GB2312" w:eastAsia="仿宋_GB2312" w:cs="仿宋_GB2312"/>
          <w:sz w:val="32"/>
          <w:szCs w:val="32"/>
          <w:lang w:val="en-US" w:eastAsia="zh-CN"/>
        </w:rPr>
        <w:t>因上半年辖区煤炭企业停业整顿，煤炭企业进煤时间滞后，后期又受疫情影响，各煤炭企业进煤频次大幅下降。</w:t>
      </w:r>
    </w:p>
    <w:p w14:paraId="6DB0D04C">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（二十）项目20：产品质量抽检经费</w:t>
      </w:r>
    </w:p>
    <w:p w14:paraId="6C2FBA3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1.项目支出预算执行情况。</w:t>
      </w:r>
      <w:r>
        <w:rPr>
          <w:rFonts w:hint="eastAsia" w:ascii="仿宋_GB2312" w:hAnsi="仿宋_GB2312" w:eastAsia="仿宋_GB2312" w:cs="仿宋_GB2312"/>
          <w:sz w:val="32"/>
          <w:szCs w:val="32"/>
          <w:lang w:val="en-US" w:eastAsia="zh-CN"/>
        </w:rPr>
        <w:t>2021年产品质量抽检经费预算11万元。年度总支出10.95万元，其中抽检支出10.95万元。</w:t>
      </w:r>
    </w:p>
    <w:p w14:paraId="5F020D4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w:t>
      </w:r>
      <w:r>
        <w:rPr>
          <w:rFonts w:hint="eastAsia" w:ascii="仿宋_GB2312" w:hAnsi="仿宋_GB2312" w:eastAsia="仿宋_GB2312" w:cs="仿宋_GB2312"/>
          <w:sz w:val="32"/>
          <w:szCs w:val="32"/>
          <w:lang w:val="en-US" w:eastAsia="zh-CN"/>
        </w:rPr>
        <w:t>全年辖区产品质量得到了及时有效的抽检，产出指标、效益指标和满意度指标都达到预期目标，总体绩效目标全面完成。</w:t>
      </w:r>
    </w:p>
    <w:p w14:paraId="40AEF01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3.各项指标完成情况分析。</w:t>
      </w:r>
      <w:r>
        <w:rPr>
          <w:rFonts w:hint="eastAsia" w:ascii="仿宋_GB2312" w:hAnsi="仿宋_GB2312" w:eastAsia="仿宋_GB2312" w:cs="仿宋_GB2312"/>
          <w:sz w:val="32"/>
          <w:szCs w:val="32"/>
          <w:lang w:val="en-US" w:eastAsia="zh-CN"/>
        </w:rPr>
        <w:t>产出指标：产品质量抽检检验类别9种，检验批次9批次，全部及时抽检完成，成本也控制在年初预算范围之内。数量指标、质量指标、时效指标和成本指标各项都完成。效益指标：产品质量抽检工作可防止部分不合格产品危害群众身体健康，有效改善了人民群众生活环境，在经济效益方面来说，消费者使用合格产品，降低了维权费用和身体伤害后的医治费用，减轻经营主体和消费者负担。经济效益指标、社会效益指标和可持续影响指标全部完成。满意度指标：产品使用主体满意度完成年度指标值，大于90%。</w:t>
      </w:r>
    </w:p>
    <w:p w14:paraId="6A4425A6">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（二十一）项目21：食品抽检经费</w:t>
      </w:r>
    </w:p>
    <w:p w14:paraId="077EF40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1.项目支出预算执行情况。</w:t>
      </w:r>
      <w:r>
        <w:rPr>
          <w:rFonts w:hint="eastAsia" w:ascii="仿宋_GB2312" w:hAnsi="仿宋_GB2312" w:eastAsia="仿宋_GB2312" w:cs="仿宋_GB2312"/>
          <w:sz w:val="32"/>
          <w:szCs w:val="32"/>
          <w:lang w:val="en-US" w:eastAsia="zh-CN"/>
        </w:rPr>
        <w:t>2021年</w:t>
      </w:r>
      <w:r>
        <w:rPr>
          <w:rFonts w:hint="eastAsia" w:ascii="仿宋_GB2312" w:hAnsi="仿宋_GB2312" w:eastAsia="仿宋_GB2312" w:cs="仿宋_GB2312"/>
          <w:b w:val="0"/>
          <w:bCs w:val="0"/>
          <w:color w:val="auto"/>
          <w:sz w:val="32"/>
          <w:szCs w:val="32"/>
          <w:lang w:val="en-US" w:eastAsia="zh-CN"/>
        </w:rPr>
        <w:t>食品抽检经费</w:t>
      </w:r>
      <w:r>
        <w:rPr>
          <w:rFonts w:hint="eastAsia" w:ascii="仿宋_GB2312" w:hAnsi="仿宋_GB2312" w:eastAsia="仿宋_GB2312" w:cs="仿宋_GB2312"/>
          <w:sz w:val="32"/>
          <w:szCs w:val="32"/>
          <w:lang w:val="en-US" w:eastAsia="zh-CN"/>
        </w:rPr>
        <w:t>预算21万元，</w:t>
      </w:r>
      <w:r>
        <w:rPr>
          <w:rFonts w:hint="eastAsia" w:ascii="仿宋_GB2312" w:hAnsi="仿宋_GB2312" w:eastAsia="仿宋_GB2312" w:cs="仿宋_GB2312"/>
          <w:b w:val="0"/>
          <w:bCs w:val="0"/>
          <w:sz w:val="32"/>
          <w:szCs w:val="32"/>
          <w:lang w:val="en-US" w:eastAsia="zh-CN"/>
        </w:rPr>
        <w:t>严格按照建设项目实施进度，全年支出10.248万元。</w:t>
      </w:r>
    </w:p>
    <w:p w14:paraId="4247F8F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w:t>
      </w:r>
      <w:r>
        <w:rPr>
          <w:rFonts w:hint="eastAsia" w:ascii="仿宋_GB2312" w:hAnsi="仿宋_GB2312" w:eastAsia="仿宋_GB2312" w:cs="仿宋_GB2312"/>
          <w:sz w:val="32"/>
          <w:szCs w:val="32"/>
          <w:lang w:val="en-US" w:eastAsia="zh-CN"/>
        </w:rPr>
        <w:t>全年辖区食品得到了及时有效的抽检，产出指标、效益指标和满意度指标都达到预期目标，总体绩效目标全面完成。</w:t>
      </w:r>
    </w:p>
    <w:p w14:paraId="0F86B1C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各项指标完成情况分析。产出指标：食品快检大于3000批次，食品抽检大于250批次，全部及时抽检完成，成本也控制在年初预算范围之内。数量指标、质量指标、时效指标和成本指标各项都完成。效益指标：食品抽检工作可防止部分不合格食品危害群众身体健康，有效改善了人民群众生活环境，在经济效益方面来说，消费者使用合格食品，降低了维权费用和身体伤害后的医治费用，减轻经营主体和消费者负担。经济效益指标、社会效益指标和可持续影响指标全部完成。满意度指标：产品使用主体满意度完成年度指标值，大于90%。</w:t>
      </w:r>
    </w:p>
    <w:p w14:paraId="38CB15C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color w:val="auto"/>
          <w:sz w:val="32"/>
          <w:szCs w:val="32"/>
          <w:lang w:val="en-US" w:eastAsia="zh-CN"/>
        </w:rPr>
        <w:t>4.</w:t>
      </w:r>
      <w:r>
        <w:rPr>
          <w:rFonts w:hint="eastAsia" w:ascii="仿宋_GB2312" w:hAnsi="仿宋_GB2312" w:eastAsia="仿宋_GB2312" w:cs="仿宋_GB2312"/>
          <w:color w:val="auto"/>
          <w:sz w:val="32"/>
          <w:szCs w:val="32"/>
          <w:lang w:val="en-US" w:eastAsia="zh-CN"/>
        </w:rPr>
        <w:t>偏离绩效目标的原因及下一步改进措施。</w:t>
      </w:r>
      <w:r>
        <w:rPr>
          <w:rFonts w:hint="eastAsia" w:ascii="仿宋_GB2312" w:hAnsi="仿宋_GB2312" w:eastAsia="仿宋_GB2312" w:cs="仿宋_GB2312"/>
          <w:sz w:val="32"/>
          <w:szCs w:val="32"/>
          <w:lang w:val="en-US" w:eastAsia="zh-CN"/>
        </w:rPr>
        <w:t>剩余资金抽检第三方需统一付款。</w:t>
      </w:r>
    </w:p>
    <w:p w14:paraId="3304766C">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（二十二）项目22：制服购买经费</w:t>
      </w:r>
    </w:p>
    <w:p w14:paraId="0F9435C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1.项目支出预算执行情况。2021年制服购买经费9万元，年度总支出0万元。</w:t>
      </w:r>
    </w:p>
    <w:p w14:paraId="44A26DD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w:t>
      </w:r>
      <w:r>
        <w:rPr>
          <w:rFonts w:hint="eastAsia" w:ascii="仿宋_GB2312" w:hAnsi="仿宋_GB2312" w:eastAsia="仿宋_GB2312" w:cs="仿宋_GB2312"/>
          <w:sz w:val="32"/>
          <w:szCs w:val="32"/>
          <w:lang w:val="en-US" w:eastAsia="zh-CN"/>
        </w:rPr>
        <w:t>完成市场监管工作人员购买制服工作，树立形象标志，提高办事效率。各项指标完成情况分析。</w:t>
      </w:r>
    </w:p>
    <w:p w14:paraId="4F47CE9B">
      <w:pPr>
        <w:pStyle w:val="4"/>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200" w:firstLine="320" w:firstLineChars="1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3.各项指标完成情况分析。</w:t>
      </w:r>
      <w:r>
        <w:rPr>
          <w:rFonts w:hint="eastAsia" w:ascii="仿宋_GB2312" w:hAnsi="仿宋_GB2312" w:eastAsia="仿宋_GB2312" w:cs="仿宋_GB2312"/>
          <w:sz w:val="32"/>
          <w:szCs w:val="32"/>
          <w:lang w:val="en-US" w:eastAsia="zh-CN"/>
        </w:rPr>
        <w:t>产出指标：购买制服20套。数量指标、质量指标、时效指标和成本指标各项都完成。效益指标：工作统一制服，有利于工作凝聚力、向心力，提高执法公正力。满意度指标：产品使用主体满意度完成年度指标值，大于90%。</w:t>
      </w:r>
    </w:p>
    <w:p w14:paraId="2E75483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color w:val="auto"/>
          <w:sz w:val="32"/>
          <w:szCs w:val="32"/>
          <w:lang w:val="en-US" w:eastAsia="zh-CN"/>
        </w:rPr>
        <w:t>4.</w:t>
      </w:r>
      <w:r>
        <w:rPr>
          <w:rFonts w:hint="eastAsia" w:ascii="仿宋_GB2312" w:hAnsi="仿宋_GB2312" w:eastAsia="仿宋_GB2312" w:cs="仿宋_GB2312"/>
          <w:color w:val="auto"/>
          <w:sz w:val="32"/>
          <w:szCs w:val="32"/>
          <w:lang w:val="en-US" w:eastAsia="zh-CN"/>
        </w:rPr>
        <w:t>偏离绩效目标的原因及下一步改进措施。偏离绩效目标的原因：</w:t>
      </w:r>
      <w:r>
        <w:rPr>
          <w:rFonts w:hint="eastAsia" w:ascii="仿宋_GB2312" w:hAnsi="仿宋_GB2312" w:eastAsia="仿宋_GB2312" w:cs="仿宋_GB2312"/>
          <w:sz w:val="32"/>
          <w:szCs w:val="32"/>
          <w:lang w:val="en-US" w:eastAsia="zh-CN"/>
        </w:rPr>
        <w:t>因部分制服还未制作完，等制作完毕后进行统一付款。下一步改进措施：催促制作方加快制服的制作及调换工作。</w:t>
      </w:r>
    </w:p>
    <w:p w14:paraId="184C1383">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（二十三）项目23：应急指挥视频调试系统平台</w:t>
      </w:r>
    </w:p>
    <w:p w14:paraId="03F6E0A9">
      <w:pPr>
        <w:keepNext w:val="0"/>
        <w:keepLines w:val="0"/>
        <w:pageBreakBefore w:val="0"/>
        <w:kinsoku/>
        <w:wordWrap/>
        <w:overflowPunct/>
        <w:topLinePunct w:val="0"/>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该项目因拟中标单位设备参数在复核时出现负偏离，经专家组及监管部门研究，启动二次招标，故2021年为形成有效支出。</w:t>
      </w:r>
    </w:p>
    <w:p w14:paraId="38471A08">
      <w:pPr>
        <w:keepNext w:val="0"/>
        <w:keepLines w:val="0"/>
        <w:pageBreakBefore w:val="0"/>
        <w:kinsoku/>
        <w:wordWrap/>
        <w:overflowPunct/>
        <w:topLinePunct w:val="0"/>
        <w:autoSpaceDN/>
        <w:bidi w:val="0"/>
        <w:adjustRightInd w:val="0"/>
        <w:snapToGrid w:val="0"/>
        <w:spacing w:line="560" w:lineRule="exact"/>
        <w:ind w:firstLine="640" w:firstLineChars="200"/>
        <w:textAlignment w:val="auto"/>
        <w:rPr>
          <w:rFonts w:hint="eastAsia"/>
          <w:lang w:val="en-US" w:eastAsia="zh-CN"/>
        </w:rPr>
      </w:pPr>
      <w:r>
        <w:rPr>
          <w:rFonts w:hint="eastAsia" w:ascii="仿宋_GB2312" w:hAnsi="仿宋_GB2312" w:eastAsia="仿宋_GB2312" w:cs="仿宋_GB2312"/>
          <w:sz w:val="32"/>
          <w:szCs w:val="32"/>
          <w:lang w:val="en-US" w:eastAsia="zh-CN"/>
        </w:rPr>
        <w:t>2021年上半年完成项目招标前期准备工作，于2021年7月开展招标采购工作，后因拟中标单位设备参数在复核时出现负偏离，经专家组及监管部门研究，启动二次招标，2021年10月开始，兰州市疫情形式严峻，兰州新区公共资源交易中心暂停项目招标，直至2021年12月才完成项目招标工作。下一步将加快推进项目建设进度，疫情管控结束后，加快项目设备安装及调试工作，确保应急指挥调度系统尽快投入使用；确保项目建设质量，进一步强化责任意识，加强监督管理，严格落实项目验收审核，确保项目在快速高效推进中，建设质量不打折扣。</w:t>
      </w:r>
    </w:p>
    <w:p w14:paraId="0B017535">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（二十四）项目24：兰州新区文曲中心社区保障运转项目</w:t>
      </w:r>
    </w:p>
    <w:p w14:paraId="2E1BC22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1.项目支出预算执行情况。该项目资金拨付至文曲中心社区。</w:t>
      </w:r>
    </w:p>
    <w:p w14:paraId="7467F62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2.总体绩效目标完成情况。该项目总体目标全部完成。确保了文曲中心社区及文曲社区、山字墩社区正常运转。</w:t>
      </w:r>
    </w:p>
    <w:p w14:paraId="19D3AE5D">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3.各项指标完成情况分析。该项目各项指标均已完成。中心社区办公阵地搬迁按时完成，各项费用及时支付，部门运转正常。</w:t>
      </w:r>
    </w:p>
    <w:p w14:paraId="165A594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4.</w:t>
      </w:r>
      <w:r>
        <w:rPr>
          <w:rFonts w:hint="eastAsia" w:ascii="仿宋_GB2312" w:hAnsi="仿宋_GB2312" w:eastAsia="仿宋_GB2312" w:cs="仿宋_GB2312"/>
          <w:color w:val="auto"/>
          <w:sz w:val="32"/>
          <w:szCs w:val="32"/>
          <w:lang w:val="en-US" w:eastAsia="zh-CN"/>
        </w:rPr>
        <w:t>偏离绩效目标的原因及下一步改进措施。</w:t>
      </w:r>
    </w:p>
    <w:p w14:paraId="26C76ED3">
      <w:pPr>
        <w:keepNext w:val="0"/>
        <w:keepLines w:val="0"/>
        <w:pageBreakBefore w:val="0"/>
        <w:kinsoku/>
        <w:wordWrap/>
        <w:overflowPunct/>
        <w:topLinePunct w:val="0"/>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偏离绩效目标的原因：一是年初预算时单位物业费、水电费、取暖费等费用计算面积为整个四合院面积，2021年7月份办公阵地移交搬迁时，因园区层面整体规划，中心社区办公阵地只占用1号院，面积减少，其他院子产生的费用不由中心社区承担，所以部分费用支出减少。二是文曲社区办公阵地租赁费年初预算40万元，2021年下半年经过与城投公司多次协调，免收文曲社区办公阵地租赁费。三是因办公阵地搬迁，面积重新计算，供暖公司未及时在2021年12月31日前收取取暖费，取暖费未按时支出，但是没有影响正常供暖。四是山字墩社区办公阵地2021年未完成装修使用，未收取相关费用。</w:t>
      </w:r>
    </w:p>
    <w:p w14:paraId="1F75C214">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（二十五）项目25：“三大攻坚战”经费（文曲中心社区）</w:t>
      </w:r>
    </w:p>
    <w:p w14:paraId="422B6E6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楷体_GB2312" w:hAnsi="楷体_GB2312" w:eastAsia="楷体_GB2312" w:cs="楷体_GB2312"/>
          <w:b w:val="0"/>
          <w:bCs w:val="0"/>
          <w:color w:val="auto"/>
          <w:sz w:val="32"/>
          <w:szCs w:val="32"/>
          <w:lang w:val="en-US" w:eastAsia="zh-CN"/>
        </w:rPr>
        <w:t>1.</w:t>
      </w:r>
      <w:r>
        <w:rPr>
          <w:rFonts w:hint="eastAsia" w:ascii="仿宋_GB2312" w:hAnsi="仿宋_GB2312" w:eastAsia="仿宋_GB2312" w:cs="仿宋_GB2312"/>
          <w:b w:val="0"/>
          <w:bCs w:val="0"/>
          <w:sz w:val="32"/>
          <w:szCs w:val="32"/>
          <w:lang w:val="en-US" w:eastAsia="zh-CN"/>
        </w:rPr>
        <w:t>项目支出预算执行情况</w:t>
      </w:r>
      <w:r>
        <w:rPr>
          <w:rFonts w:hint="eastAsia" w:ascii="仿宋_GB2312" w:hAnsi="仿宋_GB2312" w:cs="仿宋_GB2312"/>
          <w:b w:val="0"/>
          <w:bCs w:val="0"/>
          <w:sz w:val="32"/>
          <w:szCs w:val="32"/>
          <w:lang w:val="en-US" w:eastAsia="zh-CN"/>
        </w:rPr>
        <w:t>。</w:t>
      </w:r>
      <w:r>
        <w:rPr>
          <w:rFonts w:hint="eastAsia" w:ascii="仿宋_GB2312" w:hAnsi="仿宋_GB2312" w:eastAsia="仿宋_GB2312" w:cs="仿宋_GB2312"/>
          <w:b w:val="0"/>
          <w:bCs w:val="0"/>
          <w:sz w:val="32"/>
          <w:szCs w:val="32"/>
          <w:lang w:val="en-US" w:eastAsia="zh-CN"/>
        </w:rPr>
        <w:t>该项目资金10万元，为先实施考核后拨款项目，项目资金于2022年1月全部支出。</w:t>
      </w:r>
    </w:p>
    <w:p w14:paraId="4AF545C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2.总体绩效目标完成情况。</w:t>
      </w:r>
      <w:r>
        <w:rPr>
          <w:rFonts w:hint="eastAsia" w:ascii="仿宋_GB2312" w:hAnsi="仿宋_GB2312" w:eastAsia="仿宋_GB2312" w:cs="仿宋_GB2312"/>
          <w:b w:val="0"/>
          <w:bCs w:val="0"/>
          <w:kern w:val="2"/>
          <w:sz w:val="32"/>
          <w:szCs w:val="32"/>
          <w:lang w:val="en-US" w:eastAsia="zh-CN" w:bidi="ar-SA"/>
        </w:rPr>
        <w:t>该项目总体目标全部完成。西岔园全域“大排查、大清洁、大治理、大比武”人居环境整治工程按期完成。</w:t>
      </w:r>
    </w:p>
    <w:p w14:paraId="0883390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kern w:val="2"/>
          <w:sz w:val="32"/>
          <w:szCs w:val="32"/>
          <w:lang w:val="en-US" w:eastAsia="zh-CN" w:bidi="ar-SA"/>
        </w:rPr>
        <w:t>3.各项指标完成情况分析。该项目各项指标均已完成。累积签订“门前三包”责任书400余份，累计清理乱扯乱挂80余处、规范占道经营72处、拆除违规户外广告30余块、拆除破损广告50余块、喷绘遮盖各类小广告120余处，督导整改施工破损围挡20余处6000余㎡，督促修复商业区破损墙面2处300余㎡，市容市貌得到较大改观。累计清理各类建筑、装修垃圾32车140余吨，确保垃圾清运日产日清。为解决商业区等路段的车辆乱停乱放问题，联合园区建设局、物业公司、交警队清理停车位上长期停放小摊贩车和长期占用堆放物品等问题42处，城区秩序“顽疾”得到有效整改。联合园区建设局，组织秦东实业公司对辖区6个点位的建筑垃圾、荒草土堆、破损搭建等问题进行集中清理，整治成效明显。</w:t>
      </w:r>
    </w:p>
    <w:p w14:paraId="2B13CE77">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（二十六）项目26：“三大攻坚战”经费（西岔镇）</w:t>
      </w:r>
    </w:p>
    <w:p w14:paraId="389E803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1.项目支出预算执行情况。项目资金50万元，该项目为先实施考核后拨款项目，项目资金于2022年1月全部支出。</w:t>
      </w:r>
    </w:p>
    <w:p w14:paraId="3AD031C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为保障西岔镇保留西岔商贸街及各村主干道日常保洁、残垣断壁、旱厕拆除、危旧房拆除等各项工作的正常开展，确保村级环境卫生干净整洁，为群众营造一个良好的生活环境，根据镇会议纪要要求，将环境卫生“大排除、大比武”经费，分别拨至各村及镇属公司。2021年各村共计使用临时工约100人，费用10万元；机械租赁15次，费用8万元，其他支出4.5万元；镇域公司25.9万元，保障西岔商贸一条街环境整治工作正常开展；村级公益性共管共享人员补助1.6万元，保障了村级共管共享人员补助及时发放。2021年我镇村级与镇级环境卫生工作开展较为良好，总体绩效目标完成情况良好，镇域内生活环境明显提高。2.总体绩效目标完成情况。我局严格按照项目建设基本程序及年度目标任务，全面完成了各项目建设任务，及时拨付项目建设资金，全力保障基础设施项目顺利施工完成，进一步构建了园区路网框架体系。</w:t>
      </w:r>
    </w:p>
    <w:p w14:paraId="07DE906A">
      <w:pPr>
        <w:pStyle w:val="4"/>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3.各项指标完成情况分析。</w:t>
      </w:r>
      <w:r>
        <w:rPr>
          <w:rFonts w:hint="eastAsia" w:ascii="仿宋_GB2312" w:hAnsi="仿宋_GB2312" w:eastAsia="仿宋_GB2312" w:cs="仿宋_GB2312"/>
          <w:b w:val="0"/>
          <w:bCs w:val="0"/>
          <w:kern w:val="2"/>
          <w:sz w:val="32"/>
          <w:szCs w:val="32"/>
          <w:lang w:val="en-US" w:eastAsia="zh-CN" w:bidi="ar-SA"/>
        </w:rPr>
        <w:t>数量指标：村级临时雇用人员劳务费、机械租赁、购买卫生工具、共管共享人员，以上各项指标，实际完成值100%；质量指标：垃圾及时清运，实际完成值98%，原因为有时垃圾清运不及时，造成垃圾堆积，给居民生活带来不便；人员劳务费发放、卫生工具质量合格，实际完成值100%；时效指标：环境卫生保洁工作正常开展，实际完成值98%，原因为临时环卫人员招聘时人员较少，镇域范围较大，工作开展出现滞后现象；社会指标：增加就业机会，实际完成值100%；保障辖区内环境干净整洁，实际完成值98%，原因为村道巷内有时容易堆积垃圾，未及时清运；可持续性指标：环境卫生整洁度得到明显提升，实际完成值100%；服务对象满意度指标：群众满意度，实际完成98%，原因为垃圾清运有时出现滞后，引起部分群众的不满。</w:t>
      </w:r>
    </w:p>
    <w:p w14:paraId="28DCA60D">
      <w:pPr>
        <w:pStyle w:val="8"/>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楷体_GB2312" w:hAnsi="楷体_GB2312" w:eastAsia="楷体_GB2312" w:cs="楷体_GB2312"/>
          <w:b w:val="0"/>
          <w:bCs w:val="0"/>
          <w:color w:val="auto"/>
          <w:sz w:val="32"/>
          <w:szCs w:val="32"/>
          <w:lang w:val="en-US" w:eastAsia="zh-CN"/>
        </w:rPr>
      </w:pPr>
      <w:r>
        <w:rPr>
          <w:rFonts w:hint="eastAsia" w:ascii="楷体_GB2312" w:hAnsi="楷体_GB2312" w:eastAsia="楷体_GB2312" w:cs="楷体_GB2312"/>
          <w:b w:val="0"/>
          <w:bCs w:val="0"/>
          <w:color w:val="auto"/>
          <w:sz w:val="32"/>
          <w:szCs w:val="32"/>
          <w:lang w:val="en-US" w:eastAsia="zh-CN"/>
        </w:rPr>
        <w:t>（二十七）项目27：地质灾害防治</w:t>
      </w:r>
    </w:p>
    <w:p w14:paraId="6CDD631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1.项目支出预算执行情况。年初预算申请10万元，由于新区自然资源局承担部分工作内容，将年初预算调整为5.38万元，全年支出5.332万元，执行率99.11%。</w:t>
      </w:r>
    </w:p>
    <w:p w14:paraId="454D09F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总体绩效目标完成情况。总体绩效目标为全面掌握园区辖区内地质灾害隐患点实际情况，建立完善巡查检查台账，并针对隐患点实际，制定科学合理的治理措施，及时治理存在较大隐患的隐患点。全面完成绩效目标，编制《西岔园区地质灾害防治方案》，制作地质灾害宣传牌8块。</w:t>
      </w:r>
    </w:p>
    <w:p w14:paraId="74097206">
      <w:pPr>
        <w:pStyle w:val="4"/>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3.各项指标完成情况分析。</w:t>
      </w:r>
      <w:r>
        <w:rPr>
          <w:rFonts w:hint="eastAsia" w:ascii="仿宋_GB2312" w:hAnsi="仿宋_GB2312" w:eastAsia="仿宋_GB2312" w:cs="仿宋_GB2312"/>
          <w:b w:val="0"/>
          <w:bCs w:val="0"/>
          <w:kern w:val="2"/>
          <w:sz w:val="32"/>
          <w:szCs w:val="32"/>
          <w:lang w:val="en-US" w:eastAsia="zh-CN" w:bidi="ar-SA"/>
        </w:rPr>
        <w:t xml:space="preserve">产出指标完成情况：完成地质灾害排查巡查10次，及时编制《西岔园区地质灾害防治方案》，并制作地质灾害宣传牌8块，实际支出5.332万元，有效的控制了成本；效益指标完成情况：有效的提升了群众防灾避险能力，保护了群众生命财产安全；满意度指标完成情况：受益群众很满意。 </w:t>
      </w:r>
    </w:p>
    <w:p w14:paraId="3B30C06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firstLine="640" w:firstLineChars="200"/>
        <w:jc w:val="both"/>
        <w:textAlignment w:val="auto"/>
        <w:outlineLvl w:val="9"/>
        <w:rPr>
          <w:rFonts w:hint="eastAsia" w:ascii="楷体_GB2312" w:hAnsi="楷体_GB2312" w:eastAsia="楷体_GB2312" w:cs="楷体_GB2312"/>
          <w:b w:val="0"/>
          <w:bCs w:val="0"/>
          <w:color w:val="auto"/>
          <w:sz w:val="32"/>
          <w:szCs w:val="32"/>
          <w:lang w:eastAsia="zh-CN"/>
        </w:rPr>
      </w:pPr>
      <w:r>
        <w:rPr>
          <w:rFonts w:hint="eastAsia" w:ascii="楷体_GB2312" w:hAnsi="楷体_GB2312" w:eastAsia="楷体_GB2312" w:cs="楷体_GB2312"/>
          <w:b w:val="0"/>
          <w:bCs w:val="0"/>
          <w:color w:val="auto"/>
          <w:sz w:val="32"/>
          <w:szCs w:val="32"/>
          <w:lang w:val="en-US" w:eastAsia="zh-CN"/>
        </w:rPr>
        <w:t>（二十八）项目28：</w:t>
      </w:r>
      <w:r>
        <w:rPr>
          <w:rFonts w:hint="eastAsia" w:ascii="楷体_GB2312" w:hAnsi="楷体_GB2312" w:eastAsia="楷体_GB2312" w:cs="楷体_GB2312"/>
          <w:b w:val="0"/>
          <w:bCs w:val="0"/>
          <w:color w:val="auto"/>
          <w:kern w:val="2"/>
          <w:sz w:val="32"/>
          <w:szCs w:val="32"/>
          <w:lang w:val="en-US" w:eastAsia="zh-CN" w:bidi="ar-SA"/>
        </w:rPr>
        <w:t>绿化管护费</w:t>
      </w:r>
    </w:p>
    <w:p w14:paraId="1314124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i w:val="0"/>
          <w:caps w:val="0"/>
          <w:color w:val="171A1D"/>
          <w:spacing w:val="0"/>
          <w:sz w:val="32"/>
          <w:szCs w:val="32"/>
          <w:shd w:val="clear" w:color="auto" w:fill="FFFFFF"/>
          <w:lang w:eastAsia="zh-CN"/>
        </w:rPr>
      </w:pPr>
      <w:r>
        <w:rPr>
          <w:rFonts w:hint="eastAsia" w:ascii="仿宋_GB2312" w:hAnsi="仿宋_GB2312" w:eastAsia="仿宋_GB2312" w:cs="仿宋_GB2312"/>
          <w:b w:val="0"/>
          <w:bCs w:val="0"/>
          <w:sz w:val="32"/>
          <w:szCs w:val="32"/>
          <w:lang w:val="en-US" w:eastAsia="zh-CN"/>
        </w:rPr>
        <w:t>1.项目支出预算执行情况。</w:t>
      </w:r>
      <w:r>
        <w:rPr>
          <w:rFonts w:hint="eastAsia" w:ascii="仿宋_GB2312" w:hAnsi="仿宋_GB2312" w:eastAsia="仿宋_GB2312" w:cs="仿宋_GB2312"/>
          <w:i w:val="0"/>
          <w:caps w:val="0"/>
          <w:color w:val="171A1D"/>
          <w:spacing w:val="0"/>
          <w:sz w:val="32"/>
          <w:szCs w:val="32"/>
          <w:shd w:val="clear" w:color="auto" w:fill="FFFFFF"/>
        </w:rPr>
        <w:t>年初预算</w:t>
      </w:r>
      <w:r>
        <w:rPr>
          <w:rFonts w:hint="eastAsia" w:ascii="仿宋_GB2312" w:hAnsi="仿宋_GB2312" w:eastAsia="仿宋_GB2312" w:cs="仿宋_GB2312"/>
          <w:i w:val="0"/>
          <w:caps w:val="0"/>
          <w:color w:val="171A1D"/>
          <w:spacing w:val="0"/>
          <w:sz w:val="32"/>
          <w:szCs w:val="32"/>
          <w:shd w:val="clear" w:color="auto" w:fill="FFFFFF"/>
          <w:lang w:eastAsia="zh-CN"/>
        </w:rPr>
        <w:t>绿化管护费用</w:t>
      </w:r>
      <w:r>
        <w:rPr>
          <w:rFonts w:hint="eastAsia" w:ascii="仿宋_GB2312" w:hAnsi="仿宋_GB2312" w:eastAsia="仿宋_GB2312" w:cs="仿宋_GB2312"/>
          <w:i w:val="0"/>
          <w:caps w:val="0"/>
          <w:color w:val="171A1D"/>
          <w:spacing w:val="0"/>
          <w:sz w:val="32"/>
          <w:szCs w:val="32"/>
          <w:shd w:val="clear" w:color="auto" w:fill="FFFFFF"/>
          <w:lang w:val="en-US" w:eastAsia="zh-CN"/>
        </w:rPr>
        <w:t>81</w:t>
      </w:r>
      <w:r>
        <w:rPr>
          <w:rFonts w:hint="eastAsia" w:ascii="仿宋_GB2312" w:hAnsi="仿宋_GB2312" w:eastAsia="仿宋_GB2312" w:cs="仿宋_GB2312"/>
          <w:i w:val="0"/>
          <w:caps w:val="0"/>
          <w:color w:val="171A1D"/>
          <w:spacing w:val="0"/>
          <w:sz w:val="32"/>
          <w:szCs w:val="32"/>
          <w:shd w:val="clear" w:color="auto" w:fill="FFFFFF"/>
          <w:lang w:eastAsia="zh-CN"/>
        </w:rPr>
        <w:t>万</w:t>
      </w:r>
      <w:r>
        <w:rPr>
          <w:rFonts w:hint="eastAsia" w:ascii="仿宋_GB2312" w:hAnsi="仿宋_GB2312" w:eastAsia="仿宋_GB2312" w:cs="仿宋_GB2312"/>
          <w:i w:val="0"/>
          <w:caps w:val="0"/>
          <w:color w:val="171A1D"/>
          <w:spacing w:val="0"/>
          <w:sz w:val="32"/>
          <w:szCs w:val="32"/>
          <w:shd w:val="clear" w:color="auto" w:fill="FFFFFF"/>
        </w:rPr>
        <w:t>元，</w:t>
      </w:r>
      <w:r>
        <w:rPr>
          <w:rFonts w:hint="eastAsia" w:ascii="仿宋_GB2312" w:hAnsi="仿宋_GB2312" w:eastAsia="仿宋_GB2312" w:cs="仿宋_GB2312"/>
          <w:i w:val="0"/>
          <w:caps w:val="0"/>
          <w:color w:val="171A1D"/>
          <w:spacing w:val="0"/>
          <w:sz w:val="32"/>
          <w:szCs w:val="32"/>
          <w:shd w:val="clear" w:color="auto" w:fill="FFFFFF"/>
          <w:lang w:eastAsia="zh-CN"/>
        </w:rPr>
        <w:t>已全部拨付新区市政集团</w:t>
      </w:r>
      <w:r>
        <w:rPr>
          <w:rFonts w:hint="eastAsia" w:ascii="仿宋_GB2312" w:hAnsi="仿宋_GB2312" w:eastAsia="仿宋_GB2312" w:cs="仿宋_GB2312"/>
          <w:i w:val="0"/>
          <w:caps w:val="0"/>
          <w:color w:val="171A1D"/>
          <w:spacing w:val="0"/>
          <w:sz w:val="32"/>
          <w:szCs w:val="32"/>
          <w:shd w:val="clear" w:color="auto" w:fill="FFFFFF"/>
        </w:rPr>
        <w:t>，</w:t>
      </w:r>
      <w:r>
        <w:rPr>
          <w:rFonts w:hint="eastAsia" w:ascii="仿宋_GB2312" w:hAnsi="仿宋_GB2312" w:eastAsia="仿宋_GB2312" w:cs="仿宋_GB2312"/>
          <w:i w:val="0"/>
          <w:caps w:val="0"/>
          <w:color w:val="171A1D"/>
          <w:spacing w:val="0"/>
          <w:sz w:val="32"/>
          <w:szCs w:val="32"/>
          <w:shd w:val="clear" w:color="auto" w:fill="FFFFFF"/>
          <w:lang w:eastAsia="zh-CN"/>
        </w:rPr>
        <w:t>用于支付人工工资、浇水、除草、病虫害防治、修剪等日常管护工作，</w:t>
      </w:r>
      <w:r>
        <w:rPr>
          <w:rFonts w:hint="eastAsia" w:ascii="仿宋_GB2312" w:hAnsi="仿宋_GB2312" w:eastAsia="仿宋_GB2312" w:cs="仿宋_GB2312"/>
          <w:i w:val="0"/>
          <w:caps w:val="0"/>
          <w:color w:val="171A1D"/>
          <w:spacing w:val="0"/>
          <w:sz w:val="32"/>
          <w:szCs w:val="32"/>
          <w:shd w:val="clear" w:color="auto" w:fill="FFFFFF"/>
        </w:rPr>
        <w:t>支付率达到100%</w:t>
      </w:r>
      <w:r>
        <w:rPr>
          <w:rFonts w:hint="eastAsia" w:ascii="仿宋_GB2312" w:hAnsi="仿宋_GB2312" w:eastAsia="仿宋_GB2312" w:cs="仿宋_GB2312"/>
          <w:i w:val="0"/>
          <w:caps w:val="0"/>
          <w:color w:val="171A1D"/>
          <w:spacing w:val="0"/>
          <w:sz w:val="32"/>
          <w:szCs w:val="32"/>
          <w:shd w:val="clear" w:color="auto" w:fill="FFFFFF"/>
          <w:lang w:eastAsia="zh-CN"/>
        </w:rPr>
        <w:t>。</w:t>
      </w:r>
    </w:p>
    <w:p w14:paraId="49C09C0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outlineLvl w:val="9"/>
        <w:rPr>
          <w:rFonts w:hint="eastAsia" w:ascii="仿宋_GB2312" w:hAnsi="仿宋_GB2312" w:eastAsia="仿宋_GB2312" w:cs="仿宋_GB2312"/>
          <w:i w:val="0"/>
          <w:caps w:val="0"/>
          <w:color w:val="171A1D"/>
          <w:spacing w:val="0"/>
          <w:sz w:val="32"/>
          <w:szCs w:val="32"/>
          <w:shd w:val="clear" w:color="auto" w:fill="FFFFFF"/>
          <w:lang w:eastAsia="zh-CN"/>
        </w:rPr>
      </w:pPr>
      <w:r>
        <w:rPr>
          <w:rFonts w:hint="eastAsia" w:ascii="仿宋_GB2312" w:hAnsi="仿宋_GB2312" w:eastAsia="仿宋_GB2312" w:cs="仿宋_GB2312"/>
          <w:b w:val="0"/>
          <w:bCs w:val="0"/>
          <w:sz w:val="32"/>
          <w:szCs w:val="32"/>
          <w:lang w:val="en-US" w:eastAsia="zh-CN"/>
        </w:rPr>
        <w:t>2.总体绩效目标完成情况。</w:t>
      </w:r>
      <w:r>
        <w:rPr>
          <w:rFonts w:hint="eastAsia" w:ascii="仿宋_GB2312" w:hAnsi="仿宋_GB2312" w:eastAsia="仿宋_GB2312" w:cs="仿宋_GB2312"/>
          <w:i w:val="0"/>
          <w:caps w:val="0"/>
          <w:color w:val="171A1D"/>
          <w:spacing w:val="0"/>
          <w:sz w:val="32"/>
          <w:szCs w:val="32"/>
          <w:shd w:val="clear" w:color="auto" w:fill="FFFFFF"/>
          <w:lang w:val="en-US" w:eastAsia="zh-CN"/>
        </w:rPr>
        <w:t>2021年绿化管护工作按照管护合同和考核办法严格进行，每月进行定期与不定期检查，发现问题立即整改，全面提升城市绿化管护水平，提升城市绿化覆盖率，增强了群众对城市绿化环境满意度，</w:t>
      </w:r>
      <w:r>
        <w:rPr>
          <w:rFonts w:hint="eastAsia" w:ascii="仿宋_GB2312" w:hAnsi="仿宋_GB2312" w:eastAsia="仿宋_GB2312" w:cs="仿宋_GB2312"/>
          <w:i w:val="0"/>
          <w:caps w:val="0"/>
          <w:color w:val="171A1D"/>
          <w:spacing w:val="0"/>
          <w:sz w:val="32"/>
          <w:szCs w:val="32"/>
          <w:shd w:val="clear" w:color="auto" w:fill="FFFFFF"/>
        </w:rPr>
        <w:t>未发生偏离绩效目标。</w:t>
      </w:r>
    </w:p>
    <w:p w14:paraId="3191111A">
      <w:pPr>
        <w:pStyle w:val="4"/>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3.各项指标完成情况分析。</w:t>
      </w:r>
      <w:r>
        <w:rPr>
          <w:rFonts w:hint="eastAsia" w:ascii="仿宋_GB2312" w:hAnsi="仿宋_GB2312" w:eastAsia="仿宋_GB2312" w:cs="仿宋_GB2312"/>
          <w:i w:val="0"/>
          <w:caps w:val="0"/>
          <w:color w:val="171A1D"/>
          <w:spacing w:val="0"/>
          <w:sz w:val="32"/>
          <w:szCs w:val="32"/>
          <w:shd w:val="clear" w:color="auto" w:fill="FFFFFF"/>
        </w:rPr>
        <w:t>产出指标中四项指标全部按照年度完成；效益指标中四项指标全部按照年度指标完成，达到预期效果；满意度指标达到100%</w:t>
      </w:r>
      <w:r>
        <w:rPr>
          <w:rFonts w:hint="eastAsia" w:ascii="仿宋_GB2312" w:hAnsi="仿宋_GB2312" w:eastAsia="仿宋_GB2312" w:cs="仿宋_GB2312"/>
          <w:i w:val="0"/>
          <w:caps w:val="0"/>
          <w:color w:val="171A1D"/>
          <w:spacing w:val="0"/>
          <w:sz w:val="32"/>
          <w:szCs w:val="32"/>
          <w:shd w:val="clear" w:color="auto" w:fill="FFFFFF"/>
          <w:lang w:eastAsia="zh-CN"/>
        </w:rPr>
        <w:t>。</w:t>
      </w:r>
      <w:r>
        <w:rPr>
          <w:rFonts w:hint="eastAsia" w:ascii="仿宋_GB2312" w:hAnsi="仿宋_GB2312" w:eastAsia="仿宋_GB2312" w:cs="仿宋_GB2312"/>
          <w:i w:val="0"/>
          <w:caps w:val="0"/>
          <w:color w:val="171A1D"/>
          <w:spacing w:val="0"/>
          <w:sz w:val="32"/>
          <w:szCs w:val="32"/>
          <w:shd w:val="clear" w:color="auto" w:fill="FFFFFF"/>
        </w:rPr>
        <w:t>资金使用率达到100%，未发生偏离绩效目标。</w:t>
      </w:r>
    </w:p>
    <w:p w14:paraId="7078C4E6">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黑体" w:hAnsi="黑体" w:eastAsia="黑体" w:cs="黑体"/>
          <w:b w:val="0"/>
          <w:bCs w:val="0"/>
          <w:lang w:val="en-US" w:eastAsia="zh-CN"/>
        </w:rPr>
      </w:pPr>
      <w:r>
        <w:rPr>
          <w:rFonts w:hint="eastAsia" w:ascii="黑体" w:hAnsi="黑体" w:eastAsia="黑体" w:cs="黑体"/>
          <w:b w:val="0"/>
          <w:bCs w:val="0"/>
          <w:lang w:val="en-US" w:eastAsia="zh-CN"/>
        </w:rPr>
        <w:t>五、绩效自评结果拟应用和公开情况</w:t>
      </w:r>
    </w:p>
    <w:p w14:paraId="3E50C2B9">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b w:val="0"/>
          <w:bCs w:val="0"/>
          <w:lang w:val="en-US" w:eastAsia="zh-CN"/>
        </w:rPr>
      </w:pPr>
      <w:r>
        <w:rPr>
          <w:rFonts w:hint="eastAsia" w:ascii="仿宋_GB2312" w:hAnsi="仿宋_GB2312" w:eastAsia="仿宋_GB2312" w:cs="仿宋_GB2312"/>
          <w:b w:val="0"/>
          <w:bCs w:val="0"/>
          <w:lang w:val="en-US" w:eastAsia="zh-CN"/>
        </w:rPr>
        <w:t>1.本部门将自评结果作为下一年度预算安排和编制的依据，将有力提高预算制定的科学性和有效性。</w:t>
      </w:r>
    </w:p>
    <w:p w14:paraId="0976CD08">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lang w:eastAsia="zh-CN"/>
        </w:rPr>
      </w:pPr>
      <w:r>
        <w:rPr>
          <w:rFonts w:hint="eastAsia" w:ascii="仿宋_GB2312" w:hAnsi="仿宋_GB2312" w:eastAsia="仿宋_GB2312" w:cs="仿宋_GB2312"/>
          <w:b w:val="0"/>
          <w:bCs w:val="0"/>
          <w:lang w:val="en-US" w:eastAsia="zh-CN"/>
        </w:rPr>
        <w:t>2.本部门将根据要求公开本自评报告，接受社会大众监督。</w:t>
      </w:r>
    </w:p>
    <w:p w14:paraId="0B968E2C">
      <w:pPr>
        <w:pStyle w:val="8"/>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outlineLvl w:val="9"/>
        <w:rPr>
          <w:rFonts w:hint="eastAsia" w:ascii="黑体" w:hAnsi="黑体" w:eastAsia="黑体" w:cs="黑体"/>
          <w:b w:val="0"/>
          <w:bCs w:val="0"/>
          <w:lang w:val="en-US" w:eastAsia="zh-CN"/>
        </w:rPr>
      </w:pPr>
      <w:r>
        <w:rPr>
          <w:rFonts w:hint="eastAsia" w:ascii="黑体" w:hAnsi="黑体" w:eastAsia="黑体" w:cs="黑体"/>
          <w:b w:val="0"/>
          <w:bCs w:val="0"/>
          <w:lang w:val="en-US" w:eastAsia="zh-CN"/>
        </w:rPr>
        <w:t>六、其他需要说明的问题</w:t>
      </w:r>
    </w:p>
    <w:p w14:paraId="4EE39489">
      <w:pPr>
        <w:keepNext w:val="0"/>
        <w:keepLines w:val="0"/>
        <w:pageBreakBefore w:val="0"/>
        <w:kinsoku/>
        <w:wordWrap/>
        <w:overflowPunct/>
        <w:topLinePunct w:val="0"/>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kern w:val="2"/>
          <w:sz w:val="32"/>
          <w:szCs w:val="32"/>
          <w:lang w:val="en-US" w:eastAsia="zh-CN" w:bidi="ar-SA"/>
        </w:rPr>
      </w:pPr>
      <w:r>
        <w:rPr>
          <w:rFonts w:hint="eastAsia" w:ascii="仿宋_GB2312" w:hAnsi="仿宋_GB2312" w:eastAsia="仿宋_GB2312" w:cs="仿宋_GB2312"/>
          <w:b w:val="0"/>
          <w:bCs w:val="0"/>
          <w:sz w:val="32"/>
          <w:szCs w:val="32"/>
          <w:lang w:val="en-US" w:eastAsia="zh-CN"/>
        </w:rPr>
        <w:t>无</w:t>
      </w:r>
      <w:r>
        <w:rPr>
          <w:rFonts w:hint="eastAsia" w:ascii="仿宋_GB2312" w:hAnsi="仿宋_GB2312" w:eastAsia="仿宋_GB2312" w:cs="仿宋_GB2312"/>
          <w:b w:val="0"/>
          <w:bCs w:val="0"/>
          <w:kern w:val="2"/>
          <w:sz w:val="32"/>
          <w:szCs w:val="32"/>
          <w:lang w:val="en-US" w:eastAsia="zh-CN" w:bidi="ar-SA"/>
        </w:rPr>
        <w:t>其他需要说明问题。</w:t>
      </w:r>
    </w:p>
    <w:p w14:paraId="4484EF56">
      <w:pPr>
        <w:pStyle w:val="8"/>
        <w:keepNext w:val="0"/>
        <w:keepLines w:val="0"/>
        <w:pageBreakBefore w:val="0"/>
        <w:kinsoku/>
        <w:wordWrap/>
        <w:overflowPunct/>
        <w:topLinePunct w:val="0"/>
        <w:autoSpaceDN/>
        <w:bidi w:val="0"/>
        <w:adjustRightInd w:val="0"/>
        <w:snapToGrid w:val="0"/>
        <w:spacing w:line="560" w:lineRule="exact"/>
        <w:textAlignment w:val="auto"/>
        <w:rPr>
          <w:rFonts w:hint="eastAsia" w:ascii="仿宋_GB2312" w:hAnsi="仿宋_GB2312" w:eastAsia="仿宋_GB2312" w:cs="仿宋_GB2312"/>
          <w:b w:val="0"/>
          <w:bCs w:val="0"/>
          <w:kern w:val="2"/>
          <w:sz w:val="32"/>
          <w:szCs w:val="32"/>
          <w:lang w:val="en-US" w:eastAsia="zh-CN" w:bidi="ar-SA"/>
        </w:rPr>
      </w:pPr>
    </w:p>
    <w:p w14:paraId="1D685CD1">
      <w:pPr>
        <w:rPr>
          <w:rFonts w:hint="eastAsia" w:ascii="仿宋_GB2312" w:hAnsi="仿宋_GB2312" w:eastAsia="仿宋_GB2312" w:cs="仿宋_GB2312"/>
          <w:b w:val="0"/>
          <w:bCs w:val="0"/>
          <w:kern w:val="2"/>
          <w:sz w:val="32"/>
          <w:szCs w:val="32"/>
          <w:lang w:val="en-US" w:eastAsia="zh-CN" w:bidi="ar-SA"/>
        </w:rPr>
      </w:pPr>
    </w:p>
    <w:p w14:paraId="67ABD287"/>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A1282AB-F0D9-47E7-BC74-62CB8AA7B17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EB58FBF-8FAC-4D4C-820A-1BFA85FBE985}"/>
  </w:font>
  <w:font w:name="仿宋_GB2312">
    <w:panose1 w:val="02010609030101010101"/>
    <w:charset w:val="86"/>
    <w:family w:val="auto"/>
    <w:pitch w:val="default"/>
    <w:sig w:usb0="00000001" w:usb1="080E0000" w:usb2="00000000" w:usb3="00000000" w:csb0="00040000" w:csb1="00000000"/>
    <w:embedRegular r:id="rId3" w:fontKey="{5ADAADAE-AA08-40C3-AFCC-56225A74DA74}"/>
  </w:font>
  <w:font w:name="方正小标宋简体">
    <w:panose1 w:val="02000000000000000000"/>
    <w:charset w:val="86"/>
    <w:family w:val="auto"/>
    <w:pitch w:val="default"/>
    <w:sig w:usb0="00000001" w:usb1="080E0000" w:usb2="00000000" w:usb3="00000000" w:csb0="00040000" w:csb1="00000000"/>
    <w:embedRegular r:id="rId4" w:fontKey="{FAA86D3F-6EAF-44E7-91EB-7562CBC46A2C}"/>
  </w:font>
  <w:font w:name="楷体_GB2312">
    <w:panose1 w:val="02010609030101010101"/>
    <w:charset w:val="86"/>
    <w:family w:val="auto"/>
    <w:pitch w:val="default"/>
    <w:sig w:usb0="00000001" w:usb1="080E0000" w:usb2="00000000" w:usb3="00000000" w:csb0="00040000" w:csb1="00000000"/>
    <w:embedRegular r:id="rId5" w:fontKey="{7A84D82B-F7B2-4A8C-AC9F-5BA11ACDAC0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ADCA4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2D041A">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92D041A">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FE207D"/>
    <w:multiLevelType w:val="singleLevel"/>
    <w:tmpl w:val="ABFE207D"/>
    <w:lvl w:ilvl="0" w:tentative="0">
      <w:start w:val="8"/>
      <w:numFmt w:val="chineseCounting"/>
      <w:suff w:val="nothing"/>
      <w:lvlText w:val="（%1）"/>
      <w:lvlJc w:val="left"/>
      <w:rPr>
        <w:rFonts w:hint="eastAsia"/>
      </w:rPr>
    </w:lvl>
  </w:abstractNum>
  <w:abstractNum w:abstractNumId="1">
    <w:nsid w:val="D802265B"/>
    <w:multiLevelType w:val="singleLevel"/>
    <w:tmpl w:val="D802265B"/>
    <w:lvl w:ilvl="0" w:tentative="0">
      <w:start w:val="4"/>
      <w:numFmt w:val="chineseCounting"/>
      <w:suff w:val="nothing"/>
      <w:lvlText w:val="%1、"/>
      <w:lvlJc w:val="left"/>
      <w:rPr>
        <w:rFonts w:hint="eastAsia"/>
      </w:rPr>
    </w:lvl>
  </w:abstractNum>
  <w:abstractNum w:abstractNumId="2">
    <w:nsid w:val="51F9B6B9"/>
    <w:multiLevelType w:val="singleLevel"/>
    <w:tmpl w:val="51F9B6B9"/>
    <w:lvl w:ilvl="0" w:tentative="0">
      <w:start w:val="2"/>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hNjVjOTg4NzI3ZWU1ZDdmZGI4Njc3MDVhYzU1NzIifQ=="/>
  </w:docVars>
  <w:rsids>
    <w:rsidRoot w:val="3D193147"/>
    <w:rsid w:val="3D193147"/>
    <w:rsid w:val="4B150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index 9"/>
    <w:basedOn w:val="1"/>
    <w:next w:val="1"/>
    <w:qFormat/>
    <w:uiPriority w:val="0"/>
    <w:pPr>
      <w:ind w:left="1600" w:leftChars="1600"/>
    </w:pPr>
    <w:rPr>
      <w:rFonts w:asciiTheme="minorHAnsi" w:hAnsiTheme="minorHAnsi" w:eastAsiaTheme="minorEastAsia" w:cstheme="minorBidi"/>
    </w:rPr>
  </w:style>
  <w:style w:type="paragraph" w:styleId="5">
    <w:name w:val="Title"/>
    <w:basedOn w:val="1"/>
    <w:next w:val="1"/>
    <w:qFormat/>
    <w:uiPriority w:val="0"/>
    <w:pPr>
      <w:tabs>
        <w:tab w:val="left" w:pos="0"/>
      </w:tabs>
      <w:adjustRightInd w:val="0"/>
      <w:snapToGrid w:val="0"/>
      <w:spacing w:beforeLines="100" w:afterLines="100"/>
      <w:jc w:val="center"/>
    </w:pPr>
    <w:rPr>
      <w:rFonts w:hAnsi="Arial" w:cs="Arial"/>
      <w:bCs/>
      <w:sz w:val="48"/>
      <w:szCs w:val="32"/>
    </w:rPr>
  </w:style>
  <w:style w:type="paragraph" w:customStyle="1" w:styleId="8">
    <w:name w:val="样式1"/>
    <w:basedOn w:val="3"/>
    <w:next w:val="1"/>
    <w:qFormat/>
    <w:uiPriority w:val="0"/>
    <w:rPr>
      <w:rFonts w:ascii="Calibri" w:hAnsi="Calibri" w:eastAsia="仿宋_GB2312" w:cs="Times New Roman"/>
      <w:sz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29</Pages>
  <Words>15203</Words>
  <Characters>15973</Characters>
  <Lines>0</Lines>
  <Paragraphs>0</Paragraphs>
  <TotalTime>6</TotalTime>
  <ScaleCrop>false</ScaleCrop>
  <LinksUpToDate>false</LinksUpToDate>
  <CharactersWithSpaces>16059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2022-09-14T03:16:00Z</dcterms:created>
  <dc:creator>WPS_1559720464</dc:creator>
  <cp:lastModifiedBy>大胖纸</cp:lastModifiedBy>
  <dcterms:modified xsi:type="dcterms:W3CDTF">2024-12-06T01:06:21Z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BAEB70229C954975BA87AD470E3B8C49</vt:lpwstr>
  </property>
</Properties>
</file>