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sz w:val="32"/>
          <w:szCs w:val="32"/>
        </w:rPr>
      </w:pPr>
    </w:p>
    <w:p>
      <w:pPr>
        <w:pStyle w:val="2"/>
        <w:rPr>
          <w:rFonts w:hint="eastAsia" w:ascii="仿宋" w:hAnsi="仿宋" w:eastAsia="仿宋" w:cs="仿宋"/>
          <w:sz w:val="32"/>
          <w:szCs w:val="32"/>
        </w:rPr>
      </w:pPr>
    </w:p>
    <w:p>
      <w:pPr>
        <w:rPr>
          <w:rFonts w:hint="eastAsia"/>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兰州新区经济发展局（统计局）</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2022年度部门预算执行情况自评报告</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center"/>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sz w:val="32"/>
          <w:szCs w:val="32"/>
        </w:rPr>
      </w:pPr>
      <w:r>
        <w:rPr>
          <w:rFonts w:hint="eastAsia" w:ascii="黑体" w:hAnsi="黑体" w:eastAsia="黑体" w:cs="黑体"/>
          <w:sz w:val="32"/>
          <w:szCs w:val="32"/>
        </w:rPr>
        <w:t>一、基本情况</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楷体" w:hAnsi="楷体" w:eastAsia="楷体" w:cs="楷体"/>
          <w:b/>
          <w:bCs/>
          <w:sz w:val="32"/>
          <w:szCs w:val="32"/>
        </w:rPr>
      </w:pPr>
      <w:r>
        <w:rPr>
          <w:rFonts w:hint="eastAsia" w:ascii="楷体" w:hAnsi="楷体" w:eastAsia="楷体" w:cs="楷体"/>
          <w:b/>
          <w:bCs/>
          <w:sz w:val="32"/>
          <w:szCs w:val="32"/>
        </w:rPr>
        <w:t>（一）部门主要职责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1.拟订并组织实施新区国民经济和社会发展战略、中长期规划和年度计划；提出新区国民经济发展、优化重大经济结构的目标、政策和建议。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2.负责研究经济运行、总量平衡、经济安全等重大问题，提出相关政策建议，推动新区高质量发展；统筹协调新区各项改革事业。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3.负责新区重大项目和产业布局，提出全社会固定资产投资总规模。研究确定和管理重大建设项目，协调解决重大项目建设中的问题；负责新区项目建设的申报、审批、核准和备案。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4.推进新区经济结构战略性调整。组织拟定综合性产业政策，负责协调一、二、三产业发展的重大问题并衔接平衡相关发展规划和重大政策，做好与国民经济和社会发展规划、计划的衔接平衡；负责新区利用外资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5.推进可持续发展战略，负责节能减排的综合协调工作。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组织拟订并综合协调实施发展循环经济、资源节约和综合利用规划及政策措施，参与编制生态建设、环境保护规划。</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6.研究提出新区城镇化发展、城市可持续发展等战略和重大政策并协调实施。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7.负责新区社会事业发展与国民经济发展的政策街接，组织拟定社会事业发展战略、总体规划，推进社会事业和公共服务体系建设。</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8.组织拟订新区能源发展战略、规划和政策，提出相关体制改革建议，实施对石油、天然气、煤炭、电力等能源行业的管理。提出发展新能源和能源行业节能的政策措施。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9.负责新区工业和信息化工作，拟订并落实新区工业和信息化发展规划、政策和措施，协调解决循环经济发展中的重大问题。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10.负责新区工业企业生产、经营的安全监督管理工作，监督管理新区境内长输石油天然气管道设施保护。</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11.负责新区的统计工作。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12.负责落实国家、省、市价格政策和改革任务，制定和实施新区重要商品和服务价格政策，提出新区价格调控目标，管理行政事业性收费，监测重点领域价格，组织成本调查、监审及价格听证，管理价格调节基金。</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13.负责新区粮食、食糖、肉菜、食盐等重要消费品及应急储备物资的收储、轮换和日常管理。贯彻落实党中央和省委关于粮食和物资储备工作的方针政策和决策部署，承担粮食流通和物资储备体制改革工作。负责粮食流通行业监督管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14.负责新区“放管服”改革、行政审批制度改革和政务服务工作。负责对国家、省、市下放、下达、转移和取消项目的跟踪、检查、落实工作；负责新区政务服务有关制度的设计和制定，并组织实施；负责政务服务中心的信息化管理、组织实施审批项目的网上申报、审批；负责受理中心服务对象及电话投诉。</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15.负责新区非公有制经济发展协调推进工作，承担兰州新区非公有制经济发展协调推进领导小组办公室工作。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16.负责联系省兰州新区规划建设协调推进领导小组办公室。</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17.负责协调新区铁路枢纽和民航建设相关工作。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18.负责电力、通讯行业管理。负责电网规划与国民经济总体规划衔接以及与各项规划的统筹衔接、项目核准及电网建设重大事项的协调和管理工作，协调解决重大项目建设供需电线路改迁和重建有关工作。负责电网与新区经济运行的配合工作以及电网保护管理工作，协调电网运行中可能引发大面积停电及危及公共安全的重大事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19.完成新区党工委、管委会和上级业务部门交办的其他任务。</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楷体" w:hAnsi="楷体" w:eastAsia="楷体" w:cs="楷体"/>
          <w:b/>
          <w:bCs/>
          <w:sz w:val="32"/>
          <w:szCs w:val="32"/>
        </w:rPr>
      </w:pPr>
      <w:r>
        <w:rPr>
          <w:rFonts w:hint="eastAsia" w:ascii="楷体" w:hAnsi="楷体" w:eastAsia="楷体" w:cs="楷体"/>
          <w:b/>
          <w:bCs/>
          <w:sz w:val="32"/>
          <w:szCs w:val="32"/>
        </w:rPr>
        <w:t>(二)内设机构及所属单位概况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兰州新区经济发展局（统计局）内设办公室、固定资产投资科、产业发展科、能源科、发展规划科、财政金融科（利用外资科）、价格管理科、综合核算科、产业统计科（普查调查科）,代管兰州新区政务服务中心、兰州新区利用外资项目管理办公室，核定工作人员72名。</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黑体" w:hAnsi="黑体" w:eastAsia="黑体" w:cs="黑体"/>
          <w:b/>
          <w:bCs/>
          <w:sz w:val="32"/>
          <w:szCs w:val="32"/>
        </w:rPr>
      </w:pPr>
      <w:r>
        <w:rPr>
          <w:rFonts w:hint="eastAsia" w:ascii="黑体" w:hAnsi="黑体" w:eastAsia="黑体" w:cs="黑体"/>
          <w:b/>
          <w:bCs/>
          <w:sz w:val="32"/>
          <w:szCs w:val="32"/>
        </w:rPr>
        <w:t>二、绩效自评工作组织开展情况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仿宋" w:hAnsi="仿宋" w:eastAsia="仿宋" w:cs="仿宋"/>
          <w:sz w:val="32"/>
          <w:szCs w:val="32"/>
          <w:lang w:val="en-US" w:eastAsia="zh-CN"/>
        </w:rPr>
      </w:pPr>
      <w:r>
        <w:rPr>
          <w:rFonts w:hint="eastAsia" w:ascii="仿宋" w:hAnsi="仿宋" w:eastAsia="仿宋" w:cs="仿宋"/>
          <w:sz w:val="32"/>
          <w:szCs w:val="32"/>
        </w:rPr>
        <w:t>为加快构建全方位、全过程、全覆盖的预算绩效管理体系，进一步提高财政资金的使用效益，推进全面实施预算绩效管理，</w:t>
      </w:r>
      <w:r>
        <w:rPr>
          <w:rFonts w:hint="eastAsia" w:ascii="仿宋_GB2312" w:eastAsia="仿宋_GB2312"/>
          <w:sz w:val="32"/>
          <w:szCs w:val="32"/>
        </w:rPr>
        <w:t>根据兰州新区财政局印发《关于开展202</w:t>
      </w:r>
      <w:r>
        <w:rPr>
          <w:rFonts w:hint="eastAsia" w:ascii="仿宋_GB2312" w:eastAsia="仿宋_GB2312"/>
          <w:sz w:val="32"/>
          <w:szCs w:val="32"/>
          <w:lang w:val="en-US" w:eastAsia="zh-CN"/>
        </w:rPr>
        <w:t>2</w:t>
      </w:r>
      <w:r>
        <w:rPr>
          <w:rFonts w:hint="eastAsia" w:ascii="仿宋_GB2312" w:eastAsia="仿宋_GB2312"/>
          <w:sz w:val="32"/>
          <w:szCs w:val="32"/>
        </w:rPr>
        <w:t>年度预算执行情况绩效单位自评工作的通知》（兰新财发〔202</w:t>
      </w:r>
      <w:r>
        <w:rPr>
          <w:rFonts w:hint="eastAsia" w:ascii="仿宋_GB2312" w:eastAsia="仿宋_GB2312"/>
          <w:sz w:val="32"/>
          <w:szCs w:val="32"/>
          <w:lang w:val="en-US" w:eastAsia="zh-CN"/>
        </w:rPr>
        <w:t>3</w:t>
      </w:r>
      <w:r>
        <w:rPr>
          <w:rFonts w:hint="eastAsia" w:ascii="仿宋_GB2312" w:eastAsia="仿宋_GB2312"/>
          <w:sz w:val="32"/>
          <w:szCs w:val="32"/>
        </w:rPr>
        <w:t>〕</w:t>
      </w:r>
      <w:r>
        <w:rPr>
          <w:rFonts w:hint="eastAsia" w:ascii="仿宋_GB2312" w:eastAsia="仿宋_GB2312"/>
          <w:sz w:val="32"/>
          <w:szCs w:val="32"/>
          <w:lang w:val="en-US" w:eastAsia="zh-CN"/>
        </w:rPr>
        <w:t>36</w:t>
      </w:r>
      <w:r>
        <w:rPr>
          <w:rFonts w:hint="eastAsia" w:ascii="仿宋_GB2312" w:eastAsia="仿宋_GB2312"/>
          <w:sz w:val="32"/>
          <w:szCs w:val="32"/>
        </w:rPr>
        <w:t>号）文件要求，</w:t>
      </w:r>
      <w:r>
        <w:rPr>
          <w:rFonts w:hint="eastAsia" w:ascii="仿宋" w:hAnsi="仿宋" w:eastAsia="仿宋" w:cs="仿宋"/>
          <w:sz w:val="32"/>
          <w:szCs w:val="32"/>
        </w:rPr>
        <w:t>结合202</w:t>
      </w:r>
      <w:r>
        <w:rPr>
          <w:rFonts w:hint="eastAsia" w:ascii="仿宋" w:hAnsi="仿宋" w:eastAsia="仿宋" w:cs="仿宋"/>
          <w:sz w:val="32"/>
          <w:szCs w:val="32"/>
          <w:lang w:val="en-US" w:eastAsia="zh-CN"/>
        </w:rPr>
        <w:t>2</w:t>
      </w:r>
      <w:r>
        <w:rPr>
          <w:rFonts w:hint="eastAsia" w:ascii="仿宋" w:hAnsi="仿宋" w:eastAsia="仿宋" w:cs="仿宋"/>
          <w:sz w:val="32"/>
          <w:szCs w:val="32"/>
        </w:rPr>
        <w:t>年度决算情况,开展</w:t>
      </w:r>
      <w:r>
        <w:rPr>
          <w:rFonts w:hint="eastAsia" w:ascii="仿宋" w:hAnsi="仿宋" w:eastAsia="仿宋" w:cs="仿宋"/>
          <w:sz w:val="32"/>
          <w:szCs w:val="32"/>
          <w:lang w:val="en-US" w:eastAsia="zh-CN"/>
        </w:rPr>
        <w:t>2022年</w:t>
      </w:r>
      <w:r>
        <w:rPr>
          <w:rFonts w:hint="eastAsia" w:ascii="仿宋" w:hAnsi="仿宋" w:eastAsia="仿宋" w:cs="仿宋"/>
          <w:sz w:val="32"/>
          <w:szCs w:val="32"/>
        </w:rPr>
        <w:t>绩效自评工作</w:t>
      </w:r>
      <w:r>
        <w:rPr>
          <w:rFonts w:hint="eastAsia" w:ascii="仿宋" w:hAnsi="仿宋" w:eastAsia="仿宋" w:cs="仿宋"/>
          <w:sz w:val="32"/>
          <w:szCs w:val="32"/>
          <w:lang w:eastAsia="zh-CN"/>
        </w:rPr>
        <w:t>，自评范围包括</w:t>
      </w:r>
      <w:r>
        <w:rPr>
          <w:rFonts w:hint="eastAsia" w:ascii="仿宋" w:hAnsi="仿宋" w:eastAsia="仿宋" w:cs="仿宋"/>
          <w:sz w:val="32"/>
          <w:szCs w:val="32"/>
          <w:lang w:val="en-US" w:eastAsia="zh-CN"/>
        </w:rPr>
        <w:t>2022年本级预算及中央省市转移支付预算资金，包括</w:t>
      </w:r>
      <w:r>
        <w:rPr>
          <w:rFonts w:hint="eastAsia" w:ascii="仿宋" w:hAnsi="仿宋" w:eastAsia="仿宋" w:cs="仿宋"/>
          <w:color w:val="auto"/>
          <w:sz w:val="32"/>
          <w:szCs w:val="32"/>
          <w:lang w:val="en-US" w:eastAsia="zh-CN"/>
        </w:rPr>
        <w:t>贯彻中央、省级、市级重大政策的转移支付项目，以及新区本级实施的对社会经济发展和民生有重大影响的项目开展了绩效评价。</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sz w:val="32"/>
          <w:szCs w:val="32"/>
        </w:rPr>
      </w:pPr>
      <w:r>
        <w:rPr>
          <w:rFonts w:hint="eastAsia" w:ascii="黑体" w:hAnsi="黑体" w:eastAsia="黑体" w:cs="黑体"/>
          <w:sz w:val="32"/>
          <w:szCs w:val="32"/>
        </w:rPr>
        <w:t>三、绩效目标完成情况分析</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楷体" w:hAnsi="楷体" w:eastAsia="楷体" w:cs="楷体"/>
          <w:b/>
          <w:bCs/>
          <w:sz w:val="32"/>
          <w:szCs w:val="32"/>
        </w:rPr>
      </w:pPr>
      <w:r>
        <w:rPr>
          <w:rFonts w:hint="eastAsia" w:ascii="楷体" w:hAnsi="楷体" w:eastAsia="楷体" w:cs="楷体"/>
          <w:b/>
          <w:bCs/>
          <w:sz w:val="32"/>
          <w:szCs w:val="32"/>
        </w:rPr>
        <w:t>（一）部门决算情况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2022年我单位财政拨款收入146246.14 万元，决算收入146246.14 万元。预决算收支一致，未出现差异。</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楷体" w:hAnsi="楷体" w:eastAsia="楷体" w:cs="楷体"/>
          <w:b/>
          <w:bCs/>
          <w:sz w:val="32"/>
          <w:szCs w:val="32"/>
        </w:rPr>
      </w:pPr>
      <w:r>
        <w:rPr>
          <w:rFonts w:hint="eastAsia" w:ascii="楷体" w:hAnsi="楷体" w:eastAsia="楷体" w:cs="楷体"/>
          <w:b/>
          <w:bCs/>
          <w:sz w:val="32"/>
          <w:szCs w:val="32"/>
        </w:rPr>
        <w:t>（二）总体绩效目标完成情况分析</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b/>
          <w:bCs/>
          <w:sz w:val="32"/>
          <w:szCs w:val="32"/>
          <w:lang w:eastAsia="zh-CN"/>
        </w:rPr>
      </w:pPr>
      <w:r>
        <w:rPr>
          <w:rFonts w:hint="eastAsia" w:ascii="仿宋_GB2312" w:hAnsi="宋体" w:eastAsia="仿宋_GB2312" w:cs="黑体"/>
          <w:bCs/>
          <w:kern w:val="2"/>
          <w:sz w:val="32"/>
          <w:szCs w:val="32"/>
          <w:highlight w:val="none"/>
          <w:lang w:val="en-US" w:eastAsia="zh-CN" w:bidi="ar"/>
        </w:rPr>
        <w:t>紧盯</w:t>
      </w:r>
      <w:r>
        <w:rPr>
          <w:rFonts w:hint="eastAsia" w:ascii="仿宋_GB2312" w:hAnsi="仿宋_GB2312" w:eastAsia="仿宋_GB2312" w:cs="仿宋_GB2312"/>
          <w:kern w:val="2"/>
          <w:sz w:val="32"/>
          <w:szCs w:val="32"/>
          <w:highlight w:val="none"/>
          <w:lang w:val="en-US" w:eastAsia="zh-CN" w:bidi="ar"/>
        </w:rPr>
        <w:t>全年目标任务</w:t>
      </w:r>
      <w:r>
        <w:rPr>
          <w:rFonts w:hint="eastAsia" w:ascii="仿宋_GB2312" w:hAnsi="宋体" w:eastAsia="仿宋_GB2312" w:cs="黑体"/>
          <w:bCs/>
          <w:kern w:val="2"/>
          <w:sz w:val="32"/>
          <w:szCs w:val="32"/>
          <w:highlight w:val="none"/>
          <w:lang w:val="en-US" w:eastAsia="zh-CN" w:bidi="ar"/>
        </w:rPr>
        <w:t>，统筹协调各部门和三大园区，加强经济运行调度，推动经济持续快速增长。</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 w:hAnsi="仿宋" w:eastAsia="仿宋" w:cs="仿宋"/>
          <w:sz w:val="32"/>
          <w:szCs w:val="32"/>
        </w:rPr>
      </w:pPr>
      <w:r>
        <w:rPr>
          <w:rFonts w:hint="eastAsia" w:ascii="仿宋" w:hAnsi="仿宋" w:eastAsia="仿宋" w:cs="仿宋"/>
          <w:b/>
          <w:bCs/>
          <w:sz w:val="32"/>
          <w:szCs w:val="32"/>
        </w:rPr>
        <w:t>1.规划编制</w:t>
      </w:r>
      <w:r>
        <w:rPr>
          <w:rFonts w:hint="eastAsia" w:ascii="仿宋" w:hAnsi="仿宋" w:eastAsia="仿宋" w:cs="仿宋"/>
          <w:b/>
          <w:bCs/>
          <w:sz w:val="32"/>
          <w:szCs w:val="32"/>
          <w:lang w:eastAsia="zh-CN"/>
        </w:rPr>
        <w:t>方面</w:t>
      </w:r>
      <w:r>
        <w:rPr>
          <w:rFonts w:hint="eastAsia" w:ascii="仿宋" w:hAnsi="仿宋" w:eastAsia="仿宋" w:cs="仿宋"/>
          <w:b/>
          <w:bCs/>
          <w:sz w:val="32"/>
          <w:szCs w:val="32"/>
        </w:rPr>
        <w:t>。一是</w:t>
      </w:r>
      <w:r>
        <w:rPr>
          <w:rFonts w:hint="eastAsia" w:ascii="仿宋" w:hAnsi="仿宋" w:eastAsia="仿宋" w:cs="仿宋"/>
          <w:sz w:val="32"/>
          <w:szCs w:val="32"/>
        </w:rPr>
        <w:t>协调推进“十四五”规划纲要实施。协调督促各单位扎实推进省市及新区“十四五”规划纲要确定的发展目标、重点任务和重大项目落实，每季度梳理汇总向省、市政府报送工作推进情况。</w:t>
      </w:r>
      <w:r>
        <w:rPr>
          <w:rFonts w:hint="eastAsia" w:ascii="仿宋" w:hAnsi="仿宋" w:eastAsia="仿宋" w:cs="仿宋"/>
          <w:b/>
          <w:bCs/>
          <w:sz w:val="32"/>
          <w:szCs w:val="32"/>
        </w:rPr>
        <w:t>二是</w:t>
      </w:r>
      <w:r>
        <w:rPr>
          <w:rFonts w:hint="eastAsia" w:ascii="仿宋" w:hAnsi="仿宋" w:eastAsia="仿宋" w:cs="仿宋"/>
          <w:sz w:val="32"/>
          <w:szCs w:val="32"/>
        </w:rPr>
        <w:t>编制完成《兰州新区航空产业发展实施规划》，研究提出新区航空产业发展的空间布局、目标定位、主要方向和重点任务。进一步修改完善《兰州临空经济示范区总体方案》及环评、能评等申报材料，积极有序推进国家级临空经济示范区申报。</w:t>
      </w:r>
      <w:r>
        <w:rPr>
          <w:rFonts w:hint="eastAsia" w:ascii="仿宋" w:hAnsi="仿宋" w:eastAsia="仿宋" w:cs="仿宋"/>
          <w:b/>
          <w:bCs/>
          <w:sz w:val="32"/>
          <w:szCs w:val="32"/>
        </w:rPr>
        <w:t>三是</w:t>
      </w:r>
      <w:r>
        <w:rPr>
          <w:rFonts w:hint="eastAsia" w:ascii="仿宋" w:hAnsi="仿宋" w:eastAsia="仿宋" w:cs="仿宋"/>
          <w:sz w:val="32"/>
          <w:szCs w:val="32"/>
        </w:rPr>
        <w:t>深入谋划推进新区与皋兰区县融合发展，编制完成《兰州新区与皋兰县融合发展打造共同富裕先行区实施方案》，谋划提出“三城五区多园”融合发展格局。制定《整建制托管上川镇经济发展组工作方案》，牵头经济发展各组成员单位积极对接市级及永登县对口单位，签订移交协议，顺利完成移交工作。</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 w:hAnsi="仿宋" w:eastAsia="仿宋" w:cs="仿宋"/>
          <w:sz w:val="32"/>
          <w:szCs w:val="32"/>
        </w:rPr>
      </w:pPr>
      <w:r>
        <w:rPr>
          <w:rFonts w:hint="eastAsia" w:ascii="仿宋" w:hAnsi="仿宋" w:eastAsia="仿宋" w:cs="仿宋"/>
          <w:b/>
          <w:bCs/>
          <w:sz w:val="32"/>
          <w:szCs w:val="32"/>
        </w:rPr>
        <w:t>2.稳经济政策落实</w:t>
      </w:r>
      <w:r>
        <w:rPr>
          <w:rFonts w:hint="eastAsia" w:ascii="仿宋" w:hAnsi="仿宋" w:eastAsia="仿宋" w:cs="仿宋"/>
          <w:b/>
          <w:bCs/>
          <w:sz w:val="32"/>
          <w:szCs w:val="32"/>
          <w:lang w:eastAsia="zh-CN"/>
        </w:rPr>
        <w:t>方面</w:t>
      </w:r>
      <w:r>
        <w:rPr>
          <w:rFonts w:hint="eastAsia" w:ascii="仿宋" w:hAnsi="仿宋" w:eastAsia="仿宋" w:cs="仿宋"/>
          <w:b/>
          <w:bCs/>
          <w:sz w:val="32"/>
          <w:szCs w:val="32"/>
        </w:rPr>
        <w:t>。</w:t>
      </w:r>
      <w:r>
        <w:rPr>
          <w:rFonts w:hint="eastAsia" w:ascii="仿宋" w:hAnsi="仿宋" w:eastAsia="仿宋" w:cs="仿宋"/>
          <w:sz w:val="32"/>
          <w:szCs w:val="32"/>
        </w:rPr>
        <w:t>优化企业服务，助力实体稳经济。</w:t>
      </w:r>
      <w:r>
        <w:rPr>
          <w:rFonts w:hint="eastAsia" w:ascii="仿宋" w:hAnsi="仿宋" w:eastAsia="仿宋" w:cs="仿宋"/>
          <w:b/>
          <w:bCs/>
          <w:sz w:val="32"/>
          <w:szCs w:val="32"/>
        </w:rPr>
        <w:t>一是</w:t>
      </w:r>
      <w:r>
        <w:rPr>
          <w:rFonts w:hint="eastAsia" w:ascii="仿宋" w:hAnsi="仿宋" w:eastAsia="仿宋" w:cs="仿宋"/>
          <w:sz w:val="32"/>
          <w:szCs w:val="32"/>
        </w:rPr>
        <w:t>优化政策供给支持。修订完善《兰州新区产业发展扶持及奖励政策(2022年版)》及《实施细则》，进一步规范产业发展扶持奖励资金兑付。</w:t>
      </w:r>
      <w:r>
        <w:rPr>
          <w:rFonts w:hint="eastAsia" w:ascii="仿宋" w:hAnsi="仿宋" w:eastAsia="仿宋" w:cs="仿宋"/>
          <w:b/>
          <w:bCs/>
          <w:sz w:val="32"/>
          <w:szCs w:val="32"/>
          <w:lang w:eastAsia="zh-CN"/>
        </w:rPr>
        <w:t>二是</w:t>
      </w:r>
      <w:r>
        <w:rPr>
          <w:rFonts w:hint="eastAsia" w:ascii="仿宋_GB2312" w:hAnsi="宋体" w:eastAsia="仿宋_GB2312" w:cs="Times New Roman"/>
          <w:color w:val="auto"/>
          <w:sz w:val="32"/>
          <w:szCs w:val="32"/>
          <w:highlight w:val="none"/>
          <w:u w:val="none"/>
          <w:lang w:eastAsia="zh-CN"/>
        </w:rPr>
        <w:t>制定并报请管委会按程序</w:t>
      </w:r>
      <w:r>
        <w:rPr>
          <w:rFonts w:hint="eastAsia" w:ascii="Times New Roman" w:hAnsi="Times New Roman" w:eastAsia="仿宋_GB2312" w:cs="仿宋_GB2312"/>
          <w:b w:val="0"/>
          <w:bCs/>
          <w:color w:val="auto"/>
          <w:sz w:val="32"/>
          <w:szCs w:val="32"/>
          <w:highlight w:val="none"/>
          <w:u w:val="none"/>
          <w:lang w:val="en-US" w:eastAsia="zh-CN"/>
        </w:rPr>
        <w:t>印发</w:t>
      </w:r>
      <w:r>
        <w:rPr>
          <w:rFonts w:hint="eastAsia" w:ascii="Times New Roman" w:hAnsi="Times New Roman" w:eastAsia="仿宋_GB2312" w:cs="仿宋_GB2312"/>
          <w:color w:val="auto"/>
          <w:sz w:val="32"/>
          <w:szCs w:val="32"/>
          <w:highlight w:val="none"/>
          <w:u w:val="none"/>
          <w:lang w:val="en-US" w:eastAsia="zh-CN"/>
        </w:rPr>
        <w:t>《贯彻落实稳住经济一揽子政策措施具体实施办法》</w:t>
      </w:r>
      <w:r>
        <w:rPr>
          <w:rFonts w:hint="eastAsia" w:ascii="仿宋_GB2312" w:hAnsi="仿宋_GB2312" w:eastAsia="仿宋_GB2312" w:cs="仿宋_GB2312"/>
          <w:color w:val="auto"/>
          <w:kern w:val="2"/>
          <w:sz w:val="32"/>
          <w:szCs w:val="32"/>
          <w:highlight w:val="none"/>
          <w:u w:val="none"/>
          <w:lang w:val="en-US" w:eastAsia="zh-CN" w:bidi="ar"/>
        </w:rPr>
        <w:t>《兰州新区贯彻落实促进服务业领域困难行业恢复发展若干政策的实施方案》</w:t>
      </w:r>
      <w:r>
        <w:rPr>
          <w:rFonts w:hint="eastAsia" w:ascii="Times New Roman" w:hAnsi="Times New Roman" w:eastAsia="仿宋_GB2312" w:cs="仿宋_GB2312"/>
          <w:color w:val="auto"/>
          <w:sz w:val="32"/>
          <w:szCs w:val="32"/>
          <w:highlight w:val="none"/>
          <w:u w:val="none"/>
          <w:lang w:val="en-US" w:eastAsia="zh-CN"/>
        </w:rPr>
        <w:t>，推进财政金融、稳投资促消费、保粮食能源安全、保产业链供应链稳定、保基本民生等各项政策落实工作有效推进</w:t>
      </w:r>
      <w:r>
        <w:rPr>
          <w:rFonts w:hint="eastAsia" w:ascii="仿宋_GB2312" w:hAnsi="仿宋_GB2312" w:eastAsia="仿宋_GB2312" w:cs="仿宋_GB2312"/>
          <w:color w:val="auto"/>
          <w:kern w:val="2"/>
          <w:sz w:val="32"/>
          <w:szCs w:val="32"/>
          <w:highlight w:val="none"/>
          <w:u w:val="none"/>
          <w:lang w:val="en-US" w:eastAsia="zh-CN" w:bidi="ar"/>
        </w:rPr>
        <w:t>。</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 w:hAnsi="仿宋" w:eastAsia="仿宋" w:cs="仿宋"/>
          <w:sz w:val="32"/>
          <w:szCs w:val="32"/>
        </w:rPr>
      </w:pPr>
      <w:r>
        <w:rPr>
          <w:rFonts w:hint="eastAsia" w:ascii="仿宋" w:hAnsi="仿宋" w:eastAsia="仿宋" w:cs="仿宋"/>
          <w:b/>
          <w:bCs/>
          <w:sz w:val="32"/>
          <w:szCs w:val="32"/>
          <w:lang w:val="en-US" w:eastAsia="zh-CN"/>
        </w:rPr>
        <w:t>3</w:t>
      </w:r>
      <w:r>
        <w:rPr>
          <w:rFonts w:hint="eastAsia" w:ascii="仿宋" w:hAnsi="仿宋" w:eastAsia="仿宋" w:cs="仿宋"/>
          <w:b/>
          <w:bCs/>
          <w:sz w:val="32"/>
          <w:szCs w:val="32"/>
        </w:rPr>
        <w:t>.</w:t>
      </w:r>
      <w:r>
        <w:rPr>
          <w:rFonts w:hint="eastAsia" w:ascii="仿宋" w:hAnsi="仿宋" w:eastAsia="仿宋" w:cs="仿宋"/>
          <w:b/>
          <w:bCs/>
          <w:sz w:val="32"/>
          <w:szCs w:val="32"/>
          <w:lang w:eastAsia="zh-CN"/>
        </w:rPr>
        <w:t>重点项目建设管理方面</w:t>
      </w:r>
      <w:r>
        <w:rPr>
          <w:rFonts w:hint="eastAsia" w:ascii="仿宋" w:hAnsi="仿宋" w:eastAsia="仿宋" w:cs="仿宋"/>
          <w:b/>
          <w:bCs/>
          <w:sz w:val="32"/>
          <w:szCs w:val="32"/>
        </w:rPr>
        <w:t>。</w:t>
      </w:r>
      <w:r>
        <w:rPr>
          <w:rFonts w:hint="eastAsia" w:ascii="仿宋" w:hAnsi="仿宋" w:eastAsia="仿宋" w:cs="仿宋"/>
          <w:sz w:val="32"/>
          <w:szCs w:val="32"/>
        </w:rPr>
        <w:t>通过管委会领导包抓、定期现场督查、函告提醒督办等形式，持续强化重大项目精准调度，积极协调解决项目建设中存在的困难和问题，全年完成投资543亿元，完成率达89%，较去年提高6.9个百分点，31个省市列重大项目完成投资230亿元，完成率121%，连续3个月全省考核第一，重大项目“压舱石”作用逐步显现；成功举办全省上半年、下半年重大项目和黄河流域兰西城市群重点项目集中开工活动，集中开工项目106个、总投资超1000亿元，有力支撑了经济平稳健康高质量发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4.</w:t>
      </w:r>
      <w:r>
        <w:rPr>
          <w:rFonts w:hint="eastAsia" w:ascii="仿宋" w:hAnsi="仿宋" w:eastAsia="仿宋" w:cs="仿宋"/>
          <w:b/>
          <w:bCs/>
          <w:sz w:val="32"/>
          <w:szCs w:val="32"/>
        </w:rPr>
        <w:t>经济数据统计与运行分析</w:t>
      </w:r>
      <w:r>
        <w:rPr>
          <w:rFonts w:hint="eastAsia" w:ascii="仿宋" w:hAnsi="仿宋" w:eastAsia="仿宋" w:cs="仿宋"/>
          <w:b/>
          <w:bCs/>
          <w:sz w:val="32"/>
          <w:szCs w:val="32"/>
          <w:lang w:eastAsia="zh-CN"/>
        </w:rPr>
        <w:t>方面</w:t>
      </w:r>
      <w:r>
        <w:rPr>
          <w:rFonts w:hint="eastAsia" w:ascii="仿宋" w:hAnsi="仿宋" w:eastAsia="仿宋" w:cs="仿宋"/>
          <w:sz w:val="32"/>
          <w:szCs w:val="32"/>
        </w:rPr>
        <w:t>。</w:t>
      </w:r>
      <w:r>
        <w:rPr>
          <w:rFonts w:hint="eastAsia" w:ascii="仿宋" w:hAnsi="仿宋" w:eastAsia="仿宋" w:cs="仿宋"/>
          <w:b/>
          <w:bCs/>
          <w:sz w:val="32"/>
          <w:szCs w:val="32"/>
        </w:rPr>
        <w:t>一是</w:t>
      </w:r>
      <w:r>
        <w:rPr>
          <w:rFonts w:hint="eastAsia" w:ascii="仿宋" w:hAnsi="仿宋" w:eastAsia="仿宋" w:cs="仿宋"/>
          <w:sz w:val="32"/>
          <w:szCs w:val="32"/>
        </w:rPr>
        <w:t>及时提供统计信息。编印《兰州新区历年主要经济指标》口袋书，全面升级《兰州新区综合统计信息》《兰州新区发展统计年鉴》版面，呈送党政领导及新区各级各部门参考使用；同时在新区官方网站公布主要经济指标统计数据。</w:t>
      </w:r>
      <w:r>
        <w:rPr>
          <w:rFonts w:hint="eastAsia" w:ascii="仿宋" w:hAnsi="仿宋" w:eastAsia="仿宋" w:cs="仿宋"/>
          <w:b/>
          <w:bCs/>
          <w:sz w:val="32"/>
          <w:szCs w:val="32"/>
        </w:rPr>
        <w:t>二是</w:t>
      </w:r>
      <w:r>
        <w:rPr>
          <w:rFonts w:hint="eastAsia" w:ascii="仿宋" w:hAnsi="仿宋" w:eastAsia="仿宋" w:cs="仿宋"/>
          <w:sz w:val="32"/>
          <w:szCs w:val="32"/>
        </w:rPr>
        <w:t>夯实统计基础。加强对园区、乡镇统计人员和企业统计人员培训，强化基层统计软实力。深入重点企业和重点项目，开展“统计业务上门服务”活动，帮助企业解决统计工作中存在的问题，指导建立统计台账，夯实统计工作基础，确保源头数据真实可靠。</w:t>
      </w:r>
      <w:r>
        <w:rPr>
          <w:rFonts w:hint="eastAsia" w:ascii="仿宋" w:hAnsi="仿宋" w:eastAsia="仿宋" w:cs="仿宋"/>
          <w:b/>
          <w:bCs/>
          <w:sz w:val="32"/>
          <w:szCs w:val="32"/>
        </w:rPr>
        <w:t>三是</w:t>
      </w:r>
      <w:r>
        <w:rPr>
          <w:rFonts w:hint="eastAsia" w:ascii="仿宋" w:hAnsi="仿宋" w:eastAsia="仿宋" w:cs="仿宋"/>
          <w:sz w:val="32"/>
          <w:szCs w:val="32"/>
        </w:rPr>
        <w:t>全面做好各项调查工作。按照“区不漏户、户不漏人、人不漏项、项不出错”工作原则,入户开展劳动力调查工作，确保数出有据。同时圆满完成住户调查大样本轮换。</w:t>
      </w:r>
      <w:r>
        <w:rPr>
          <w:rFonts w:hint="eastAsia" w:ascii="仿宋" w:hAnsi="仿宋" w:eastAsia="仿宋" w:cs="仿宋"/>
          <w:b/>
          <w:bCs/>
          <w:sz w:val="32"/>
          <w:szCs w:val="32"/>
        </w:rPr>
        <w:t>四是</w:t>
      </w:r>
      <w:r>
        <w:rPr>
          <w:rFonts w:hint="eastAsia" w:ascii="仿宋" w:hAnsi="仿宋" w:eastAsia="仿宋" w:cs="仿宋"/>
          <w:sz w:val="32"/>
          <w:szCs w:val="32"/>
        </w:rPr>
        <w:t>做好基本单位相关工作。开展新区基本单位调查和初步财务增加值核算，对新增的839家基本单位进行实地核查，核实处理地税反馈的682家空壳、停业、注销单位。</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 w:hAnsi="仿宋" w:eastAsia="仿宋" w:cs="仿宋"/>
          <w:sz w:val="32"/>
          <w:szCs w:val="32"/>
        </w:rPr>
      </w:pPr>
      <w:r>
        <w:rPr>
          <w:rFonts w:hint="eastAsia" w:ascii="仿宋" w:hAnsi="仿宋" w:eastAsia="仿宋" w:cs="仿宋"/>
          <w:b/>
          <w:bCs/>
          <w:sz w:val="32"/>
          <w:szCs w:val="32"/>
          <w:lang w:val="en-US" w:eastAsia="zh-CN"/>
        </w:rPr>
        <w:t>5</w:t>
      </w:r>
      <w:r>
        <w:rPr>
          <w:rFonts w:hint="eastAsia" w:ascii="仿宋" w:hAnsi="仿宋" w:eastAsia="仿宋" w:cs="仿宋"/>
          <w:b/>
          <w:bCs/>
          <w:sz w:val="32"/>
          <w:szCs w:val="32"/>
        </w:rPr>
        <w:t>.粮食安全与保供稳价</w:t>
      </w:r>
      <w:r>
        <w:rPr>
          <w:rFonts w:hint="eastAsia" w:ascii="仿宋" w:hAnsi="仿宋" w:eastAsia="仿宋" w:cs="仿宋"/>
          <w:b/>
          <w:bCs/>
          <w:sz w:val="32"/>
          <w:szCs w:val="32"/>
          <w:lang w:eastAsia="zh-CN"/>
        </w:rPr>
        <w:t>方面</w:t>
      </w:r>
      <w:r>
        <w:rPr>
          <w:rFonts w:hint="eastAsia" w:ascii="仿宋" w:hAnsi="仿宋" w:eastAsia="仿宋" w:cs="仿宋"/>
          <w:sz w:val="32"/>
          <w:szCs w:val="32"/>
        </w:rPr>
        <w:t>。</w:t>
      </w:r>
      <w:r>
        <w:rPr>
          <w:rFonts w:hint="eastAsia" w:ascii="仿宋" w:hAnsi="仿宋" w:eastAsia="仿宋" w:cs="仿宋"/>
          <w:b/>
          <w:bCs/>
          <w:sz w:val="32"/>
          <w:szCs w:val="32"/>
        </w:rPr>
        <w:t>一是</w:t>
      </w:r>
      <w:r>
        <w:rPr>
          <w:rFonts w:hint="eastAsia" w:ascii="仿宋" w:hAnsi="仿宋" w:eastAsia="仿宋" w:cs="仿宋"/>
          <w:sz w:val="32"/>
          <w:szCs w:val="32"/>
        </w:rPr>
        <w:t>粮食储备充足。印发《兰州新区成品粮储备及保供稳价工作方案》，新增益海嘉里为新区储备成品粮承储企业，完成原粮和成品粮储备任务。二是稳定物价促进稳定。</w:t>
      </w:r>
      <w:r>
        <w:rPr>
          <w:rFonts w:hint="eastAsia" w:ascii="仿宋" w:hAnsi="仿宋" w:eastAsia="仿宋" w:cs="仿宋"/>
          <w:b/>
          <w:bCs/>
          <w:sz w:val="32"/>
          <w:szCs w:val="32"/>
          <w:lang w:eastAsia="zh-CN"/>
        </w:rPr>
        <w:t>二是</w:t>
      </w:r>
      <w:r>
        <w:rPr>
          <w:rFonts w:hint="eastAsia" w:ascii="仿宋" w:hAnsi="仿宋" w:eastAsia="仿宋" w:cs="仿宋"/>
          <w:sz w:val="32"/>
          <w:szCs w:val="32"/>
        </w:rPr>
        <w:t>核定天然气配气价格并建立天然气上下游价格联动机制，开展商品房价格调控、集中供热价格和公办幼儿园保教费标准调整、公共资源交易服务费“零收费”改革。</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 w:hAnsi="仿宋" w:eastAsia="仿宋" w:cs="仿宋"/>
          <w:sz w:val="32"/>
          <w:szCs w:val="32"/>
        </w:rPr>
      </w:pPr>
      <w:r>
        <w:rPr>
          <w:rFonts w:hint="eastAsia" w:ascii="仿宋" w:hAnsi="仿宋" w:eastAsia="仿宋" w:cs="仿宋"/>
          <w:b/>
          <w:bCs/>
          <w:sz w:val="32"/>
          <w:szCs w:val="32"/>
          <w:lang w:val="en-US" w:eastAsia="zh-CN"/>
        </w:rPr>
        <w:t>6</w:t>
      </w:r>
      <w:r>
        <w:rPr>
          <w:rFonts w:hint="eastAsia" w:ascii="仿宋" w:hAnsi="仿宋" w:eastAsia="仿宋" w:cs="仿宋"/>
          <w:b/>
          <w:bCs/>
          <w:sz w:val="32"/>
          <w:szCs w:val="32"/>
        </w:rPr>
        <w:t>.能源管理</w:t>
      </w:r>
      <w:r>
        <w:rPr>
          <w:rFonts w:hint="eastAsia" w:ascii="仿宋" w:hAnsi="仿宋" w:eastAsia="仿宋" w:cs="仿宋"/>
          <w:b/>
          <w:bCs/>
          <w:sz w:val="32"/>
          <w:szCs w:val="32"/>
          <w:lang w:eastAsia="zh-CN"/>
        </w:rPr>
        <w:t>方面。</w:t>
      </w:r>
      <w:r>
        <w:rPr>
          <w:rFonts w:hint="eastAsia" w:ascii="仿宋" w:hAnsi="仿宋" w:eastAsia="仿宋" w:cs="仿宋"/>
          <w:sz w:val="32"/>
          <w:szCs w:val="32"/>
        </w:rPr>
        <w:t>督促供暖企业和天然气企业做好煤炭、天然气储备任务，保障新区群众生活和工业生产用气供应正常。督促供暖企业和天然气企业做好煤炭、天然气储备任务，保障新区群众生活和工业生产用气供应正常。</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 w:hAnsi="仿宋" w:eastAsia="仿宋" w:cs="仿宋"/>
          <w:sz w:val="32"/>
          <w:szCs w:val="32"/>
        </w:rPr>
      </w:pPr>
      <w:r>
        <w:rPr>
          <w:rFonts w:hint="eastAsia" w:ascii="仿宋" w:hAnsi="仿宋" w:eastAsia="仿宋" w:cs="仿宋"/>
          <w:b/>
          <w:bCs/>
          <w:sz w:val="32"/>
          <w:szCs w:val="32"/>
          <w:lang w:val="en-US" w:eastAsia="zh-CN"/>
        </w:rPr>
        <w:t>7</w:t>
      </w:r>
      <w:r>
        <w:rPr>
          <w:rFonts w:hint="eastAsia" w:ascii="仿宋" w:hAnsi="仿宋" w:eastAsia="仿宋" w:cs="仿宋"/>
          <w:b/>
          <w:bCs/>
          <w:sz w:val="32"/>
          <w:szCs w:val="32"/>
        </w:rPr>
        <w:t>.营商环境改革</w:t>
      </w:r>
      <w:r>
        <w:rPr>
          <w:rFonts w:hint="eastAsia" w:ascii="仿宋" w:hAnsi="仿宋" w:eastAsia="仿宋" w:cs="仿宋"/>
          <w:b/>
          <w:bCs/>
          <w:sz w:val="32"/>
          <w:szCs w:val="32"/>
          <w:lang w:eastAsia="zh-CN"/>
        </w:rPr>
        <w:t>方面</w:t>
      </w:r>
      <w:r>
        <w:rPr>
          <w:rFonts w:hint="eastAsia" w:ascii="仿宋" w:hAnsi="仿宋" w:eastAsia="仿宋" w:cs="仿宋"/>
          <w:sz w:val="32"/>
          <w:szCs w:val="32"/>
        </w:rPr>
        <w:t>。牵头在全省首推优化营商环境提升专项行动，对标全国标杆城市推行18个领域188项改革举措落地见效。充分发挥行政审批制度改革牵头抓总作用，全省率先实现与25个省500余市县区162项“跨省通办”，30项企业开办类事项跨省“一次办好”。会同新区各部门在全省率先推行“电证便民”全覆盖，建立电子政务“云档案”，实现158类42.36万个证照，28.5万个电子文件共享运用，真正实现“一次提交，终身可用”，新区政务服务网法人注册率位居全省第1。加大与省级对接力度，全省首家实现政务服务“好差评”全覆盖，主动评价率达100%，位列全省前列。会同行业主管部门，在全省率先实现工业用地“标准地”出让，累计出让“标准地”19宗2300亩。对标全国标杆城市，全省首家上线运行工程建设项目中介服务超市和“智慧工地综合监管平台”，实现中介服务线上选、建设项目线上监管。疫情期间，率先推出疫情期间“非急缓办、急事网办、约办帮办”政务服务新模式，实现1383项政务服务事项网上办、自助办、邮寄办，全年累计办理101万件，办结率100%。</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 w:hAnsi="仿宋" w:eastAsia="仿宋" w:cs="仿宋"/>
          <w:sz w:val="32"/>
          <w:szCs w:val="32"/>
        </w:rPr>
      </w:pPr>
      <w:r>
        <w:rPr>
          <w:rFonts w:hint="eastAsia" w:ascii="仿宋" w:hAnsi="仿宋" w:eastAsia="仿宋" w:cs="仿宋"/>
          <w:b/>
          <w:bCs/>
          <w:sz w:val="32"/>
          <w:szCs w:val="32"/>
          <w:lang w:val="en-US" w:eastAsia="zh-CN"/>
        </w:rPr>
        <w:t>8</w:t>
      </w:r>
      <w:r>
        <w:rPr>
          <w:rFonts w:hint="eastAsia" w:ascii="仿宋" w:hAnsi="仿宋" w:eastAsia="仿宋" w:cs="仿宋"/>
          <w:b/>
          <w:bCs/>
          <w:sz w:val="32"/>
          <w:szCs w:val="32"/>
        </w:rPr>
        <w:t>.</w:t>
      </w:r>
      <w:r>
        <w:rPr>
          <w:rFonts w:hint="eastAsia" w:ascii="仿宋" w:hAnsi="仿宋" w:eastAsia="仿宋" w:cs="仿宋"/>
          <w:b/>
          <w:bCs/>
          <w:sz w:val="32"/>
          <w:szCs w:val="32"/>
          <w:lang w:eastAsia="zh-CN"/>
        </w:rPr>
        <w:t>移民搬迁方面</w:t>
      </w:r>
      <w:r>
        <w:rPr>
          <w:rFonts w:hint="eastAsia" w:ascii="仿宋" w:hAnsi="仿宋" w:eastAsia="仿宋" w:cs="仿宋"/>
          <w:sz w:val="32"/>
          <w:szCs w:val="32"/>
        </w:rPr>
        <w:t>。组织各部门完成搬迁群众就业就学、户籍迁转、社保转移、社会管理等各项工作，学生入学、医疗保险、养老保险等各项政策平稳接续。支持搬迁群众稳定就业，开展技能培训45期培训3000余人次，2568人上岗就业，支持创业个体户124家，群众身份、文化、社会融入感持续增强。</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 w:hAnsi="仿宋" w:eastAsia="仿宋" w:cs="仿宋"/>
          <w:b/>
          <w:bCs/>
          <w:sz w:val="32"/>
          <w:szCs w:val="32"/>
          <w:lang w:eastAsia="zh-CN"/>
        </w:rPr>
      </w:pPr>
      <w:r>
        <w:rPr>
          <w:rFonts w:hint="eastAsia" w:ascii="楷体" w:hAnsi="楷体" w:eastAsia="楷体" w:cs="楷体"/>
          <w:b/>
          <w:bCs/>
          <w:sz w:val="32"/>
          <w:szCs w:val="32"/>
        </w:rPr>
        <w:t>（三）各项指标完成情况分析</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lang w:eastAsia="zh-CN"/>
        </w:rPr>
      </w:pPr>
      <w:r>
        <w:rPr>
          <w:rFonts w:hint="eastAsia" w:ascii="仿宋" w:hAnsi="仿宋" w:eastAsia="仿宋" w:cs="仿宋"/>
          <w:sz w:val="32"/>
          <w:szCs w:val="32"/>
        </w:rPr>
        <w:t>2022年，本部门预算支出项目54个项目，</w:t>
      </w:r>
      <w:r>
        <w:rPr>
          <w:rFonts w:hint="eastAsia" w:ascii="仿宋" w:hAnsi="仿宋" w:eastAsia="仿宋" w:cs="仿宋"/>
          <w:sz w:val="32"/>
          <w:szCs w:val="32"/>
          <w:lang w:eastAsia="zh-CN"/>
        </w:rPr>
        <w:t>支出资金</w:t>
      </w:r>
      <w:r>
        <w:rPr>
          <w:rFonts w:hint="eastAsia" w:ascii="仿宋" w:hAnsi="仿宋" w:eastAsia="仿宋" w:cs="仿宋"/>
          <w:sz w:val="32"/>
          <w:szCs w:val="32"/>
        </w:rPr>
        <w:t>158375.382万元，预算执行率79%。通过自评，有44个项目结果为“优”，4个项目结果为“良”，6个项目结果为“中”。</w:t>
      </w:r>
      <w:r>
        <w:rPr>
          <w:rFonts w:hint="eastAsia" w:ascii="仿宋" w:hAnsi="仿宋" w:eastAsia="仿宋" w:cs="仿宋"/>
          <w:sz w:val="32"/>
          <w:szCs w:val="32"/>
          <w:lang w:eastAsia="zh-CN"/>
        </w:rPr>
        <w:t>具体项目指标完成情况如下：</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 w:hAnsi="仿宋" w:eastAsia="仿宋" w:cs="仿宋"/>
          <w:sz w:val="32"/>
          <w:szCs w:val="32"/>
          <w:lang w:eastAsia="zh-CN"/>
        </w:rPr>
      </w:pPr>
      <w:r>
        <w:rPr>
          <w:rFonts w:hint="eastAsia" w:ascii="仿宋" w:hAnsi="仿宋" w:eastAsia="仿宋" w:cs="仿宋"/>
          <w:b/>
          <w:bCs/>
          <w:kern w:val="2"/>
          <w:sz w:val="32"/>
          <w:szCs w:val="32"/>
          <w:lang w:val="en-US" w:eastAsia="zh-CN" w:bidi="ar-SA"/>
        </w:rPr>
        <w:t>1.自评结果为“优”的项目各项指标完成情况分析。</w:t>
      </w:r>
      <w:r>
        <w:rPr>
          <w:rFonts w:hint="eastAsia" w:ascii="仿宋" w:hAnsi="仿宋" w:eastAsia="仿宋" w:cs="仿宋"/>
          <w:sz w:val="32"/>
          <w:szCs w:val="32"/>
          <w:lang w:eastAsia="zh-CN"/>
        </w:rPr>
        <w:t>重点招商引资项目电力专线建设项目、2022年重大项目前期费兰州新区电力、通信设施迁改项目、甘肃德福新材料电力专线补贴、兰州新区救灾物资储备库运营管理服务、兰州新区2022年储备粮补贴资金、移民办工作经费、多式联运项目建设资金、兰州新区上规入库工业企业奖励资金、兰州新区城市矿产与表面处理产业园基础设施（一期项目）、兰州新区西小川车站提升改造工程、2022年第二批新增政府专项债券资金（兰州新区城市矿产与表面处理产业园基础设施一期项目）、2022年第二批新增政府专项债券资金兰州新区产业园区重点用电企业电力设施配套项目、2022年年第三批新增政府专项债券（市政重点用电企业电力专线建设项目）等</w:t>
      </w:r>
      <w:r>
        <w:rPr>
          <w:rFonts w:hint="eastAsia" w:ascii="仿宋" w:hAnsi="仿宋" w:eastAsia="仿宋" w:cs="仿宋"/>
          <w:sz w:val="32"/>
          <w:szCs w:val="32"/>
          <w:lang w:val="en-US" w:eastAsia="zh-CN"/>
        </w:rPr>
        <w:t>44个</w:t>
      </w:r>
      <w:r>
        <w:rPr>
          <w:rFonts w:hint="eastAsia" w:ascii="仿宋" w:hAnsi="仿宋" w:eastAsia="仿宋" w:cs="仿宋"/>
          <w:sz w:val="32"/>
          <w:szCs w:val="32"/>
          <w:lang w:eastAsia="zh-CN"/>
        </w:rPr>
        <w:t>项目预算执行情况、投入产出指标、效益指标均按照年初制定目标完成，自评结果为</w:t>
      </w:r>
      <w:r>
        <w:rPr>
          <w:rFonts w:hint="eastAsia" w:ascii="仿宋" w:hAnsi="仿宋" w:eastAsia="仿宋" w:cs="仿宋"/>
          <w:sz w:val="32"/>
          <w:szCs w:val="32"/>
        </w:rPr>
        <w:t>“优”</w:t>
      </w:r>
      <w:r>
        <w:rPr>
          <w:rFonts w:hint="eastAsia" w:ascii="仿宋" w:hAnsi="仿宋" w:eastAsia="仿宋" w:cs="仿宋"/>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 w:hAnsi="仿宋" w:eastAsia="仿宋" w:cs="仿宋"/>
          <w:sz w:val="32"/>
          <w:szCs w:val="32"/>
          <w:lang w:eastAsia="zh-CN"/>
        </w:rPr>
      </w:pPr>
      <w:r>
        <w:rPr>
          <w:rFonts w:hint="eastAsia" w:ascii="仿宋" w:hAnsi="仿宋" w:eastAsia="仿宋" w:cs="仿宋"/>
          <w:b/>
          <w:bCs/>
          <w:kern w:val="2"/>
          <w:sz w:val="32"/>
          <w:szCs w:val="32"/>
          <w:lang w:val="en-US" w:eastAsia="zh-CN" w:bidi="ar-SA"/>
        </w:rPr>
        <w:t>2.自评结果为“良”的项目各项指标完成情况分析。</w:t>
      </w:r>
      <w:r>
        <w:rPr>
          <w:rFonts w:hint="eastAsia" w:ascii="仿宋" w:hAnsi="仿宋" w:eastAsia="仿宋" w:cs="仿宋"/>
          <w:b w:val="0"/>
          <w:bCs w:val="0"/>
          <w:kern w:val="2"/>
          <w:sz w:val="32"/>
          <w:szCs w:val="32"/>
          <w:lang w:val="en-US" w:eastAsia="zh-CN" w:bidi="ar-SA"/>
        </w:rPr>
        <w:t>政务中心日常运转、固定资产投资项目节能报告评审、政府投资项目可行性研究报告评估咨询服务费等4个项目预算执行率60%以上未达到100%。一方面是因为本着节约原则，政务服务中心日常运转费用压减部分支出；另一方面因固定资产投资项目节能审查年初为预计值，与2022年度落地新区项目投资规模、投资数量、用能规模直接联系，无法精准全部预测，造成年度执行率与年初目标有一定差距；除审批项目数量外其</w:t>
      </w:r>
      <w:r>
        <w:rPr>
          <w:rFonts w:hint="eastAsia" w:ascii="仿宋" w:hAnsi="仿宋" w:eastAsia="仿宋" w:cs="仿宋"/>
          <w:sz w:val="32"/>
          <w:szCs w:val="32"/>
          <w:lang w:val="en-US" w:eastAsia="zh-CN"/>
        </w:rPr>
        <w:t>他指标均按照年初制定目标完成，</w:t>
      </w:r>
      <w:r>
        <w:rPr>
          <w:rFonts w:hint="eastAsia" w:ascii="仿宋" w:hAnsi="仿宋" w:eastAsia="仿宋" w:cs="仿宋"/>
          <w:sz w:val="32"/>
          <w:szCs w:val="32"/>
          <w:lang w:eastAsia="zh-CN"/>
        </w:rPr>
        <w:t>自评结果为“良”。</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default" w:ascii="仿宋" w:hAnsi="仿宋" w:eastAsia="仿宋" w:cs="仿宋"/>
          <w:b w:val="0"/>
          <w:bCs w:val="0"/>
          <w:sz w:val="32"/>
          <w:szCs w:val="32"/>
          <w:lang w:val="en-US" w:eastAsia="zh-CN"/>
        </w:rPr>
      </w:pPr>
      <w:r>
        <w:rPr>
          <w:rFonts w:hint="eastAsia" w:ascii="仿宋" w:hAnsi="仿宋" w:eastAsia="仿宋" w:cs="仿宋"/>
          <w:b/>
          <w:bCs/>
          <w:sz w:val="32"/>
          <w:szCs w:val="32"/>
          <w:lang w:val="en-US" w:eastAsia="zh-CN"/>
        </w:rPr>
        <w:t>3.自评结果为“中”的项目各项指标完成情况分析。</w:t>
      </w:r>
      <w:r>
        <w:rPr>
          <w:rFonts w:hint="eastAsia" w:ascii="仿宋" w:hAnsi="仿宋" w:eastAsia="仿宋" w:cs="仿宋"/>
          <w:b w:val="0"/>
          <w:bCs w:val="0"/>
          <w:sz w:val="32"/>
          <w:szCs w:val="32"/>
          <w:lang w:val="en-US" w:eastAsia="zh-CN"/>
        </w:rPr>
        <w:t>政府定价成本监审服务、兰州新区投资奖励资金等6个项目预算执行率未达到60%以上，其他各项指标也未能按照预期目标达成，</w:t>
      </w:r>
      <w:r>
        <w:rPr>
          <w:rFonts w:hint="eastAsia" w:ascii="仿宋" w:hAnsi="仿宋" w:eastAsia="仿宋" w:cs="仿宋"/>
          <w:sz w:val="32"/>
          <w:szCs w:val="32"/>
          <w:lang w:eastAsia="zh-CN"/>
        </w:rPr>
        <w:t>自评结果为“中”。</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楷体" w:hAnsi="楷体" w:eastAsia="楷体" w:cs="楷体"/>
          <w:b/>
          <w:bCs/>
          <w:sz w:val="32"/>
          <w:szCs w:val="32"/>
        </w:rPr>
      </w:pPr>
      <w:r>
        <w:rPr>
          <w:rFonts w:hint="eastAsia" w:ascii="楷体" w:hAnsi="楷体" w:eastAsia="楷体" w:cs="楷体"/>
          <w:b/>
          <w:bCs/>
          <w:sz w:val="32"/>
          <w:szCs w:val="32"/>
        </w:rPr>
        <w:t>（四）偏离绩效目标的原因及下一步改进措施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2022年部门项目偏离绩效目标的原因一方面是年初目标设置考虑不够充分，指标设置不合理；另一方面是因疫情等因素导致项目进展缓慢等原因导致年初设定目标未能如期达成。</w:t>
      </w:r>
      <w:r>
        <w:rPr>
          <w:rFonts w:hint="eastAsia" w:ascii="仿宋" w:hAnsi="仿宋" w:eastAsia="仿宋" w:cs="仿宋"/>
          <w:sz w:val="32"/>
          <w:szCs w:val="32"/>
        </w:rPr>
        <w:t>为更好开展推广预算绩效管理，完善预算绩效程序，下步整改措施如下：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一是加强组织领导，强化绩效理念，制定相对应的领导责任制，牢固树立绩效意识，加强预算绩效管理，充实预算绩效管理人员，督促指导相关政策措施落实。</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二是抓好预算绩效重点环节，在预算编制环节突出绩效导向，强化对重大项目事前事后的评估，进一步提高预算编制的科学性和准确性。</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三是在预算执行环节中加强绩效监控，推行“谁支出、谁负责”的原则、绩效目标实现程度和预算执行进度实行“双监控”，及时做好预算绩效问题的动态纠正。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四是加大项目跟踪机制，督促项目完成进度，确保项目达到绩效目标。</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sz w:val="32"/>
          <w:szCs w:val="32"/>
        </w:rPr>
      </w:pPr>
      <w:r>
        <w:rPr>
          <w:rFonts w:hint="eastAsia" w:ascii="黑体" w:hAnsi="黑体" w:eastAsia="黑体" w:cs="黑体"/>
          <w:sz w:val="32"/>
          <w:szCs w:val="32"/>
        </w:rPr>
        <w:t>六、绩效自评结果拟应用和公开情况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绩效自评结果将为今后年度预算编制、项目管理等各项工作开展提供决策依据。绩效自评结果经上级部门审定后按照要求进行公开。</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right"/>
        <w:textAlignment w:val="auto"/>
        <w:rPr>
          <w:rFonts w:hint="eastAsia" w:ascii="仿宋" w:hAnsi="仿宋" w:eastAsia="仿宋" w:cs="仿宋"/>
          <w:sz w:val="32"/>
          <w:szCs w:val="32"/>
        </w:rPr>
      </w:pPr>
      <w:r>
        <w:rPr>
          <w:rFonts w:hint="eastAsia" w:ascii="仿宋" w:hAnsi="仿宋" w:eastAsia="仿宋" w:cs="仿宋"/>
          <w:sz w:val="32"/>
          <w:szCs w:val="32"/>
        </w:rPr>
        <w:t>兰州新区经济发展局（统计局）</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center"/>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2023年4月</w:t>
      </w:r>
      <w:r>
        <w:rPr>
          <w:rFonts w:hint="eastAsia" w:ascii="仿宋" w:hAnsi="仿宋" w:eastAsia="仿宋" w:cs="仿宋"/>
          <w:sz w:val="32"/>
          <w:szCs w:val="32"/>
          <w:lang w:val="en-US" w:eastAsia="zh-CN"/>
        </w:rPr>
        <w:t>10</w:t>
      </w:r>
      <w:bookmarkStart w:id="0" w:name="_GoBack"/>
      <w:bookmarkEnd w:id="0"/>
      <w:r>
        <w:rPr>
          <w:rFonts w:hint="eastAsia" w:ascii="仿宋" w:hAnsi="仿宋" w:eastAsia="仿宋" w:cs="仿宋"/>
          <w:sz w:val="32"/>
          <w:szCs w:val="32"/>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CCE14356-28E4-4AD5-A721-9D60B8110936}"/>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modern"/>
    <w:pitch w:val="default"/>
    <w:sig w:usb0="800002BF" w:usb1="38CF7CFA" w:usb2="00000016" w:usb3="00000000" w:csb0="00040001" w:csb1="00000000"/>
    <w:embedRegular r:id="rId2" w:fontKey="{02FC115B-9A8C-4A47-90C1-F6529396098D}"/>
  </w:font>
  <w:font w:name="方正小标宋_GBK">
    <w:panose1 w:val="02000000000000000000"/>
    <w:charset w:val="86"/>
    <w:family w:val="auto"/>
    <w:pitch w:val="default"/>
    <w:sig w:usb0="A00002BF" w:usb1="38CF7CFA" w:usb2="00082016" w:usb3="00000000" w:csb0="00040001" w:csb1="00000000"/>
    <w:embedRegular r:id="rId3" w:fontKey="{7D7874BD-A8C5-48F6-BF25-19113348F338}"/>
  </w:font>
  <w:font w:name="楷体">
    <w:panose1 w:val="02010609060101010101"/>
    <w:charset w:val="86"/>
    <w:family w:val="auto"/>
    <w:pitch w:val="default"/>
    <w:sig w:usb0="800002BF" w:usb1="38CF7CFA" w:usb2="00000016" w:usb3="00000000" w:csb0="00040001" w:csb1="00000000"/>
    <w:embedRegular r:id="rId4" w:fontKey="{866E596E-57EB-42AF-BDF3-729A6DCCA38E}"/>
  </w:font>
  <w:font w:name="仿宋_GB2312">
    <w:panose1 w:val="02010609030101010101"/>
    <w:charset w:val="86"/>
    <w:family w:val="auto"/>
    <w:pitch w:val="default"/>
    <w:sig w:usb0="00000001" w:usb1="080E0000" w:usb2="00000000" w:usb3="00000000" w:csb0="00040000" w:csb1="00000000"/>
    <w:embedRegular r:id="rId5" w:fontKey="{C0B2012E-7C31-4416-8B8F-CD091047CB8E}"/>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I5MTgxNGNiZTJhMGUxMjliMTMxYmRiYjQxN2VjZGYifQ=="/>
  </w:docVars>
  <w:rsids>
    <w:rsidRoot w:val="7B297300"/>
    <w:rsid w:val="033C49A3"/>
    <w:rsid w:val="10D60D10"/>
    <w:rsid w:val="287405B8"/>
    <w:rsid w:val="54E8697D"/>
    <w:rsid w:val="5B995664"/>
    <w:rsid w:val="639860B9"/>
    <w:rsid w:val="65864EAB"/>
    <w:rsid w:val="692E40F3"/>
    <w:rsid w:val="7B2973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qFormat="1"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6"/>
    <w:basedOn w:val="1"/>
    <w:next w:val="1"/>
    <w:unhideWhenUsed/>
    <w:qFormat/>
    <w:uiPriority w:val="0"/>
    <w:pPr>
      <w:keepNext/>
      <w:keepLines/>
      <w:tabs>
        <w:tab w:val="left" w:pos="1151"/>
      </w:tabs>
      <w:spacing w:before="240" w:after="64" w:line="320" w:lineRule="auto"/>
      <w:ind w:left="1151" w:hanging="1151"/>
      <w:outlineLvl w:val="5"/>
    </w:pPr>
    <w:rPr>
      <w:rFonts w:ascii="Cambria" w:hAnsi="Cambria"/>
      <w:b/>
      <w:bCs/>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4960</Words>
  <Characters>5155</Characters>
  <Lines>0</Lines>
  <Paragraphs>0</Paragraphs>
  <TotalTime>8</TotalTime>
  <ScaleCrop>false</ScaleCrop>
  <LinksUpToDate>false</LinksUpToDate>
  <CharactersWithSpaces>5175</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2023-04-11T10:52:00Z</dcterms:created>
  <dc:creator>娟</dc:creator>
  <cp:lastModifiedBy>娟</cp:lastModifiedBy>
  <cp:lastPrinted>2023-06-06T01:55:03Z</cp:lastPrinted>
  <dcterms:modified xsi:type="dcterms:W3CDTF">2023-06-06T02:00:39Z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12BBAF4329D14649B3074DE65451ED73_11</vt:lpwstr>
  </property>
</Properties>
</file>